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2086235</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ושלוש</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יוזמת:</w:t>
      </w:r>
      <w:r>
        <w:tab/>
      </w:r>
      <w:r>
        <w:rPr>
          <w:b/>
          <w:bCs/>
          <w:rtl/>
        </w:rPr>
        <w:t xml:space="preserve">      חברת הכנסת</w:t>
      </w:r>
      <w:bookmarkEnd w:id="2"/>
      <w:r w:rsidR="00B35784" w:rsidRPr="00F67051">
        <w:rPr>
          <w:b/>
          <w:bCs/>
        </w:rPr>
        <w:tab/>
      </w:r>
      <w:bookmarkStart w:id="3" w:name="LGS_PM_Names"/>
      <w:r>
        <w:rPr>
          <w:rFonts w:hint="cs"/>
          <w:b/>
          <w:bCs/>
          <w:rtl/>
        </w:rPr>
        <w:t>עומר ינקלביץ'</w:t>
      </w:r>
      <w:bookmarkEnd w:id="3"/>
    </w:p>
    <w:p w14:paraId="7F6961AA" w14:textId="39F9D96B" w:rsidR="00E13C27" w:rsidRPr="00CF1AA2" w:rsidRDefault="007D585A" w:rsidP="0036422C">
      <w:pPr>
        <w:pStyle w:val="David"/>
        <w:spacing w:before="0" w:line="360" w:lineRule="auto"/>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6" w:name="Private_Number"/>
      <w:r>
        <w:rPr>
          <w:rFonts w:hint="cs"/>
          <w:rtl/>
        </w:rPr>
        <w:t>פ/379/23</w:t>
      </w:r>
      <w:bookmarkEnd w:id="6"/>
    </w:p>
    <w:p w14:paraId="7F6961AC" w14:textId="77777777" w:rsidR="00E13C27" w:rsidRDefault="00E13C27" w:rsidP="00E13C27">
      <w:pPr>
        <w:spacing w:before="0" w:line="360" w:lineRule="auto"/>
        <w:ind w:left="2880" w:firstLine="720"/>
        <w:rPr>
          <w:rFonts w:cs="David"/>
          <w:sz w:val="26"/>
          <w:szCs w:val="26"/>
          <w:rtl/>
        </w:rPr>
      </w:pPr>
    </w:p>
    <w:p w14:paraId="7F6961AD" w14:textId="4835A045" w:rsidR="00E13C27" w:rsidRPr="00F67051" w:rsidRDefault="00A443CF" w:rsidP="00991520">
      <w:pPr>
        <w:pStyle w:val="HeadHatzaotHok"/>
        <w:rPr>
          <w:rtl/>
        </w:rPr>
      </w:pPr>
      <w:bookmarkStart w:id="7" w:name="LGS_Subject"/>
      <w:r>
        <w:rPr>
          <w:rFonts w:hint="cs"/>
          <w:rtl/>
        </w:rPr>
        <w:t>הצעת חוק סיוע לקטינים נפגעי עבירות מין או אלימות (תיקון – טיפול נפשי לילדים נפגעי אלימות במשפחה או חשופים לאלימות במשפחה), התש"ף</w:t>
      </w:r>
      <w:r w:rsidR="00991520">
        <w:rPr>
          <w:rFonts w:hint="cs"/>
          <w:rtl/>
        </w:rPr>
        <w:t>–</w:t>
      </w:r>
      <w:r>
        <w:rPr>
          <w:rFonts w:hint="cs"/>
          <w:rtl/>
        </w:rPr>
        <w:t>2020</w:t>
      </w:r>
      <w:bookmarkEnd w:id="7"/>
    </w:p>
    <w:tbl>
      <w:tblPr>
        <w:bidiVisual/>
        <w:tblW w:w="9641" w:type="dxa"/>
        <w:tblLayout w:type="fixed"/>
        <w:tblCellMar>
          <w:top w:w="57" w:type="dxa"/>
          <w:left w:w="0" w:type="dxa"/>
          <w:bottom w:w="57" w:type="dxa"/>
          <w:right w:w="0" w:type="dxa"/>
        </w:tblCellMar>
        <w:tblLook w:val="0000" w:firstRow="0" w:lastRow="0" w:firstColumn="0" w:lastColumn="0" w:noHBand="0" w:noVBand="0"/>
      </w:tblPr>
      <w:tblGrid>
        <w:gridCol w:w="1871"/>
        <w:gridCol w:w="624"/>
        <w:gridCol w:w="623"/>
        <w:gridCol w:w="623"/>
        <w:gridCol w:w="623"/>
        <w:gridCol w:w="623"/>
        <w:gridCol w:w="4654"/>
      </w:tblGrid>
      <w:tr w:rsidR="004A0884" w14:paraId="2988B9D1" w14:textId="77777777" w:rsidTr="004A0884">
        <w:trPr>
          <w:cantSplit/>
        </w:trPr>
        <w:tc>
          <w:tcPr>
            <w:tcW w:w="1871" w:type="dxa"/>
            <w:tcBorders>
              <w:top w:val="nil"/>
              <w:left w:val="nil"/>
              <w:bottom w:val="nil"/>
              <w:right w:val="nil"/>
            </w:tcBorders>
            <w:tcMar>
              <w:top w:w="91" w:type="dxa"/>
              <w:left w:w="0" w:type="dxa"/>
              <w:bottom w:w="91" w:type="dxa"/>
              <w:right w:w="0" w:type="dxa"/>
            </w:tcMar>
          </w:tcPr>
          <w:p w14:paraId="795F33F0" w14:textId="77777777" w:rsidR="004A0884" w:rsidRDefault="004A0884" w:rsidP="001C5EA4">
            <w:pPr>
              <w:pStyle w:val="TableSideHeading"/>
              <w:rPr>
                <w:sz w:val="26"/>
                <w:rtl/>
              </w:rPr>
            </w:pPr>
            <w:r>
              <w:rPr>
                <w:sz w:val="26"/>
                <w:rtl/>
              </w:rPr>
              <w:t>החלפת סעיף 1</w:t>
            </w:r>
          </w:p>
        </w:tc>
        <w:tc>
          <w:tcPr>
            <w:tcW w:w="624" w:type="dxa"/>
            <w:tcBorders>
              <w:top w:val="nil"/>
              <w:left w:val="nil"/>
              <w:bottom w:val="nil"/>
              <w:right w:val="nil"/>
            </w:tcBorders>
            <w:tcMar>
              <w:top w:w="91" w:type="dxa"/>
              <w:left w:w="0" w:type="dxa"/>
              <w:bottom w:w="91" w:type="dxa"/>
              <w:right w:w="0" w:type="dxa"/>
            </w:tcMar>
          </w:tcPr>
          <w:p w14:paraId="5458704D" w14:textId="77777777" w:rsidR="004A0884" w:rsidRDefault="004A0884" w:rsidP="001C5EA4">
            <w:pPr>
              <w:pStyle w:val="TableText"/>
              <w:rPr>
                <w:sz w:val="26"/>
                <w:rtl/>
              </w:rPr>
            </w:pPr>
            <w:r>
              <w:rPr>
                <w:sz w:val="26"/>
                <w:rtl/>
              </w:rPr>
              <w:t>1.</w:t>
            </w:r>
          </w:p>
        </w:tc>
        <w:tc>
          <w:tcPr>
            <w:tcW w:w="7146" w:type="dxa"/>
            <w:gridSpan w:val="5"/>
            <w:tcBorders>
              <w:top w:val="nil"/>
              <w:left w:val="nil"/>
              <w:bottom w:val="nil"/>
              <w:right w:val="nil"/>
            </w:tcBorders>
            <w:tcMar>
              <w:top w:w="91" w:type="dxa"/>
              <w:left w:w="0" w:type="dxa"/>
              <w:bottom w:w="91" w:type="dxa"/>
              <w:right w:w="0" w:type="dxa"/>
            </w:tcMar>
          </w:tcPr>
          <w:p w14:paraId="5FD92C63" w14:textId="77777777" w:rsidR="004A0884" w:rsidRDefault="004A0884" w:rsidP="001C5EA4">
            <w:pPr>
              <w:pStyle w:val="TableBlock"/>
              <w:rPr>
                <w:sz w:val="26"/>
                <w:rtl/>
              </w:rPr>
            </w:pPr>
            <w:r>
              <w:rPr>
                <w:sz w:val="26"/>
                <w:rtl/>
              </w:rPr>
              <w:t>בחוק סיוע לקטינים נפגעי עבירות מין או אלימות, התשס"ח–2008</w:t>
            </w:r>
            <w:r>
              <w:rPr>
                <w:rStyle w:val="a6"/>
                <w:sz w:val="26"/>
                <w:rtl/>
              </w:rPr>
              <w:footnoteReference w:id="2"/>
            </w:r>
            <w:r>
              <w:rPr>
                <w:sz w:val="26"/>
                <w:rtl/>
              </w:rPr>
              <w:t xml:space="preserve"> (להלן – החוק  העיקרי), במקום סעיף 1 יבוא:</w:t>
            </w:r>
          </w:p>
        </w:tc>
      </w:tr>
      <w:tr w:rsidR="004A0884" w14:paraId="17F18C40" w14:textId="77777777" w:rsidTr="004A0884">
        <w:trPr>
          <w:cantSplit/>
        </w:trPr>
        <w:tc>
          <w:tcPr>
            <w:tcW w:w="1871" w:type="dxa"/>
            <w:tcBorders>
              <w:top w:val="nil"/>
              <w:left w:val="nil"/>
              <w:bottom w:val="nil"/>
              <w:right w:val="nil"/>
            </w:tcBorders>
          </w:tcPr>
          <w:p w14:paraId="7D4D5752" w14:textId="77777777" w:rsidR="004A0884" w:rsidRDefault="004A0884" w:rsidP="001C5EA4">
            <w:pPr>
              <w:pStyle w:val="TableSideHeading"/>
              <w:keepLines w:val="0"/>
            </w:pPr>
          </w:p>
        </w:tc>
        <w:tc>
          <w:tcPr>
            <w:tcW w:w="624" w:type="dxa"/>
            <w:tcBorders>
              <w:top w:val="nil"/>
              <w:left w:val="nil"/>
              <w:bottom w:val="nil"/>
              <w:right w:val="nil"/>
            </w:tcBorders>
          </w:tcPr>
          <w:p w14:paraId="1B1BE12C" w14:textId="77777777" w:rsidR="004A0884" w:rsidRDefault="004A0884" w:rsidP="001C5EA4">
            <w:pPr>
              <w:pStyle w:val="TableText"/>
              <w:keepLines w:val="0"/>
            </w:pPr>
          </w:p>
        </w:tc>
        <w:tc>
          <w:tcPr>
            <w:tcW w:w="1869" w:type="dxa"/>
            <w:gridSpan w:val="3"/>
            <w:tcBorders>
              <w:top w:val="nil"/>
              <w:left w:val="nil"/>
              <w:bottom w:val="nil"/>
              <w:right w:val="nil"/>
            </w:tcBorders>
          </w:tcPr>
          <w:p w14:paraId="179A1C8B" w14:textId="77777777" w:rsidR="004A0884" w:rsidRDefault="004A0884" w:rsidP="001C5EA4">
            <w:pPr>
              <w:pStyle w:val="TableInnerSideHeading"/>
              <w:ind w:right="0"/>
            </w:pPr>
            <w:r>
              <w:rPr>
                <w:sz w:val="26"/>
                <w:rtl/>
              </w:rPr>
              <w:t>"מטרה</w:t>
            </w:r>
          </w:p>
        </w:tc>
        <w:tc>
          <w:tcPr>
            <w:tcW w:w="623" w:type="dxa"/>
            <w:tcBorders>
              <w:top w:val="nil"/>
              <w:left w:val="nil"/>
              <w:bottom w:val="nil"/>
              <w:right w:val="nil"/>
            </w:tcBorders>
          </w:tcPr>
          <w:p w14:paraId="0E45C5E2" w14:textId="77777777" w:rsidR="004A0884" w:rsidRDefault="004A0884" w:rsidP="001C5EA4">
            <w:pPr>
              <w:pStyle w:val="TableText"/>
            </w:pPr>
            <w:r>
              <w:rPr>
                <w:sz w:val="26"/>
                <w:rtl/>
              </w:rPr>
              <w:t>1.</w:t>
            </w:r>
          </w:p>
        </w:tc>
        <w:tc>
          <w:tcPr>
            <w:tcW w:w="4654" w:type="dxa"/>
            <w:tcBorders>
              <w:top w:val="nil"/>
              <w:left w:val="nil"/>
              <w:bottom w:val="nil"/>
              <w:right w:val="nil"/>
            </w:tcBorders>
          </w:tcPr>
          <w:p w14:paraId="25C52A39" w14:textId="77777777" w:rsidR="004A0884" w:rsidRDefault="004A0884" w:rsidP="001C5EA4">
            <w:pPr>
              <w:pStyle w:val="TableBlock"/>
            </w:pPr>
            <w:r>
              <w:rPr>
                <w:sz w:val="26"/>
                <w:rtl/>
              </w:rPr>
              <w:t>מטרות חוק זה הן:</w:t>
            </w:r>
          </w:p>
        </w:tc>
      </w:tr>
      <w:tr w:rsidR="004A0884" w:rsidRPr="00AE61B4" w14:paraId="54DD4F2C" w14:textId="77777777" w:rsidTr="004A0884">
        <w:trPr>
          <w:cantSplit/>
        </w:trPr>
        <w:tc>
          <w:tcPr>
            <w:tcW w:w="1871" w:type="dxa"/>
            <w:tcBorders>
              <w:top w:val="nil"/>
              <w:left w:val="nil"/>
              <w:bottom w:val="nil"/>
              <w:right w:val="nil"/>
            </w:tcBorders>
          </w:tcPr>
          <w:p w14:paraId="289E27ED" w14:textId="77777777" w:rsidR="004A0884" w:rsidRDefault="004A0884" w:rsidP="001C5EA4">
            <w:pPr>
              <w:pStyle w:val="TableSideHeading"/>
              <w:ind w:right="0"/>
            </w:pPr>
          </w:p>
        </w:tc>
        <w:tc>
          <w:tcPr>
            <w:tcW w:w="624" w:type="dxa"/>
            <w:tcBorders>
              <w:top w:val="nil"/>
              <w:left w:val="nil"/>
              <w:bottom w:val="nil"/>
              <w:right w:val="nil"/>
            </w:tcBorders>
          </w:tcPr>
          <w:p w14:paraId="566E7D2C" w14:textId="77777777" w:rsidR="004A0884" w:rsidRDefault="004A0884" w:rsidP="001C5EA4">
            <w:pPr>
              <w:pStyle w:val="TableText"/>
              <w:ind w:right="0"/>
              <w:jc w:val="both"/>
            </w:pPr>
          </w:p>
        </w:tc>
        <w:tc>
          <w:tcPr>
            <w:tcW w:w="623" w:type="dxa"/>
            <w:tcBorders>
              <w:top w:val="nil"/>
              <w:left w:val="nil"/>
              <w:bottom w:val="nil"/>
              <w:right w:val="nil"/>
            </w:tcBorders>
          </w:tcPr>
          <w:p w14:paraId="67C4E529" w14:textId="77777777" w:rsidR="004A0884" w:rsidRDefault="004A0884" w:rsidP="001C5EA4">
            <w:pPr>
              <w:pStyle w:val="TableText"/>
              <w:ind w:right="0"/>
              <w:jc w:val="both"/>
            </w:pPr>
          </w:p>
        </w:tc>
        <w:tc>
          <w:tcPr>
            <w:tcW w:w="623" w:type="dxa"/>
            <w:tcBorders>
              <w:top w:val="nil"/>
              <w:left w:val="nil"/>
              <w:bottom w:val="nil"/>
              <w:right w:val="nil"/>
            </w:tcBorders>
          </w:tcPr>
          <w:p w14:paraId="0798507B" w14:textId="77777777" w:rsidR="004A0884" w:rsidRDefault="004A0884" w:rsidP="001C5EA4">
            <w:pPr>
              <w:pStyle w:val="TableText"/>
              <w:ind w:right="0"/>
              <w:jc w:val="both"/>
            </w:pPr>
          </w:p>
        </w:tc>
        <w:tc>
          <w:tcPr>
            <w:tcW w:w="623" w:type="dxa"/>
            <w:tcBorders>
              <w:top w:val="nil"/>
              <w:left w:val="nil"/>
              <w:bottom w:val="nil"/>
              <w:right w:val="nil"/>
            </w:tcBorders>
          </w:tcPr>
          <w:p w14:paraId="79543873" w14:textId="77777777" w:rsidR="004A0884" w:rsidRDefault="004A0884" w:rsidP="001C5EA4">
            <w:pPr>
              <w:pStyle w:val="TableText"/>
              <w:ind w:right="0"/>
              <w:jc w:val="both"/>
            </w:pPr>
          </w:p>
        </w:tc>
        <w:tc>
          <w:tcPr>
            <w:tcW w:w="623" w:type="dxa"/>
            <w:tcBorders>
              <w:top w:val="nil"/>
              <w:left w:val="nil"/>
              <w:bottom w:val="nil"/>
              <w:right w:val="nil"/>
            </w:tcBorders>
          </w:tcPr>
          <w:p w14:paraId="2F0695B4" w14:textId="77777777" w:rsidR="004A0884" w:rsidRDefault="004A0884" w:rsidP="001C5EA4">
            <w:pPr>
              <w:pStyle w:val="TableText"/>
              <w:ind w:right="0"/>
              <w:jc w:val="both"/>
            </w:pPr>
          </w:p>
        </w:tc>
        <w:tc>
          <w:tcPr>
            <w:tcW w:w="4654" w:type="dxa"/>
            <w:tcBorders>
              <w:top w:val="nil"/>
              <w:left w:val="nil"/>
              <w:bottom w:val="nil"/>
              <w:right w:val="nil"/>
            </w:tcBorders>
          </w:tcPr>
          <w:p w14:paraId="2AA9F308" w14:textId="77777777" w:rsidR="004A0884" w:rsidRPr="00AE61B4" w:rsidRDefault="004A0884" w:rsidP="001C5EA4">
            <w:pPr>
              <w:pStyle w:val="TableBlock"/>
            </w:pPr>
            <w:r w:rsidRPr="00AE61B4">
              <w:rPr>
                <w:rtl/>
              </w:rPr>
              <w:t>(1)</w:t>
            </w:r>
            <w:r w:rsidRPr="00AE61B4">
              <w:rPr>
                <w:rtl/>
              </w:rPr>
              <w:tab/>
              <w:t>לקבוע את זכותו של קטין נפגע עבירות מין או אלימות לקבלת סיוע ראשוני במרכז סיוע אשר יוחד לעניין זה, כאמור בסעיפים 3 ו-4;</w:t>
            </w:r>
          </w:p>
        </w:tc>
      </w:tr>
      <w:tr w:rsidR="004A0884" w:rsidRPr="00AE61B4" w14:paraId="7C29D5E0" w14:textId="77777777" w:rsidTr="004A0884">
        <w:trPr>
          <w:cantSplit/>
        </w:trPr>
        <w:tc>
          <w:tcPr>
            <w:tcW w:w="1871" w:type="dxa"/>
            <w:tcBorders>
              <w:top w:val="nil"/>
              <w:left w:val="nil"/>
              <w:bottom w:val="nil"/>
              <w:right w:val="nil"/>
            </w:tcBorders>
          </w:tcPr>
          <w:p w14:paraId="49333FF2" w14:textId="77777777" w:rsidR="004A0884" w:rsidRDefault="004A0884" w:rsidP="001C5EA4">
            <w:pPr>
              <w:pStyle w:val="TableSideHeading"/>
              <w:ind w:right="0"/>
            </w:pPr>
          </w:p>
        </w:tc>
        <w:tc>
          <w:tcPr>
            <w:tcW w:w="624" w:type="dxa"/>
            <w:tcBorders>
              <w:top w:val="nil"/>
              <w:left w:val="nil"/>
              <w:bottom w:val="nil"/>
              <w:right w:val="nil"/>
            </w:tcBorders>
          </w:tcPr>
          <w:p w14:paraId="4E291582" w14:textId="77777777" w:rsidR="004A0884" w:rsidRDefault="004A0884" w:rsidP="001C5EA4">
            <w:pPr>
              <w:pStyle w:val="TableText"/>
              <w:ind w:right="0"/>
              <w:jc w:val="both"/>
            </w:pPr>
          </w:p>
        </w:tc>
        <w:tc>
          <w:tcPr>
            <w:tcW w:w="623" w:type="dxa"/>
            <w:tcBorders>
              <w:top w:val="nil"/>
              <w:left w:val="nil"/>
              <w:bottom w:val="nil"/>
              <w:right w:val="nil"/>
            </w:tcBorders>
          </w:tcPr>
          <w:p w14:paraId="192AF9F7" w14:textId="77777777" w:rsidR="004A0884" w:rsidRDefault="004A0884" w:rsidP="001C5EA4">
            <w:pPr>
              <w:pStyle w:val="TableText"/>
              <w:ind w:right="0"/>
              <w:jc w:val="both"/>
            </w:pPr>
          </w:p>
        </w:tc>
        <w:tc>
          <w:tcPr>
            <w:tcW w:w="623" w:type="dxa"/>
            <w:tcBorders>
              <w:top w:val="nil"/>
              <w:left w:val="nil"/>
              <w:bottom w:val="nil"/>
              <w:right w:val="nil"/>
            </w:tcBorders>
          </w:tcPr>
          <w:p w14:paraId="20C43520" w14:textId="77777777" w:rsidR="004A0884" w:rsidRDefault="004A0884" w:rsidP="001C5EA4">
            <w:pPr>
              <w:pStyle w:val="TableText"/>
              <w:ind w:right="0"/>
              <w:jc w:val="both"/>
            </w:pPr>
          </w:p>
        </w:tc>
        <w:tc>
          <w:tcPr>
            <w:tcW w:w="623" w:type="dxa"/>
            <w:tcBorders>
              <w:top w:val="nil"/>
              <w:left w:val="nil"/>
              <w:bottom w:val="nil"/>
              <w:right w:val="nil"/>
            </w:tcBorders>
          </w:tcPr>
          <w:p w14:paraId="2236CF8A" w14:textId="77777777" w:rsidR="004A0884" w:rsidRDefault="004A0884" w:rsidP="001C5EA4">
            <w:pPr>
              <w:pStyle w:val="TableText"/>
              <w:ind w:right="0"/>
              <w:jc w:val="both"/>
            </w:pPr>
          </w:p>
        </w:tc>
        <w:tc>
          <w:tcPr>
            <w:tcW w:w="623" w:type="dxa"/>
            <w:tcBorders>
              <w:top w:val="nil"/>
              <w:left w:val="nil"/>
              <w:bottom w:val="nil"/>
              <w:right w:val="nil"/>
            </w:tcBorders>
          </w:tcPr>
          <w:p w14:paraId="2BC49C7A" w14:textId="77777777" w:rsidR="004A0884" w:rsidRDefault="004A0884" w:rsidP="001C5EA4">
            <w:pPr>
              <w:pStyle w:val="TableText"/>
              <w:ind w:right="0"/>
              <w:jc w:val="both"/>
            </w:pPr>
          </w:p>
        </w:tc>
        <w:tc>
          <w:tcPr>
            <w:tcW w:w="4654" w:type="dxa"/>
            <w:tcBorders>
              <w:top w:val="nil"/>
              <w:left w:val="nil"/>
              <w:bottom w:val="nil"/>
              <w:right w:val="nil"/>
            </w:tcBorders>
          </w:tcPr>
          <w:p w14:paraId="30B3C8C4" w14:textId="77777777" w:rsidR="004A0884" w:rsidRPr="00AE61B4" w:rsidRDefault="004A0884" w:rsidP="001C5EA4">
            <w:pPr>
              <w:pStyle w:val="TableBlock"/>
              <w:rPr>
                <w:rtl/>
              </w:rPr>
            </w:pPr>
            <w:r w:rsidRPr="00AE61B4">
              <w:rPr>
                <w:rtl/>
              </w:rPr>
              <w:t>(2)</w:t>
            </w:r>
            <w:r w:rsidRPr="00AE61B4">
              <w:rPr>
                <w:rtl/>
              </w:rPr>
              <w:tab/>
              <w:t xml:space="preserve">לקבוע את זכותו של קטין שנפגע מאלימות במשפחה </w:t>
            </w:r>
            <w:r>
              <w:rPr>
                <w:rFonts w:hint="cs"/>
                <w:rtl/>
              </w:rPr>
              <w:t xml:space="preserve">או חשיפה לאלימות במשפחה </w:t>
            </w:r>
            <w:r w:rsidRPr="00AE61B4">
              <w:rPr>
                <w:rtl/>
              </w:rPr>
              <w:t>לקבל טיפול</w:t>
            </w:r>
            <w:r>
              <w:rPr>
                <w:rtl/>
              </w:rPr>
              <w:t xml:space="preserve"> מהמדינה או מטעמה כאמור בסעיף 8</w:t>
            </w:r>
            <w:r>
              <w:rPr>
                <w:rFonts w:hint="cs"/>
                <w:rtl/>
              </w:rPr>
              <w:t xml:space="preserve"> או במרכזי הסיוע כאמור בסעיפים 3 ו-4. </w:t>
            </w:r>
            <w:r w:rsidRPr="00AE61B4">
              <w:rPr>
                <w:rtl/>
              </w:rPr>
              <w:t>"</w:t>
            </w:r>
          </w:p>
        </w:tc>
      </w:tr>
      <w:tr w:rsidR="004A0884" w14:paraId="1FED2939" w14:textId="77777777" w:rsidTr="004A0884">
        <w:trPr>
          <w:cantSplit/>
        </w:trPr>
        <w:tc>
          <w:tcPr>
            <w:tcW w:w="1871" w:type="dxa"/>
            <w:vMerge w:val="restart"/>
            <w:tcBorders>
              <w:top w:val="nil"/>
              <w:left w:val="nil"/>
              <w:right w:val="nil"/>
            </w:tcBorders>
          </w:tcPr>
          <w:p w14:paraId="6BFEE7EF" w14:textId="77777777" w:rsidR="004A0884" w:rsidRDefault="004A0884" w:rsidP="001C5EA4">
            <w:pPr>
              <w:pStyle w:val="TableSideHeading"/>
              <w:ind w:right="0"/>
              <w:rPr>
                <w:sz w:val="26"/>
                <w:rtl/>
              </w:rPr>
            </w:pPr>
            <w:r>
              <w:rPr>
                <w:sz w:val="26"/>
                <w:rtl/>
              </w:rPr>
              <w:t xml:space="preserve">הוספת סעיפים </w:t>
            </w:r>
            <w:r>
              <w:rPr>
                <w:rFonts w:hint="cs"/>
                <w:sz w:val="26"/>
                <w:rtl/>
              </w:rPr>
              <w:br/>
            </w:r>
            <w:r>
              <w:rPr>
                <w:sz w:val="26"/>
                <w:rtl/>
              </w:rPr>
              <w:t>8 ו-9</w:t>
            </w:r>
          </w:p>
          <w:p w14:paraId="2D14BBE1" w14:textId="77777777" w:rsidR="004A0884" w:rsidRDefault="004A0884" w:rsidP="001C5EA4">
            <w:pPr>
              <w:pStyle w:val="TableSideHeading"/>
              <w:rPr>
                <w:sz w:val="26"/>
                <w:rtl/>
              </w:rPr>
            </w:pPr>
            <w:r>
              <w:rPr>
                <w:rtl/>
              </w:rPr>
              <w:t xml:space="preserve"> </w:t>
            </w:r>
          </w:p>
        </w:tc>
        <w:tc>
          <w:tcPr>
            <w:tcW w:w="624" w:type="dxa"/>
            <w:tcBorders>
              <w:top w:val="nil"/>
              <w:left w:val="nil"/>
              <w:bottom w:val="nil"/>
              <w:right w:val="nil"/>
            </w:tcBorders>
          </w:tcPr>
          <w:p w14:paraId="0F786A8D" w14:textId="77777777" w:rsidR="004A0884" w:rsidRDefault="004A0884" w:rsidP="001C5EA4">
            <w:pPr>
              <w:pStyle w:val="TableText"/>
              <w:rPr>
                <w:sz w:val="26"/>
                <w:rtl/>
              </w:rPr>
            </w:pPr>
            <w:r>
              <w:rPr>
                <w:sz w:val="26"/>
                <w:rtl/>
              </w:rPr>
              <w:t>2.</w:t>
            </w:r>
          </w:p>
        </w:tc>
        <w:tc>
          <w:tcPr>
            <w:tcW w:w="7146" w:type="dxa"/>
            <w:gridSpan w:val="5"/>
            <w:tcBorders>
              <w:top w:val="nil"/>
              <w:left w:val="nil"/>
              <w:bottom w:val="nil"/>
              <w:right w:val="nil"/>
            </w:tcBorders>
          </w:tcPr>
          <w:p w14:paraId="199C6576" w14:textId="77777777" w:rsidR="004A0884" w:rsidRDefault="004A0884" w:rsidP="001C5EA4">
            <w:pPr>
              <w:pStyle w:val="TableBlock"/>
              <w:rPr>
                <w:sz w:val="26"/>
                <w:rtl/>
              </w:rPr>
            </w:pPr>
            <w:r>
              <w:rPr>
                <w:sz w:val="26"/>
                <w:rtl/>
              </w:rPr>
              <w:t>אחרי סעיף 7 לחוק העיקרי יבוא:</w:t>
            </w:r>
          </w:p>
        </w:tc>
      </w:tr>
      <w:tr w:rsidR="004A0884" w14:paraId="7A14A47A" w14:textId="77777777" w:rsidTr="004A0884">
        <w:trPr>
          <w:cantSplit/>
        </w:trPr>
        <w:tc>
          <w:tcPr>
            <w:tcW w:w="1871" w:type="dxa"/>
            <w:vMerge/>
            <w:tcBorders>
              <w:left w:val="nil"/>
              <w:bottom w:val="nil"/>
              <w:right w:val="nil"/>
            </w:tcBorders>
          </w:tcPr>
          <w:p w14:paraId="685342E0" w14:textId="77777777" w:rsidR="004A0884" w:rsidRDefault="004A0884" w:rsidP="001C5EA4">
            <w:pPr>
              <w:pStyle w:val="TableSideHeading"/>
              <w:keepLines w:val="0"/>
            </w:pPr>
          </w:p>
        </w:tc>
        <w:tc>
          <w:tcPr>
            <w:tcW w:w="624" w:type="dxa"/>
            <w:tcBorders>
              <w:top w:val="nil"/>
              <w:left w:val="nil"/>
              <w:bottom w:val="nil"/>
              <w:right w:val="nil"/>
            </w:tcBorders>
          </w:tcPr>
          <w:p w14:paraId="5D397D0A" w14:textId="77777777" w:rsidR="004A0884" w:rsidRDefault="004A0884" w:rsidP="001C5EA4">
            <w:pPr>
              <w:pStyle w:val="TableText"/>
              <w:keepLines w:val="0"/>
            </w:pPr>
          </w:p>
        </w:tc>
        <w:tc>
          <w:tcPr>
            <w:tcW w:w="1869" w:type="dxa"/>
            <w:gridSpan w:val="3"/>
            <w:tcBorders>
              <w:top w:val="nil"/>
              <w:left w:val="nil"/>
              <w:bottom w:val="nil"/>
              <w:right w:val="nil"/>
            </w:tcBorders>
          </w:tcPr>
          <w:p w14:paraId="017ED788" w14:textId="77777777" w:rsidR="004A0884" w:rsidRDefault="004A0884" w:rsidP="001C5EA4">
            <w:pPr>
              <w:pStyle w:val="TableInnerSideHeading"/>
              <w:ind w:right="0"/>
            </w:pPr>
            <w:r>
              <w:rPr>
                <w:sz w:val="26"/>
                <w:rtl/>
              </w:rPr>
              <w:t>"טיפול בקטינים נפגעי אלימות</w:t>
            </w:r>
            <w:r>
              <w:rPr>
                <w:rtl/>
              </w:rPr>
              <w:t xml:space="preserve"> במשפחה</w:t>
            </w:r>
            <w:r>
              <w:rPr>
                <w:rFonts w:hint="cs"/>
                <w:rtl/>
              </w:rPr>
              <w:t xml:space="preserve"> או חשיפה לאלימות</w:t>
            </w:r>
          </w:p>
        </w:tc>
        <w:tc>
          <w:tcPr>
            <w:tcW w:w="623" w:type="dxa"/>
            <w:tcBorders>
              <w:top w:val="nil"/>
              <w:left w:val="nil"/>
              <w:bottom w:val="nil"/>
              <w:right w:val="nil"/>
            </w:tcBorders>
          </w:tcPr>
          <w:p w14:paraId="7A1F2949" w14:textId="77777777" w:rsidR="004A0884" w:rsidRPr="00F10502" w:rsidRDefault="004A0884" w:rsidP="001C5EA4">
            <w:pPr>
              <w:pStyle w:val="TableText"/>
              <w:ind w:right="0"/>
              <w:jc w:val="both"/>
            </w:pPr>
            <w:r>
              <w:rPr>
                <w:rtl/>
              </w:rPr>
              <w:t>8.</w:t>
            </w:r>
          </w:p>
        </w:tc>
        <w:tc>
          <w:tcPr>
            <w:tcW w:w="4654" w:type="dxa"/>
            <w:tcBorders>
              <w:top w:val="nil"/>
              <w:left w:val="nil"/>
              <w:bottom w:val="nil"/>
              <w:right w:val="nil"/>
            </w:tcBorders>
          </w:tcPr>
          <w:p w14:paraId="187FCE28" w14:textId="77777777" w:rsidR="004A0884" w:rsidRDefault="004A0884" w:rsidP="001C5EA4">
            <w:pPr>
              <w:pStyle w:val="TableBlock"/>
              <w:rPr>
                <w:sz w:val="26"/>
                <w:rtl/>
              </w:rPr>
            </w:pPr>
            <w:r>
              <w:rPr>
                <w:sz w:val="26"/>
                <w:rtl/>
              </w:rPr>
              <w:t>(א)</w:t>
            </w:r>
            <w:r>
              <w:rPr>
                <w:sz w:val="26"/>
                <w:rtl/>
              </w:rPr>
              <w:tab/>
              <w:t>קטין שנפגע מאלימות במשפחה זכאי לקבל טיפול; הטיפול יינתן במימון המדינה, בתוך זמן סביר ובמרחק סביר מהמקום שבו מתגורר או שוהה הקטין, בסעיף זה –</w:t>
            </w:r>
          </w:p>
        </w:tc>
      </w:tr>
      <w:tr w:rsidR="004A0884" w:rsidRPr="00AE61B4" w14:paraId="2E76992B" w14:textId="77777777" w:rsidTr="004A0884">
        <w:tblPrEx>
          <w:tblLook w:val="01E0" w:firstRow="1" w:lastRow="1" w:firstColumn="1" w:lastColumn="1" w:noHBand="0" w:noVBand="0"/>
        </w:tblPrEx>
        <w:trPr>
          <w:cantSplit/>
        </w:trPr>
        <w:tc>
          <w:tcPr>
            <w:tcW w:w="1871" w:type="dxa"/>
          </w:tcPr>
          <w:p w14:paraId="04F6D542" w14:textId="77777777" w:rsidR="004A0884" w:rsidRDefault="004A0884" w:rsidP="001C5EA4">
            <w:pPr>
              <w:pStyle w:val="TableSideHeading"/>
            </w:pPr>
          </w:p>
        </w:tc>
        <w:tc>
          <w:tcPr>
            <w:tcW w:w="624" w:type="dxa"/>
          </w:tcPr>
          <w:p w14:paraId="0C5FFF0D" w14:textId="77777777" w:rsidR="004A0884" w:rsidRDefault="004A0884" w:rsidP="001C5EA4">
            <w:pPr>
              <w:pStyle w:val="TableText"/>
            </w:pPr>
          </w:p>
        </w:tc>
        <w:tc>
          <w:tcPr>
            <w:tcW w:w="623" w:type="dxa"/>
          </w:tcPr>
          <w:p w14:paraId="59C8406E" w14:textId="77777777" w:rsidR="004A0884" w:rsidRDefault="004A0884" w:rsidP="001C5EA4">
            <w:pPr>
              <w:pStyle w:val="TableText"/>
            </w:pPr>
          </w:p>
        </w:tc>
        <w:tc>
          <w:tcPr>
            <w:tcW w:w="623" w:type="dxa"/>
          </w:tcPr>
          <w:p w14:paraId="725CAA54" w14:textId="77777777" w:rsidR="004A0884" w:rsidRDefault="004A0884" w:rsidP="001C5EA4">
            <w:pPr>
              <w:pStyle w:val="TableText"/>
            </w:pPr>
          </w:p>
        </w:tc>
        <w:tc>
          <w:tcPr>
            <w:tcW w:w="623" w:type="dxa"/>
          </w:tcPr>
          <w:p w14:paraId="67FF47B5" w14:textId="77777777" w:rsidR="004A0884" w:rsidRDefault="004A0884" w:rsidP="001C5EA4">
            <w:pPr>
              <w:pStyle w:val="TableText"/>
            </w:pPr>
          </w:p>
        </w:tc>
        <w:tc>
          <w:tcPr>
            <w:tcW w:w="623" w:type="dxa"/>
          </w:tcPr>
          <w:p w14:paraId="476ED9DF" w14:textId="77777777" w:rsidR="004A0884" w:rsidRDefault="004A0884" w:rsidP="001C5EA4">
            <w:pPr>
              <w:pStyle w:val="TableText"/>
            </w:pPr>
          </w:p>
        </w:tc>
        <w:tc>
          <w:tcPr>
            <w:tcW w:w="4654" w:type="dxa"/>
          </w:tcPr>
          <w:p w14:paraId="02A9282B" w14:textId="77777777" w:rsidR="004A0884" w:rsidRPr="00AE61B4" w:rsidRDefault="004A0884" w:rsidP="001C5EA4">
            <w:pPr>
              <w:pStyle w:val="TableBlockOutdent"/>
            </w:pPr>
            <w:r w:rsidRPr="00AE61B4">
              <w:rPr>
                <w:rtl/>
              </w:rPr>
              <w:t xml:space="preserve">"טיפול" –  טיפול פסיכולוגי וטיפול על ידי עובד סוציאלי; </w:t>
            </w:r>
          </w:p>
        </w:tc>
      </w:tr>
      <w:tr w:rsidR="004A0884" w:rsidRPr="00AE61B4" w14:paraId="4D6839DC" w14:textId="77777777" w:rsidTr="004A0884">
        <w:tblPrEx>
          <w:tblLook w:val="01E0" w:firstRow="1" w:lastRow="1" w:firstColumn="1" w:lastColumn="1" w:noHBand="0" w:noVBand="0"/>
        </w:tblPrEx>
        <w:trPr>
          <w:cantSplit/>
        </w:trPr>
        <w:tc>
          <w:tcPr>
            <w:tcW w:w="1871" w:type="dxa"/>
          </w:tcPr>
          <w:p w14:paraId="16DECC29" w14:textId="77777777" w:rsidR="004A0884" w:rsidRDefault="004A0884" w:rsidP="001C5EA4">
            <w:pPr>
              <w:pStyle w:val="TableSideHeading"/>
            </w:pPr>
          </w:p>
        </w:tc>
        <w:tc>
          <w:tcPr>
            <w:tcW w:w="624" w:type="dxa"/>
          </w:tcPr>
          <w:p w14:paraId="7C4AFA96" w14:textId="77777777" w:rsidR="004A0884" w:rsidRDefault="004A0884" w:rsidP="001C5EA4">
            <w:pPr>
              <w:pStyle w:val="TableText"/>
            </w:pPr>
          </w:p>
        </w:tc>
        <w:tc>
          <w:tcPr>
            <w:tcW w:w="623" w:type="dxa"/>
          </w:tcPr>
          <w:p w14:paraId="637C4773" w14:textId="77777777" w:rsidR="004A0884" w:rsidRDefault="004A0884" w:rsidP="001C5EA4">
            <w:pPr>
              <w:pStyle w:val="TableText"/>
            </w:pPr>
          </w:p>
        </w:tc>
        <w:tc>
          <w:tcPr>
            <w:tcW w:w="623" w:type="dxa"/>
          </w:tcPr>
          <w:p w14:paraId="31CDE377" w14:textId="77777777" w:rsidR="004A0884" w:rsidRDefault="004A0884" w:rsidP="001C5EA4">
            <w:pPr>
              <w:pStyle w:val="TableText"/>
            </w:pPr>
          </w:p>
        </w:tc>
        <w:tc>
          <w:tcPr>
            <w:tcW w:w="623" w:type="dxa"/>
          </w:tcPr>
          <w:p w14:paraId="429C1A28" w14:textId="77777777" w:rsidR="004A0884" w:rsidRDefault="004A0884" w:rsidP="001C5EA4">
            <w:pPr>
              <w:pStyle w:val="TableText"/>
            </w:pPr>
          </w:p>
        </w:tc>
        <w:tc>
          <w:tcPr>
            <w:tcW w:w="623" w:type="dxa"/>
          </w:tcPr>
          <w:p w14:paraId="79A446C5" w14:textId="77777777" w:rsidR="004A0884" w:rsidRDefault="004A0884" w:rsidP="001C5EA4">
            <w:pPr>
              <w:pStyle w:val="TableText"/>
            </w:pPr>
          </w:p>
        </w:tc>
        <w:tc>
          <w:tcPr>
            <w:tcW w:w="4654" w:type="dxa"/>
          </w:tcPr>
          <w:p w14:paraId="2E3BF665" w14:textId="77777777" w:rsidR="004A0884" w:rsidRPr="00AE61B4" w:rsidRDefault="004A0884" w:rsidP="001C5EA4">
            <w:pPr>
              <w:pStyle w:val="TableBlockOutdent"/>
              <w:rPr>
                <w:rtl/>
              </w:rPr>
            </w:pPr>
            <w:r w:rsidRPr="00AE61B4">
              <w:rPr>
                <w:rtl/>
              </w:rPr>
              <w:t>"קטין" – לרבות מי שהיה קטין בעת תחילת הטיפול לפי סעיף זה.</w:t>
            </w:r>
          </w:p>
        </w:tc>
      </w:tr>
      <w:tr w:rsidR="004A0884" w14:paraId="1C21F3FA" w14:textId="77777777" w:rsidTr="004A0884">
        <w:trPr>
          <w:cantSplit/>
        </w:trPr>
        <w:tc>
          <w:tcPr>
            <w:tcW w:w="1871" w:type="dxa"/>
            <w:tcBorders>
              <w:top w:val="nil"/>
              <w:left w:val="nil"/>
              <w:bottom w:val="nil"/>
              <w:right w:val="nil"/>
            </w:tcBorders>
          </w:tcPr>
          <w:p w14:paraId="32809D77" w14:textId="77777777" w:rsidR="004A0884" w:rsidRDefault="004A0884" w:rsidP="001C5EA4">
            <w:pPr>
              <w:pStyle w:val="TableSideHeading"/>
            </w:pPr>
          </w:p>
        </w:tc>
        <w:tc>
          <w:tcPr>
            <w:tcW w:w="624" w:type="dxa"/>
            <w:tcBorders>
              <w:top w:val="nil"/>
              <w:left w:val="nil"/>
              <w:bottom w:val="nil"/>
              <w:right w:val="nil"/>
            </w:tcBorders>
          </w:tcPr>
          <w:p w14:paraId="0B25B154" w14:textId="77777777" w:rsidR="004A0884" w:rsidRDefault="004A0884" w:rsidP="001C5EA4">
            <w:pPr>
              <w:pStyle w:val="TableText"/>
            </w:pPr>
          </w:p>
        </w:tc>
        <w:tc>
          <w:tcPr>
            <w:tcW w:w="623" w:type="dxa"/>
            <w:tcBorders>
              <w:top w:val="nil"/>
              <w:left w:val="nil"/>
              <w:bottom w:val="nil"/>
              <w:right w:val="nil"/>
            </w:tcBorders>
          </w:tcPr>
          <w:p w14:paraId="4010A7DA" w14:textId="77777777" w:rsidR="004A0884" w:rsidRDefault="004A0884" w:rsidP="001C5EA4">
            <w:pPr>
              <w:pStyle w:val="TableText"/>
            </w:pPr>
          </w:p>
        </w:tc>
        <w:tc>
          <w:tcPr>
            <w:tcW w:w="623" w:type="dxa"/>
            <w:tcBorders>
              <w:top w:val="nil"/>
              <w:left w:val="nil"/>
              <w:bottom w:val="nil"/>
              <w:right w:val="nil"/>
            </w:tcBorders>
          </w:tcPr>
          <w:p w14:paraId="5A0422D8" w14:textId="77777777" w:rsidR="004A0884" w:rsidRDefault="004A0884" w:rsidP="001C5EA4">
            <w:pPr>
              <w:pStyle w:val="TableText"/>
            </w:pPr>
          </w:p>
        </w:tc>
        <w:tc>
          <w:tcPr>
            <w:tcW w:w="623" w:type="dxa"/>
            <w:tcBorders>
              <w:top w:val="nil"/>
              <w:left w:val="nil"/>
              <w:bottom w:val="nil"/>
              <w:right w:val="nil"/>
            </w:tcBorders>
          </w:tcPr>
          <w:p w14:paraId="6BB9B1B3" w14:textId="77777777" w:rsidR="004A0884" w:rsidRDefault="004A0884" w:rsidP="001C5EA4">
            <w:pPr>
              <w:pStyle w:val="TableText"/>
            </w:pPr>
          </w:p>
        </w:tc>
        <w:tc>
          <w:tcPr>
            <w:tcW w:w="623" w:type="dxa"/>
            <w:tcBorders>
              <w:top w:val="nil"/>
              <w:left w:val="nil"/>
              <w:bottom w:val="nil"/>
              <w:right w:val="nil"/>
            </w:tcBorders>
          </w:tcPr>
          <w:p w14:paraId="4DE31C2F" w14:textId="77777777" w:rsidR="004A0884" w:rsidRDefault="004A0884" w:rsidP="001C5EA4">
            <w:pPr>
              <w:pStyle w:val="TableText"/>
            </w:pPr>
          </w:p>
        </w:tc>
        <w:tc>
          <w:tcPr>
            <w:tcW w:w="4654" w:type="dxa"/>
            <w:tcBorders>
              <w:top w:val="nil"/>
              <w:left w:val="nil"/>
              <w:bottom w:val="nil"/>
              <w:right w:val="nil"/>
            </w:tcBorders>
          </w:tcPr>
          <w:p w14:paraId="1CBD102B" w14:textId="77777777" w:rsidR="004A0884" w:rsidRDefault="004A0884" w:rsidP="001C5EA4">
            <w:pPr>
              <w:pStyle w:val="TableBlock"/>
              <w:rPr>
                <w:sz w:val="26"/>
                <w:rtl/>
              </w:rPr>
            </w:pPr>
            <w:r>
              <w:rPr>
                <w:sz w:val="26"/>
                <w:rtl/>
              </w:rPr>
              <w:t>(ב)</w:t>
            </w:r>
            <w:r>
              <w:rPr>
                <w:sz w:val="26"/>
                <w:rtl/>
              </w:rPr>
              <w:tab/>
              <w:t xml:space="preserve">הלשכה לשירותים חברתיים ברשות המקומית שבה מתגורר קטין שנפגע מאלימות במשפחה </w:t>
            </w:r>
            <w:r>
              <w:rPr>
                <w:rFonts w:hint="cs"/>
                <w:sz w:val="26"/>
                <w:rtl/>
              </w:rPr>
              <w:t xml:space="preserve">או שנחשף לאלימות במשפחה </w:t>
            </w:r>
            <w:r>
              <w:rPr>
                <w:sz w:val="26"/>
                <w:rtl/>
              </w:rPr>
              <w:t>אחראית למתן טיפול לקטין כאמור בסעיף קטן</w:t>
            </w:r>
            <w:r>
              <w:rPr>
                <w:rFonts w:hint="cs"/>
                <w:sz w:val="26"/>
                <w:rtl/>
              </w:rPr>
              <w:t xml:space="preserve"> </w:t>
            </w:r>
            <w:r>
              <w:rPr>
                <w:sz w:val="26"/>
                <w:rtl/>
              </w:rPr>
              <w:t xml:space="preserve">(א); הטיפול יכול שיינתן על ידי מטפלים עובדי המדינה או הרשות המקומית או על ידי הפניית הקטין לטיפול על ידי מטפלים </w:t>
            </w:r>
            <w:r>
              <w:rPr>
                <w:rFonts w:hint="cs"/>
                <w:sz w:val="26"/>
                <w:rtl/>
              </w:rPr>
              <w:t xml:space="preserve">שהם </w:t>
            </w:r>
            <w:r>
              <w:rPr>
                <w:sz w:val="26"/>
                <w:rtl/>
              </w:rPr>
              <w:t>בעלי הכשרה מתאימה למתן הטיפול הנדרש</w:t>
            </w:r>
            <w:r>
              <w:rPr>
                <w:rFonts w:hint="cs"/>
                <w:sz w:val="26"/>
                <w:rtl/>
              </w:rPr>
              <w:t xml:space="preserve"> כאמור בסעיף 1</w:t>
            </w:r>
            <w:r>
              <w:rPr>
                <w:sz w:val="26"/>
                <w:rtl/>
              </w:rPr>
              <w:t>.</w:t>
            </w:r>
          </w:p>
        </w:tc>
      </w:tr>
      <w:tr w:rsidR="004A0884" w14:paraId="15728A2F" w14:textId="77777777" w:rsidTr="004A0884">
        <w:trPr>
          <w:cantSplit/>
        </w:trPr>
        <w:tc>
          <w:tcPr>
            <w:tcW w:w="1871" w:type="dxa"/>
            <w:tcBorders>
              <w:top w:val="nil"/>
              <w:left w:val="nil"/>
              <w:bottom w:val="nil"/>
              <w:right w:val="nil"/>
            </w:tcBorders>
          </w:tcPr>
          <w:p w14:paraId="5D9973B1" w14:textId="77777777" w:rsidR="004A0884" w:rsidRDefault="004A0884" w:rsidP="001C5EA4">
            <w:pPr>
              <w:pStyle w:val="TableSideHeading"/>
            </w:pPr>
          </w:p>
        </w:tc>
        <w:tc>
          <w:tcPr>
            <w:tcW w:w="624" w:type="dxa"/>
            <w:tcBorders>
              <w:top w:val="nil"/>
              <w:left w:val="nil"/>
              <w:bottom w:val="nil"/>
              <w:right w:val="nil"/>
            </w:tcBorders>
          </w:tcPr>
          <w:p w14:paraId="62F83E24" w14:textId="77777777" w:rsidR="004A0884" w:rsidRDefault="004A0884" w:rsidP="001C5EA4">
            <w:pPr>
              <w:pStyle w:val="TableText"/>
            </w:pPr>
          </w:p>
        </w:tc>
        <w:tc>
          <w:tcPr>
            <w:tcW w:w="623" w:type="dxa"/>
            <w:tcBorders>
              <w:top w:val="nil"/>
              <w:left w:val="nil"/>
              <w:bottom w:val="nil"/>
              <w:right w:val="nil"/>
            </w:tcBorders>
          </w:tcPr>
          <w:p w14:paraId="6874DA0B" w14:textId="77777777" w:rsidR="004A0884" w:rsidRDefault="004A0884" w:rsidP="001C5EA4">
            <w:pPr>
              <w:pStyle w:val="TableText"/>
            </w:pPr>
          </w:p>
        </w:tc>
        <w:tc>
          <w:tcPr>
            <w:tcW w:w="623" w:type="dxa"/>
            <w:tcBorders>
              <w:top w:val="nil"/>
              <w:left w:val="nil"/>
              <w:bottom w:val="nil"/>
              <w:right w:val="nil"/>
            </w:tcBorders>
          </w:tcPr>
          <w:p w14:paraId="65DDD892" w14:textId="77777777" w:rsidR="004A0884" w:rsidRDefault="004A0884" w:rsidP="001C5EA4">
            <w:pPr>
              <w:pStyle w:val="TableText"/>
            </w:pPr>
          </w:p>
        </w:tc>
        <w:tc>
          <w:tcPr>
            <w:tcW w:w="623" w:type="dxa"/>
            <w:tcBorders>
              <w:top w:val="nil"/>
              <w:left w:val="nil"/>
              <w:bottom w:val="nil"/>
              <w:right w:val="nil"/>
            </w:tcBorders>
          </w:tcPr>
          <w:p w14:paraId="0ACA4D8E" w14:textId="77777777" w:rsidR="004A0884" w:rsidRDefault="004A0884" w:rsidP="001C5EA4">
            <w:pPr>
              <w:pStyle w:val="TableText"/>
            </w:pPr>
          </w:p>
        </w:tc>
        <w:tc>
          <w:tcPr>
            <w:tcW w:w="623" w:type="dxa"/>
            <w:tcBorders>
              <w:top w:val="nil"/>
              <w:left w:val="nil"/>
              <w:bottom w:val="nil"/>
              <w:right w:val="nil"/>
            </w:tcBorders>
          </w:tcPr>
          <w:p w14:paraId="0E0E0560" w14:textId="77777777" w:rsidR="004A0884" w:rsidRDefault="004A0884" w:rsidP="001C5EA4">
            <w:pPr>
              <w:pStyle w:val="TableText"/>
            </w:pPr>
          </w:p>
        </w:tc>
        <w:tc>
          <w:tcPr>
            <w:tcW w:w="4654" w:type="dxa"/>
            <w:tcBorders>
              <w:top w:val="nil"/>
              <w:left w:val="nil"/>
              <w:bottom w:val="nil"/>
              <w:right w:val="nil"/>
            </w:tcBorders>
          </w:tcPr>
          <w:p w14:paraId="4AF0DD9C" w14:textId="77777777" w:rsidR="004A0884" w:rsidRDefault="004A0884" w:rsidP="001C5EA4">
            <w:pPr>
              <w:pStyle w:val="TableBlock"/>
              <w:rPr>
                <w:sz w:val="26"/>
                <w:rtl/>
              </w:rPr>
            </w:pPr>
            <w:r>
              <w:rPr>
                <w:sz w:val="26"/>
                <w:rtl/>
              </w:rPr>
              <w:t>(ג)</w:t>
            </w:r>
            <w:r>
              <w:rPr>
                <w:sz w:val="26"/>
                <w:rtl/>
              </w:rPr>
              <w:tab/>
              <w:t>השר, בהתייעצות עם שר הבריאות, ובאישור הוועדה, יקבע כללים והוראות לעניין מימוש הזכאות לפי סעיף זה, וכן רשאי הוא לקבוע בתקנות כאמור תשלום השתתפות עצמית של הקטין בעלות הטיפול בסכום שלא יעלה על 50 שקלים חדשים.</w:t>
            </w:r>
          </w:p>
        </w:tc>
      </w:tr>
      <w:tr w:rsidR="004A0884" w14:paraId="06234FB6" w14:textId="77777777" w:rsidTr="004A0884">
        <w:trPr>
          <w:cantSplit/>
        </w:trPr>
        <w:tc>
          <w:tcPr>
            <w:tcW w:w="1871" w:type="dxa"/>
            <w:tcBorders>
              <w:top w:val="nil"/>
              <w:left w:val="nil"/>
              <w:bottom w:val="nil"/>
              <w:right w:val="nil"/>
            </w:tcBorders>
          </w:tcPr>
          <w:p w14:paraId="662BDEC0" w14:textId="77777777" w:rsidR="004A0884" w:rsidRDefault="004A0884" w:rsidP="001C5EA4">
            <w:pPr>
              <w:pStyle w:val="TableSideHeading"/>
            </w:pPr>
          </w:p>
        </w:tc>
        <w:tc>
          <w:tcPr>
            <w:tcW w:w="624" w:type="dxa"/>
            <w:tcBorders>
              <w:top w:val="nil"/>
              <w:left w:val="nil"/>
              <w:bottom w:val="nil"/>
              <w:right w:val="nil"/>
            </w:tcBorders>
          </w:tcPr>
          <w:p w14:paraId="3C0D5600" w14:textId="77777777" w:rsidR="004A0884" w:rsidRDefault="004A0884" w:rsidP="001C5EA4">
            <w:pPr>
              <w:pStyle w:val="TableText"/>
            </w:pPr>
          </w:p>
        </w:tc>
        <w:tc>
          <w:tcPr>
            <w:tcW w:w="623" w:type="dxa"/>
            <w:tcBorders>
              <w:top w:val="nil"/>
              <w:left w:val="nil"/>
              <w:bottom w:val="nil"/>
              <w:right w:val="nil"/>
            </w:tcBorders>
          </w:tcPr>
          <w:p w14:paraId="66A90734" w14:textId="77777777" w:rsidR="004A0884" w:rsidRDefault="004A0884" w:rsidP="001C5EA4">
            <w:pPr>
              <w:pStyle w:val="TableText"/>
            </w:pPr>
          </w:p>
        </w:tc>
        <w:tc>
          <w:tcPr>
            <w:tcW w:w="623" w:type="dxa"/>
            <w:tcBorders>
              <w:top w:val="nil"/>
              <w:left w:val="nil"/>
              <w:bottom w:val="nil"/>
              <w:right w:val="nil"/>
            </w:tcBorders>
          </w:tcPr>
          <w:p w14:paraId="7D86417C" w14:textId="77777777" w:rsidR="004A0884" w:rsidRDefault="004A0884" w:rsidP="001C5EA4">
            <w:pPr>
              <w:pStyle w:val="TableText"/>
            </w:pPr>
          </w:p>
        </w:tc>
        <w:tc>
          <w:tcPr>
            <w:tcW w:w="623" w:type="dxa"/>
            <w:tcBorders>
              <w:top w:val="nil"/>
              <w:left w:val="nil"/>
              <w:bottom w:val="nil"/>
              <w:right w:val="nil"/>
            </w:tcBorders>
          </w:tcPr>
          <w:p w14:paraId="228B2BF5" w14:textId="77777777" w:rsidR="004A0884" w:rsidRDefault="004A0884" w:rsidP="001C5EA4">
            <w:pPr>
              <w:pStyle w:val="TableText"/>
            </w:pPr>
          </w:p>
        </w:tc>
        <w:tc>
          <w:tcPr>
            <w:tcW w:w="623" w:type="dxa"/>
            <w:tcBorders>
              <w:top w:val="nil"/>
              <w:left w:val="nil"/>
              <w:bottom w:val="nil"/>
              <w:right w:val="nil"/>
            </w:tcBorders>
          </w:tcPr>
          <w:p w14:paraId="50221DDC" w14:textId="77777777" w:rsidR="004A0884" w:rsidRDefault="004A0884" w:rsidP="001C5EA4">
            <w:pPr>
              <w:pStyle w:val="TableText"/>
            </w:pPr>
          </w:p>
        </w:tc>
        <w:tc>
          <w:tcPr>
            <w:tcW w:w="4654" w:type="dxa"/>
            <w:tcBorders>
              <w:top w:val="nil"/>
              <w:left w:val="nil"/>
              <w:bottom w:val="nil"/>
              <w:right w:val="nil"/>
            </w:tcBorders>
          </w:tcPr>
          <w:p w14:paraId="47E0622E" w14:textId="77777777" w:rsidR="004A0884" w:rsidRDefault="004A0884" w:rsidP="001C5EA4">
            <w:pPr>
              <w:pStyle w:val="TableBlock"/>
              <w:rPr>
                <w:sz w:val="26"/>
                <w:rtl/>
              </w:rPr>
            </w:pPr>
            <w:r>
              <w:rPr>
                <w:sz w:val="26"/>
                <w:rtl/>
              </w:rPr>
              <w:t>(ד)</w:t>
            </w:r>
            <w:r>
              <w:rPr>
                <w:sz w:val="26"/>
                <w:rtl/>
              </w:rPr>
              <w:tab/>
              <w:t>על החלטה לפי סעיף זה ניתן לערור לוועדת ערר שהוקמה לפי חוק שירותי הסעד, התשי"ח–1958</w:t>
            </w:r>
            <w:r>
              <w:rPr>
                <w:rStyle w:val="a6"/>
                <w:sz w:val="26"/>
                <w:rtl/>
              </w:rPr>
              <w:footnoteReference w:id="3"/>
            </w:r>
            <w:r>
              <w:rPr>
                <w:sz w:val="26"/>
                <w:rtl/>
              </w:rPr>
              <w:t xml:space="preserve">, בדרך שבה עוררים על החלטה לפי אותו חוק. </w:t>
            </w:r>
          </w:p>
        </w:tc>
      </w:tr>
      <w:tr w:rsidR="004A0884" w14:paraId="1EE9ABCB" w14:textId="77777777" w:rsidTr="004A0884">
        <w:trPr>
          <w:cantSplit/>
        </w:trPr>
        <w:tc>
          <w:tcPr>
            <w:tcW w:w="1871" w:type="dxa"/>
            <w:tcBorders>
              <w:top w:val="nil"/>
              <w:left w:val="nil"/>
              <w:bottom w:val="nil"/>
              <w:right w:val="nil"/>
            </w:tcBorders>
          </w:tcPr>
          <w:p w14:paraId="13B5BA28" w14:textId="77777777" w:rsidR="004A0884" w:rsidRDefault="004A0884" w:rsidP="001C5EA4">
            <w:pPr>
              <w:pStyle w:val="TableSideHeading"/>
              <w:keepLines w:val="0"/>
            </w:pPr>
          </w:p>
        </w:tc>
        <w:tc>
          <w:tcPr>
            <w:tcW w:w="624" w:type="dxa"/>
            <w:tcBorders>
              <w:top w:val="nil"/>
              <w:left w:val="nil"/>
              <w:bottom w:val="nil"/>
              <w:right w:val="nil"/>
            </w:tcBorders>
          </w:tcPr>
          <w:p w14:paraId="3DB35D7C" w14:textId="77777777" w:rsidR="004A0884" w:rsidRDefault="004A0884" w:rsidP="001C5EA4">
            <w:pPr>
              <w:pStyle w:val="TableText"/>
              <w:keepLines w:val="0"/>
            </w:pPr>
          </w:p>
        </w:tc>
        <w:tc>
          <w:tcPr>
            <w:tcW w:w="1869" w:type="dxa"/>
            <w:gridSpan w:val="3"/>
            <w:tcBorders>
              <w:top w:val="nil"/>
              <w:left w:val="nil"/>
              <w:bottom w:val="nil"/>
              <w:right w:val="nil"/>
            </w:tcBorders>
          </w:tcPr>
          <w:p w14:paraId="2516266E" w14:textId="77777777" w:rsidR="004A0884" w:rsidRDefault="004A0884" w:rsidP="001C5EA4">
            <w:pPr>
              <w:pStyle w:val="TableInnerSideHeading"/>
            </w:pPr>
            <w:r>
              <w:rPr>
                <w:sz w:val="26"/>
                <w:rtl/>
              </w:rPr>
              <w:t>שמירת זכויות</w:t>
            </w:r>
          </w:p>
        </w:tc>
        <w:tc>
          <w:tcPr>
            <w:tcW w:w="623" w:type="dxa"/>
            <w:tcBorders>
              <w:top w:val="nil"/>
              <w:left w:val="nil"/>
              <w:bottom w:val="nil"/>
              <w:right w:val="nil"/>
            </w:tcBorders>
          </w:tcPr>
          <w:p w14:paraId="5DCD0F45" w14:textId="77777777" w:rsidR="004A0884" w:rsidRDefault="004A0884" w:rsidP="001C5EA4">
            <w:pPr>
              <w:pStyle w:val="TableText"/>
            </w:pPr>
            <w:r>
              <w:rPr>
                <w:sz w:val="26"/>
                <w:rtl/>
              </w:rPr>
              <w:t>9.</w:t>
            </w:r>
          </w:p>
        </w:tc>
        <w:tc>
          <w:tcPr>
            <w:tcW w:w="4654" w:type="dxa"/>
            <w:tcBorders>
              <w:top w:val="nil"/>
              <w:left w:val="nil"/>
              <w:bottom w:val="nil"/>
              <w:right w:val="nil"/>
            </w:tcBorders>
          </w:tcPr>
          <w:p w14:paraId="1ECFA495" w14:textId="77777777" w:rsidR="004A0884" w:rsidRDefault="004A0884" w:rsidP="001C5EA4">
            <w:pPr>
              <w:pStyle w:val="TableBlock"/>
              <w:rPr>
                <w:sz w:val="26"/>
                <w:rtl/>
              </w:rPr>
            </w:pPr>
            <w:r>
              <w:rPr>
                <w:sz w:val="26"/>
                <w:rtl/>
              </w:rPr>
              <w:t>אין בהוראות לפי חוק זה כדי לגרוע מזכויות קטינים נפגעי עבירה לפי חוק זכויות נפגעי עבירה, התשס</w:t>
            </w:r>
            <w:r w:rsidRPr="00903E27">
              <w:rPr>
                <w:sz w:val="26"/>
                <w:rtl/>
              </w:rPr>
              <w:t>"א–2001</w:t>
            </w:r>
            <w:r w:rsidRPr="00903E27">
              <w:rPr>
                <w:rStyle w:val="a6"/>
                <w:sz w:val="26"/>
                <w:rtl/>
              </w:rPr>
              <w:footnoteReference w:id="4"/>
            </w:r>
            <w:r w:rsidRPr="00903E27">
              <w:rPr>
                <w:sz w:val="26"/>
                <w:rtl/>
              </w:rPr>
              <w:t>, או</w:t>
            </w:r>
            <w:r>
              <w:rPr>
                <w:sz w:val="26"/>
                <w:rtl/>
              </w:rPr>
              <w:t xml:space="preserve"> מזכויות קטינים הזכאים לטיפול נפשי או לשירותי בריאות לפי כל דין."</w:t>
            </w:r>
          </w:p>
        </w:tc>
      </w:tr>
    </w:tbl>
    <w:p w14:paraId="7F6961CA" w14:textId="77777777" w:rsidR="002D1EE3" w:rsidRDefault="002D1EE3" w:rsidP="002D1EE3">
      <w:pPr>
        <w:pStyle w:val="HeadDivreiHesber"/>
        <w:rPr>
          <w:rtl/>
        </w:rPr>
      </w:pPr>
      <w:r w:rsidRPr="0027450A">
        <w:rPr>
          <w:rFonts w:hint="cs"/>
          <w:rtl/>
        </w:rPr>
        <w:t>דברי הסבר</w:t>
      </w:r>
    </w:p>
    <w:p w14:paraId="73B9F4AF" w14:textId="77777777" w:rsidR="004A0884" w:rsidRDefault="004A0884" w:rsidP="004A0884">
      <w:pPr>
        <w:pStyle w:val="Hesber"/>
        <w:rPr>
          <w:sz w:val="26"/>
          <w:rtl/>
        </w:rPr>
      </w:pPr>
      <w:r>
        <w:rPr>
          <w:sz w:val="26"/>
          <w:rtl/>
        </w:rPr>
        <w:t xml:space="preserve">קטינים וקטינות נפגעי אלימות </w:t>
      </w:r>
      <w:r>
        <w:rPr>
          <w:rFonts w:hint="cs"/>
          <w:sz w:val="26"/>
          <w:rtl/>
        </w:rPr>
        <w:t xml:space="preserve">או שנחשפו לאלימות במשפחה </w:t>
      </w:r>
      <w:r>
        <w:rPr>
          <w:sz w:val="26"/>
          <w:rtl/>
        </w:rPr>
        <w:t xml:space="preserve">נזקקים לרוב לטיפול משקם נפשית ופיזית על מנת להמשיך בחיים תקינים ונורמליים, ככל האפשר. העלות של טיפולים פסיכולוגיים גבוהה מאוד ורבות מהמשפחות מתקשות לעמוד בתשלומים הגבוהים ולכן נוצר מצב בו הקטינים לא זוכים לשיקום. </w:t>
      </w:r>
    </w:p>
    <w:p w14:paraId="3FECE485" w14:textId="77777777" w:rsidR="004A0884" w:rsidRDefault="004A0884" w:rsidP="004A0884">
      <w:pPr>
        <w:pStyle w:val="Hesber"/>
        <w:rPr>
          <w:sz w:val="26"/>
          <w:rtl/>
        </w:rPr>
      </w:pPr>
      <w:r>
        <w:rPr>
          <w:sz w:val="26"/>
          <w:rtl/>
        </w:rPr>
        <w:t xml:space="preserve">באשר למרכזי הסיוע במימון ותמיכת משרד הרווחה, אלו לרוב עמוסים וקיים זמן ההמתנה ארוך, בעוד נחיצות הטיפול היא קריטית. </w:t>
      </w:r>
    </w:p>
    <w:p w14:paraId="7E07A166" w14:textId="77777777" w:rsidR="004A0884" w:rsidRDefault="004A0884" w:rsidP="004A0884">
      <w:pPr>
        <w:pStyle w:val="Hesber"/>
        <w:rPr>
          <w:sz w:val="26"/>
          <w:rtl/>
        </w:rPr>
      </w:pPr>
      <w:r>
        <w:rPr>
          <w:sz w:val="26"/>
          <w:rtl/>
        </w:rPr>
        <w:t xml:space="preserve">מטרתה </w:t>
      </w:r>
      <w:r>
        <w:rPr>
          <w:rFonts w:hint="cs"/>
          <w:sz w:val="26"/>
          <w:rtl/>
        </w:rPr>
        <w:t xml:space="preserve">של </w:t>
      </w:r>
      <w:r>
        <w:rPr>
          <w:sz w:val="26"/>
          <w:rtl/>
        </w:rPr>
        <w:t>הצעת חוק ז</w:t>
      </w:r>
      <w:r>
        <w:rPr>
          <w:rFonts w:hint="cs"/>
          <w:sz w:val="26"/>
          <w:rtl/>
        </w:rPr>
        <w:t>ו</w:t>
      </w:r>
      <w:r>
        <w:rPr>
          <w:sz w:val="26"/>
          <w:rtl/>
        </w:rPr>
        <w:t xml:space="preserve"> לאפשר לקטינים נפגעי אלימות במשפחה </w:t>
      </w:r>
      <w:r>
        <w:rPr>
          <w:rFonts w:hint="cs"/>
          <w:sz w:val="26"/>
          <w:rtl/>
        </w:rPr>
        <w:t xml:space="preserve">או חשופים שנחשפו לאלימות </w:t>
      </w:r>
      <w:r>
        <w:rPr>
          <w:sz w:val="26"/>
          <w:rtl/>
        </w:rPr>
        <w:t xml:space="preserve">לקבל טיפול זמין, מקצועי, </w:t>
      </w:r>
      <w:r>
        <w:rPr>
          <w:rFonts w:hint="cs"/>
          <w:sz w:val="26"/>
          <w:rtl/>
        </w:rPr>
        <w:t xml:space="preserve">חינם או בעת הצורך בעלות נמוכה </w:t>
      </w:r>
      <w:r>
        <w:rPr>
          <w:sz w:val="26"/>
          <w:rtl/>
        </w:rPr>
        <w:t>וללא דיחוי.</w:t>
      </w:r>
    </w:p>
    <w:p w14:paraId="3EBD3B60" w14:textId="77777777" w:rsidR="00991520" w:rsidRDefault="004A0884" w:rsidP="004A0884">
      <w:pPr>
        <w:pStyle w:val="Hesber"/>
        <w:rPr>
          <w:sz w:val="26"/>
          <w:rtl/>
        </w:rPr>
      </w:pPr>
      <w:r>
        <w:rPr>
          <w:rFonts w:hint="cs"/>
          <w:sz w:val="26"/>
          <w:rtl/>
        </w:rPr>
        <w:t xml:space="preserve">הצעת חוק דומה בעיקרה הונחה על שולחן הכנסת התשע-עשרה על-ידי חברת הכנסת תמר זנדברג </w:t>
      </w:r>
      <w:r>
        <w:rPr>
          <w:rFonts w:hint="cs"/>
          <w:sz w:val="26"/>
          <w:rtl/>
        </w:rPr>
        <w:lastRenderedPageBreak/>
        <w:t>וקבוצת חברי הכנסת (</w:t>
      </w:r>
      <w:r w:rsidRPr="00647423">
        <w:rPr>
          <w:rFonts w:hint="cs"/>
          <w:sz w:val="26"/>
          <w:rtl/>
        </w:rPr>
        <w:t>פ</w:t>
      </w:r>
      <w:r w:rsidRPr="00647423">
        <w:rPr>
          <w:sz w:val="26"/>
          <w:rtl/>
        </w:rPr>
        <w:t>/1737/19</w:t>
      </w:r>
      <w:r>
        <w:rPr>
          <w:rFonts w:hint="cs"/>
          <w:sz w:val="26"/>
          <w:rtl/>
        </w:rPr>
        <w:t>) והצעה דומה הונחה על שולחן הכנסת העשרים על ידי חה"כ תמר זנדב</w:t>
      </w:r>
      <w:r w:rsidR="00991520">
        <w:rPr>
          <w:rFonts w:hint="cs"/>
          <w:sz w:val="26"/>
          <w:rtl/>
        </w:rPr>
        <w:t>רג וקבוצת חברי כנסת (פ/60/20).</w:t>
      </w:r>
    </w:p>
    <w:p w14:paraId="05C7B327" w14:textId="6977C1E6" w:rsidR="004A0884" w:rsidRDefault="00991520" w:rsidP="009B60BC">
      <w:pPr>
        <w:pStyle w:val="Hesber"/>
        <w:rPr>
          <w:sz w:val="26"/>
          <w:rtl/>
        </w:rPr>
      </w:pPr>
      <w:r>
        <w:rPr>
          <w:rFonts w:hint="cs"/>
          <w:sz w:val="26"/>
          <w:rtl/>
        </w:rPr>
        <w:t xml:space="preserve">הצעת חוק זהה הונחה על שולחן הכנסת העשרים ושתיים </w:t>
      </w:r>
      <w:r w:rsidR="004A0884">
        <w:rPr>
          <w:rFonts w:hint="cs"/>
          <w:sz w:val="26"/>
          <w:rtl/>
        </w:rPr>
        <w:t>על ידי חברת הכנסת עומר ינקלביץ' (פ/</w:t>
      </w:r>
      <w:r w:rsidR="009B60BC">
        <w:rPr>
          <w:rFonts w:hint="cs"/>
          <w:sz w:val="26"/>
          <w:rtl/>
        </w:rPr>
        <w:t>1382/22</w:t>
      </w:r>
      <w:r w:rsidR="004A0884">
        <w:rPr>
          <w:rFonts w:hint="cs"/>
          <w:sz w:val="26"/>
          <w:rtl/>
        </w:rPr>
        <w:t xml:space="preserve">). </w:t>
      </w:r>
      <w:bookmarkStart w:id="8" w:name="_GoBack"/>
      <w:bookmarkEnd w:id="8"/>
    </w:p>
    <w:p w14:paraId="40DB9126" w14:textId="1E3DA5BC" w:rsidR="007339F1" w:rsidRDefault="007339F1" w:rsidP="00991520">
      <w:pPr>
        <w:pStyle w:val="Hesber"/>
        <w:rPr>
          <w:sz w:val="26"/>
          <w:rtl/>
        </w:rPr>
      </w:pPr>
    </w:p>
    <w:p w14:paraId="3E0BEB73" w14:textId="5011E5F2" w:rsidR="007339F1" w:rsidRDefault="007339F1" w:rsidP="00991520">
      <w:pPr>
        <w:pStyle w:val="Hesber"/>
        <w:rPr>
          <w:sz w:val="26"/>
          <w:rtl/>
        </w:rPr>
      </w:pPr>
    </w:p>
    <w:p w14:paraId="564018FE" w14:textId="77777777" w:rsidR="007339F1" w:rsidRPr="00A83796" w:rsidRDefault="007339F1" w:rsidP="007339F1">
      <w:pPr>
        <w:pStyle w:val="Hesber"/>
        <w:rPr>
          <w:rtl/>
        </w:rPr>
      </w:pPr>
      <w:r w:rsidRPr="00A83796">
        <w:rPr>
          <w:rtl/>
        </w:rPr>
        <w:t>---------------------------------</w:t>
      </w:r>
    </w:p>
    <w:p w14:paraId="740BAFD2" w14:textId="77777777" w:rsidR="007339F1" w:rsidRPr="00A83796" w:rsidRDefault="007339F1" w:rsidP="007339F1">
      <w:pPr>
        <w:pStyle w:val="Hesber"/>
        <w:rPr>
          <w:rtl/>
        </w:rPr>
      </w:pPr>
      <w:r w:rsidRPr="00A83796">
        <w:rPr>
          <w:rFonts w:hint="cs"/>
          <w:rtl/>
        </w:rPr>
        <w:t>הוגשה</w:t>
      </w:r>
      <w:r w:rsidRPr="00A83796">
        <w:rPr>
          <w:rtl/>
        </w:rPr>
        <w:t xml:space="preserve"> </w:t>
      </w:r>
      <w:r w:rsidRPr="00A83796">
        <w:rPr>
          <w:rFonts w:hint="cs"/>
          <w:rtl/>
        </w:rPr>
        <w:t>ליו</w:t>
      </w:r>
      <w:r w:rsidRPr="00A83796">
        <w:rPr>
          <w:rtl/>
        </w:rPr>
        <w:t>"</w:t>
      </w:r>
      <w:r w:rsidRPr="00A83796">
        <w:rPr>
          <w:rFonts w:hint="cs"/>
          <w:rtl/>
        </w:rPr>
        <w:t>ר</w:t>
      </w:r>
      <w:r w:rsidRPr="00A83796">
        <w:rPr>
          <w:rtl/>
        </w:rPr>
        <w:t xml:space="preserve"> </w:t>
      </w:r>
      <w:r w:rsidRPr="00A83796">
        <w:rPr>
          <w:rFonts w:hint="cs"/>
          <w:rtl/>
        </w:rPr>
        <w:t>הכנסת</w:t>
      </w:r>
      <w:r w:rsidRPr="00A83796">
        <w:rPr>
          <w:rtl/>
        </w:rPr>
        <w:t xml:space="preserve"> </w:t>
      </w:r>
      <w:r w:rsidRPr="00A83796">
        <w:rPr>
          <w:rFonts w:hint="cs"/>
          <w:rtl/>
        </w:rPr>
        <w:t>והסגנים</w:t>
      </w:r>
    </w:p>
    <w:p w14:paraId="7F650C89" w14:textId="77777777" w:rsidR="007339F1" w:rsidRPr="00A83796" w:rsidRDefault="007339F1" w:rsidP="007339F1">
      <w:pPr>
        <w:pStyle w:val="Hesber"/>
        <w:rPr>
          <w:rtl/>
        </w:rPr>
      </w:pPr>
      <w:r w:rsidRPr="00A83796">
        <w:rPr>
          <w:rFonts w:hint="cs"/>
          <w:rtl/>
        </w:rPr>
        <w:t>והונחה</w:t>
      </w:r>
      <w:r w:rsidRPr="00A83796">
        <w:rPr>
          <w:rtl/>
        </w:rPr>
        <w:t xml:space="preserve"> </w:t>
      </w:r>
      <w:r w:rsidRPr="00A83796">
        <w:rPr>
          <w:rFonts w:hint="cs"/>
          <w:rtl/>
        </w:rPr>
        <w:t>על</w:t>
      </w:r>
      <w:r w:rsidRPr="00A83796">
        <w:rPr>
          <w:rtl/>
        </w:rPr>
        <w:t xml:space="preserve"> </w:t>
      </w:r>
      <w:r w:rsidRPr="00A83796">
        <w:rPr>
          <w:rFonts w:hint="cs"/>
          <w:rtl/>
        </w:rPr>
        <w:t>שולחן</w:t>
      </w:r>
      <w:r w:rsidRPr="00A83796">
        <w:rPr>
          <w:rtl/>
        </w:rPr>
        <w:t xml:space="preserve"> </w:t>
      </w:r>
      <w:r w:rsidRPr="00A83796">
        <w:rPr>
          <w:rFonts w:hint="cs"/>
          <w:rtl/>
        </w:rPr>
        <w:t>הכנסת</w:t>
      </w:r>
      <w:r w:rsidRPr="00A83796">
        <w:rPr>
          <w:rtl/>
        </w:rPr>
        <w:t xml:space="preserve"> </w:t>
      </w:r>
      <w:r w:rsidRPr="00A83796">
        <w:rPr>
          <w:rFonts w:hint="cs"/>
          <w:rtl/>
        </w:rPr>
        <w:t>ביום</w:t>
      </w:r>
    </w:p>
    <w:p w14:paraId="629EF0B5" w14:textId="77777777" w:rsidR="007339F1" w:rsidRPr="00A83796" w:rsidRDefault="007339F1" w:rsidP="007339F1">
      <w:pPr>
        <w:pStyle w:val="Hesber"/>
        <w:rPr>
          <w:rFonts w:hint="cs"/>
          <w:rtl/>
        </w:rPr>
      </w:pPr>
      <w:r>
        <w:rPr>
          <w:rFonts w:hint="cs"/>
          <w:rtl/>
        </w:rPr>
        <w:t xml:space="preserve">ב' באייר </w:t>
      </w:r>
      <w:r>
        <w:rPr>
          <w:rtl/>
        </w:rPr>
        <w:t xml:space="preserve">התש"ף – </w:t>
      </w:r>
      <w:r>
        <w:rPr>
          <w:rFonts w:hint="cs"/>
          <w:rtl/>
        </w:rPr>
        <w:t>26</w:t>
      </w:r>
      <w:r>
        <w:rPr>
          <w:rtl/>
        </w:rPr>
        <w:t>.4.20</w:t>
      </w:r>
    </w:p>
    <w:p w14:paraId="59AF483C" w14:textId="77777777" w:rsidR="007339F1" w:rsidRDefault="007339F1" w:rsidP="00991520">
      <w:pPr>
        <w:pStyle w:val="Hesber"/>
        <w:rPr>
          <w:sz w:val="26"/>
          <w:rtl/>
        </w:rPr>
      </w:pPr>
    </w:p>
    <w:p w14:paraId="7F6961CB" w14:textId="77777777" w:rsidR="00E13C27" w:rsidRDefault="00E13C27" w:rsidP="00E13C27">
      <w:pPr>
        <w:pStyle w:val="Hesber"/>
        <w:rPr>
          <w:rtl/>
        </w:rPr>
      </w:pPr>
    </w:p>
    <w:sectPr w:rsidR="00E13C27"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7" w14:textId="4B67B023"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9B60BC">
      <w:rPr>
        <w:rStyle w:val="ab"/>
        <w:noProof/>
        <w:rtl/>
      </w:rPr>
      <w:t>3</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05703F0D" w14:textId="77777777" w:rsidR="004A0884" w:rsidRDefault="004A0884" w:rsidP="004A0884">
      <w:pPr>
        <w:pStyle w:val="a4"/>
      </w:pPr>
      <w:r>
        <w:rPr>
          <w:rStyle w:val="a6"/>
        </w:rPr>
        <w:footnoteRef/>
      </w:r>
      <w:r>
        <w:rPr>
          <w:rtl/>
        </w:rPr>
        <w:t xml:space="preserve"> ס"ח התשס"ח, עמ'</w:t>
      </w:r>
      <w:r>
        <w:rPr>
          <w:rFonts w:hint="cs"/>
          <w:rtl/>
        </w:rPr>
        <w:t xml:space="preserve"> 485</w:t>
      </w:r>
      <w:r>
        <w:rPr>
          <w:rtl/>
        </w:rPr>
        <w:t xml:space="preserve">. </w:t>
      </w:r>
    </w:p>
  </w:footnote>
  <w:footnote w:id="3">
    <w:p w14:paraId="3E2F80F5" w14:textId="77777777" w:rsidR="004A0884" w:rsidRDefault="004A0884" w:rsidP="004A0884">
      <w:pPr>
        <w:pStyle w:val="a4"/>
      </w:pPr>
      <w:r>
        <w:rPr>
          <w:rStyle w:val="a6"/>
        </w:rPr>
        <w:footnoteRef/>
      </w:r>
      <w:r>
        <w:rPr>
          <w:sz w:val="20"/>
          <w:rtl/>
        </w:rPr>
        <w:t xml:space="preserve"> ס"ח התשי"ח, עמ' 103.</w:t>
      </w:r>
    </w:p>
  </w:footnote>
  <w:footnote w:id="4">
    <w:p w14:paraId="3F73096D" w14:textId="77777777" w:rsidR="004A0884" w:rsidRDefault="004A0884" w:rsidP="004A0884">
      <w:pPr>
        <w:pStyle w:val="a4"/>
      </w:pPr>
      <w:r>
        <w:rPr>
          <w:rStyle w:val="a6"/>
        </w:rPr>
        <w:footnoteRef/>
      </w:r>
      <w:r>
        <w:rPr>
          <w:sz w:val="20"/>
          <w:rtl/>
        </w:rPr>
        <w:t xml:space="preserve"> ס"ח התשס"א, עמ' 183.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A0884"/>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39F1"/>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91520"/>
    <w:rsid w:val="009A0DB8"/>
    <w:rsid w:val="009A7257"/>
    <w:rsid w:val="009B60BC"/>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4BC35068-CFD8-4A13-A955-EE66B7E25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uiPriority w:val="99"/>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basedOn w:val="a0"/>
    <w:uiPriority w:val="99"/>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uiPriority w:val="99"/>
    <w:rsid w:val="004A0884"/>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3D6E9C754E1F7C4C891E9EE2E0AF8150" ma:contentTypeVersion="" ma:contentTypeDescription="צור מסמך חדש." ma:contentTypeScope="" ma:versionID="b2c52f23e7867aea476dda019525fa93">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921B6-F19B-465E-B00F-7819CB2AF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8F4AFE3-9455-419C-8851-785A55F44517}">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38066AA9-D61B-4FF8-AB70-0101B6C03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494</Words>
  <Characters>2472</Characters>
  <Application>Microsoft Office Word</Application>
  <DocSecurity>0</DocSecurity>
  <Lines>20</Lines>
  <Paragraphs>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רשומות</vt:lpstr>
      <vt:lpstr>רשומות</vt:lpstr>
    </vt:vector>
  </TitlesOfParts>
  <Company>Knesset</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אילת וולברג</cp:lastModifiedBy>
  <cp:revision>7</cp:revision>
  <cp:lastPrinted>2013-07-04T08:25:00Z</cp:lastPrinted>
  <dcterms:created xsi:type="dcterms:W3CDTF">2015-04-20T09:58:00Z</dcterms:created>
  <dcterms:modified xsi:type="dcterms:W3CDTF">2020-04-24T07:40:00Z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0x0101003D6E9C754E1F7C4C891E9EE2E0AF8150</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2086235</vt:r8>
  </property>
</Properties>
</file>