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2086249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עומר ינקלביץ'</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פ/365/23</w:t>
      </w:r>
      <w:bookmarkEnd w:id="6"/>
    </w:p>
    <w:p w14:paraId="7F6961AC" w14:textId="77777777" w:rsidR="00E13C27" w:rsidRDefault="00E13C27" w:rsidP="00E13C27">
      <w:pPr>
        <w:spacing w:before="0" w:line="360" w:lineRule="auto"/>
        <w:ind w:left="2880" w:firstLine="720"/>
        <w:rPr>
          <w:rFonts w:cs="David"/>
          <w:sz w:val="26"/>
          <w:szCs w:val="26"/>
          <w:rtl/>
        </w:rPr>
      </w:pPr>
    </w:p>
    <w:p w14:paraId="7F6961AE" w14:textId="109838E4" w:rsidR="00E13C27" w:rsidRDefault="00A443CF" w:rsidP="00EB541F">
      <w:pPr>
        <w:pStyle w:val="HeadHatzaotHok"/>
        <w:rPr>
          <w:rtl/>
        </w:rPr>
      </w:pPr>
      <w:bookmarkStart w:id="7" w:name="LGS_Subject"/>
      <w:r>
        <w:rPr>
          <w:rFonts w:hint="cs"/>
          <w:rtl/>
        </w:rPr>
        <w:t>הצעת חוק הביטוח הלאומי (תיקון – הצמדת קצבת אזרח ותיק לשכר הממוצע לפחות), התש"ף–2020</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2F1D80" w14:paraId="035EEF3D" w14:textId="77777777" w:rsidTr="002C3041">
        <w:trPr>
          <w:cantSplit/>
          <w:trHeight w:val="60"/>
        </w:trPr>
        <w:tc>
          <w:tcPr>
            <w:tcW w:w="1871" w:type="dxa"/>
          </w:tcPr>
          <w:p w14:paraId="3863FF98" w14:textId="77777777" w:rsidR="002F1D80" w:rsidRDefault="002F1D80" w:rsidP="002C3041">
            <w:pPr>
              <w:pStyle w:val="TableSideHeading"/>
              <w:keepLines w:val="0"/>
            </w:pPr>
          </w:p>
        </w:tc>
        <w:tc>
          <w:tcPr>
            <w:tcW w:w="624" w:type="dxa"/>
          </w:tcPr>
          <w:p w14:paraId="6F513EF6" w14:textId="77777777" w:rsidR="002F1D80" w:rsidRDefault="002F1D80" w:rsidP="002C3041">
            <w:pPr>
              <w:pStyle w:val="TableText"/>
              <w:keepLines w:val="0"/>
            </w:pPr>
          </w:p>
        </w:tc>
        <w:tc>
          <w:tcPr>
            <w:tcW w:w="7146" w:type="dxa"/>
            <w:gridSpan w:val="2"/>
          </w:tcPr>
          <w:p w14:paraId="1AE94DEB" w14:textId="77777777" w:rsidR="002F1D80" w:rsidRPr="00C34DE2" w:rsidRDefault="002F1D80" w:rsidP="00EB541F">
            <w:pPr>
              <w:pStyle w:val="TableHead"/>
              <w:keepLines w:val="0"/>
              <w:jc w:val="both"/>
            </w:pPr>
          </w:p>
        </w:tc>
      </w:tr>
      <w:tr w:rsidR="00977231" w14:paraId="720F7FB9" w14:textId="77777777" w:rsidTr="00977231">
        <w:trPr>
          <w:cantSplit/>
        </w:trPr>
        <w:tc>
          <w:tcPr>
            <w:tcW w:w="1871" w:type="dxa"/>
            <w:hideMark/>
          </w:tcPr>
          <w:p w14:paraId="3E2EB555" w14:textId="77777777" w:rsidR="00977231" w:rsidRDefault="00977231" w:rsidP="001C5EA4">
            <w:pPr>
              <w:pStyle w:val="TableSideHeading"/>
              <w:keepLines w:val="0"/>
            </w:pPr>
            <w:r>
              <w:rPr>
                <w:rtl/>
              </w:rPr>
              <w:t xml:space="preserve">תיקון סעיף 244 </w:t>
            </w:r>
          </w:p>
        </w:tc>
        <w:tc>
          <w:tcPr>
            <w:tcW w:w="624" w:type="dxa"/>
            <w:hideMark/>
          </w:tcPr>
          <w:p w14:paraId="20EF4BCE" w14:textId="77777777" w:rsidR="00977231" w:rsidRDefault="00977231" w:rsidP="001C5EA4">
            <w:pPr>
              <w:pStyle w:val="TableText"/>
              <w:keepLines w:val="0"/>
            </w:pPr>
            <w:r>
              <w:rPr>
                <w:rtl/>
              </w:rPr>
              <w:t>1.</w:t>
            </w:r>
          </w:p>
        </w:tc>
        <w:tc>
          <w:tcPr>
            <w:tcW w:w="7146" w:type="dxa"/>
            <w:gridSpan w:val="2"/>
            <w:hideMark/>
          </w:tcPr>
          <w:p w14:paraId="173BF415" w14:textId="77777777" w:rsidR="00977231" w:rsidRDefault="00977231" w:rsidP="001C5EA4">
            <w:pPr>
              <w:pStyle w:val="TableBlock"/>
            </w:pPr>
            <w:r>
              <w:rPr>
                <w:rtl/>
              </w:rPr>
              <w:t>בחוק הביטוח הלאומי [נוסח משולב], התשנ"ה–1995</w:t>
            </w:r>
            <w:r>
              <w:rPr>
                <w:szCs w:val="20"/>
                <w:rtl/>
              </w:rPr>
              <w:footnoteReference w:id="2"/>
            </w:r>
            <w:r>
              <w:rPr>
                <w:rtl/>
              </w:rPr>
              <w:t>, בסעיף 244 –</w:t>
            </w:r>
          </w:p>
        </w:tc>
      </w:tr>
      <w:tr w:rsidR="00977231" w14:paraId="09732A8D" w14:textId="77777777" w:rsidTr="00977231">
        <w:trPr>
          <w:cantSplit/>
        </w:trPr>
        <w:tc>
          <w:tcPr>
            <w:tcW w:w="1871" w:type="dxa"/>
          </w:tcPr>
          <w:p w14:paraId="57A3E1F4" w14:textId="77777777" w:rsidR="00977231" w:rsidRDefault="00977231" w:rsidP="001C5EA4">
            <w:pPr>
              <w:pStyle w:val="TableSideHeading"/>
            </w:pPr>
          </w:p>
        </w:tc>
        <w:tc>
          <w:tcPr>
            <w:tcW w:w="624" w:type="dxa"/>
          </w:tcPr>
          <w:p w14:paraId="45203052" w14:textId="77777777" w:rsidR="00977231" w:rsidRDefault="00977231" w:rsidP="001C5EA4">
            <w:pPr>
              <w:pStyle w:val="TableText"/>
            </w:pPr>
          </w:p>
        </w:tc>
        <w:tc>
          <w:tcPr>
            <w:tcW w:w="7146" w:type="dxa"/>
            <w:gridSpan w:val="2"/>
            <w:hideMark/>
          </w:tcPr>
          <w:p w14:paraId="7EEA9C17" w14:textId="77777777" w:rsidR="00977231" w:rsidRDefault="00977231" w:rsidP="001C5EA4">
            <w:pPr>
              <w:pStyle w:val="TableBlock"/>
            </w:pPr>
            <w:r>
              <w:rPr>
                <w:rtl/>
              </w:rPr>
              <w:t>(1)</w:t>
            </w:r>
            <w:r>
              <w:rPr>
                <w:rtl/>
              </w:rPr>
              <w:tab/>
              <w:t>בסעיף קטן (א), אחרי "מהסכום הבסיסי" יבוא "או מהשכר הממוצע,  לפי הגבוה מביניהם";</w:t>
            </w:r>
          </w:p>
        </w:tc>
      </w:tr>
      <w:tr w:rsidR="00977231" w14:paraId="51CEB5AF" w14:textId="77777777" w:rsidTr="00977231">
        <w:trPr>
          <w:cantSplit/>
        </w:trPr>
        <w:tc>
          <w:tcPr>
            <w:tcW w:w="1871" w:type="dxa"/>
          </w:tcPr>
          <w:p w14:paraId="22341102" w14:textId="77777777" w:rsidR="00977231" w:rsidRDefault="00977231" w:rsidP="001C5EA4">
            <w:pPr>
              <w:pStyle w:val="TableSideHeading"/>
            </w:pPr>
          </w:p>
        </w:tc>
        <w:tc>
          <w:tcPr>
            <w:tcW w:w="624" w:type="dxa"/>
          </w:tcPr>
          <w:p w14:paraId="427D2C87" w14:textId="77777777" w:rsidR="00977231" w:rsidRDefault="00977231" w:rsidP="001C5EA4">
            <w:pPr>
              <w:pStyle w:val="TableText"/>
              <w:rPr>
                <w:rtl/>
              </w:rPr>
            </w:pPr>
          </w:p>
        </w:tc>
        <w:tc>
          <w:tcPr>
            <w:tcW w:w="7146" w:type="dxa"/>
            <w:gridSpan w:val="2"/>
            <w:hideMark/>
          </w:tcPr>
          <w:p w14:paraId="572216BA" w14:textId="77777777" w:rsidR="00977231" w:rsidRDefault="00977231" w:rsidP="001C5EA4">
            <w:pPr>
              <w:pStyle w:val="TableBlock"/>
            </w:pPr>
            <w:r>
              <w:rPr>
                <w:rtl/>
              </w:rPr>
              <w:t>(2)</w:t>
            </w:r>
            <w:r>
              <w:rPr>
                <w:rtl/>
              </w:rPr>
              <w:tab/>
              <w:t>בסעיף קטן (ב) –</w:t>
            </w:r>
          </w:p>
        </w:tc>
      </w:tr>
      <w:tr w:rsidR="00977231" w14:paraId="3D0D52A9" w14:textId="77777777" w:rsidTr="00977231">
        <w:trPr>
          <w:cantSplit/>
        </w:trPr>
        <w:tc>
          <w:tcPr>
            <w:tcW w:w="1871" w:type="dxa"/>
          </w:tcPr>
          <w:p w14:paraId="021CEBCC" w14:textId="77777777" w:rsidR="00977231" w:rsidRDefault="00977231" w:rsidP="001C5EA4">
            <w:pPr>
              <w:pStyle w:val="TableSideHeading"/>
              <w:rPr>
                <w:rtl/>
              </w:rPr>
            </w:pPr>
          </w:p>
        </w:tc>
        <w:tc>
          <w:tcPr>
            <w:tcW w:w="624" w:type="dxa"/>
          </w:tcPr>
          <w:p w14:paraId="2A8E8FD5" w14:textId="77777777" w:rsidR="00977231" w:rsidRDefault="00977231" w:rsidP="001C5EA4">
            <w:pPr>
              <w:pStyle w:val="TableText"/>
            </w:pPr>
          </w:p>
        </w:tc>
        <w:tc>
          <w:tcPr>
            <w:tcW w:w="624" w:type="dxa"/>
          </w:tcPr>
          <w:p w14:paraId="3A30A3FE" w14:textId="77777777" w:rsidR="00977231" w:rsidRDefault="00977231" w:rsidP="001C5EA4">
            <w:pPr>
              <w:pStyle w:val="TableText"/>
            </w:pPr>
          </w:p>
        </w:tc>
        <w:tc>
          <w:tcPr>
            <w:tcW w:w="6522" w:type="dxa"/>
            <w:hideMark/>
          </w:tcPr>
          <w:p w14:paraId="771007EF" w14:textId="77777777" w:rsidR="00977231" w:rsidRDefault="00977231" w:rsidP="001C5EA4">
            <w:pPr>
              <w:pStyle w:val="TableBlock"/>
            </w:pPr>
            <w:r>
              <w:rPr>
                <w:rtl/>
              </w:rPr>
              <w:t>(א)</w:t>
            </w:r>
            <w:r>
              <w:rPr>
                <w:rtl/>
              </w:rPr>
              <w:tab/>
              <w:t>בפסקה (1), אחרי "מהסכום הבסיסי" יבוא "או מהשכר הממוצע, לפי הגבוה מביניהם";</w:t>
            </w:r>
          </w:p>
        </w:tc>
      </w:tr>
      <w:tr w:rsidR="00977231" w14:paraId="39644EEB" w14:textId="77777777" w:rsidTr="00977231">
        <w:trPr>
          <w:cantSplit/>
        </w:trPr>
        <w:tc>
          <w:tcPr>
            <w:tcW w:w="1871" w:type="dxa"/>
          </w:tcPr>
          <w:p w14:paraId="4328FA88" w14:textId="77777777" w:rsidR="00977231" w:rsidRDefault="00977231" w:rsidP="001C5EA4">
            <w:pPr>
              <w:pStyle w:val="TableSideHeading"/>
            </w:pPr>
          </w:p>
        </w:tc>
        <w:tc>
          <w:tcPr>
            <w:tcW w:w="624" w:type="dxa"/>
          </w:tcPr>
          <w:p w14:paraId="162004C8" w14:textId="77777777" w:rsidR="00977231" w:rsidRDefault="00977231" w:rsidP="001C5EA4">
            <w:pPr>
              <w:pStyle w:val="TableText"/>
              <w:rPr>
                <w:rtl/>
              </w:rPr>
            </w:pPr>
          </w:p>
        </w:tc>
        <w:tc>
          <w:tcPr>
            <w:tcW w:w="624" w:type="dxa"/>
          </w:tcPr>
          <w:p w14:paraId="65642A2C" w14:textId="77777777" w:rsidR="00977231" w:rsidRDefault="00977231" w:rsidP="001C5EA4">
            <w:pPr>
              <w:pStyle w:val="TableText"/>
            </w:pPr>
          </w:p>
        </w:tc>
        <w:tc>
          <w:tcPr>
            <w:tcW w:w="6522" w:type="dxa"/>
            <w:hideMark/>
          </w:tcPr>
          <w:p w14:paraId="4EB2B8B1" w14:textId="77777777" w:rsidR="00977231" w:rsidRDefault="00977231" w:rsidP="001C5EA4">
            <w:pPr>
              <w:pStyle w:val="TableBlock"/>
            </w:pPr>
            <w:r>
              <w:rPr>
                <w:rtl/>
              </w:rPr>
              <w:t>(ב)</w:t>
            </w:r>
            <w:r>
              <w:rPr>
                <w:rtl/>
              </w:rPr>
              <w:tab/>
              <w:t>בפסקה (2), אחרי "מהסכום הבסיסי" יבוא "או מהשכר הממוצע, לפי הגבוה מביניהם".</w:t>
            </w:r>
          </w:p>
        </w:tc>
      </w:tr>
      <w:tr w:rsidR="002F1D80" w14:paraId="3D9B61D1" w14:textId="77777777" w:rsidTr="002C3041">
        <w:trPr>
          <w:cantSplit/>
          <w:trHeight w:val="60"/>
        </w:trPr>
        <w:tc>
          <w:tcPr>
            <w:tcW w:w="1871" w:type="dxa"/>
          </w:tcPr>
          <w:p w14:paraId="6C0CB9D8" w14:textId="77777777" w:rsidR="002F1D80" w:rsidRPr="00977231" w:rsidRDefault="002F1D80" w:rsidP="002C3041">
            <w:pPr>
              <w:pStyle w:val="TableSideHeading"/>
              <w:keepLines w:val="0"/>
            </w:pPr>
          </w:p>
        </w:tc>
        <w:tc>
          <w:tcPr>
            <w:tcW w:w="624" w:type="dxa"/>
          </w:tcPr>
          <w:p w14:paraId="3F4286A2" w14:textId="77777777" w:rsidR="002F1D80" w:rsidRDefault="002F1D80" w:rsidP="002C3041">
            <w:pPr>
              <w:pStyle w:val="TableText"/>
              <w:keepLines w:val="0"/>
            </w:pPr>
          </w:p>
        </w:tc>
        <w:tc>
          <w:tcPr>
            <w:tcW w:w="7146" w:type="dxa"/>
            <w:gridSpan w:val="2"/>
          </w:tcPr>
          <w:p w14:paraId="7633D5BB" w14:textId="77777777" w:rsidR="002F1D80" w:rsidRPr="00C34DE2" w:rsidRDefault="002F1D80" w:rsidP="002C3041">
            <w:pPr>
              <w:pStyle w:val="TableBlock"/>
              <w:keepLines w:val="0"/>
            </w:pPr>
          </w:p>
        </w:tc>
      </w:tr>
    </w:tbl>
    <w:p w14:paraId="7F6961CA" w14:textId="77777777" w:rsidR="002D1EE3" w:rsidRDefault="002D1EE3" w:rsidP="002D1EE3">
      <w:pPr>
        <w:pStyle w:val="HeadDivreiHesber"/>
        <w:rPr>
          <w:rtl/>
        </w:rPr>
      </w:pPr>
      <w:r w:rsidRPr="0027450A">
        <w:rPr>
          <w:rFonts w:hint="cs"/>
          <w:rtl/>
        </w:rPr>
        <w:t>דברי הסבר</w:t>
      </w:r>
    </w:p>
    <w:p w14:paraId="44649D32" w14:textId="77777777" w:rsidR="00977231" w:rsidRPr="005F3839" w:rsidRDefault="00977231" w:rsidP="00977231">
      <w:pPr>
        <w:pStyle w:val="Hesber"/>
        <w:rPr>
          <w:rtl/>
        </w:rPr>
      </w:pPr>
      <w:r w:rsidRPr="005F3839">
        <w:rPr>
          <w:rtl/>
        </w:rPr>
        <w:t xml:space="preserve">חוק הביטוח הלאומי [נוסח משולב], התשנ"ה–1995 (להלן – החוק) מעניק </w:t>
      </w:r>
      <w:r w:rsidRPr="005F3839">
        <w:rPr>
          <w:rFonts w:hint="cs"/>
          <w:rtl/>
        </w:rPr>
        <w:t xml:space="preserve">קצבת אזרח ותיק </w:t>
      </w:r>
      <w:r w:rsidRPr="005F3839">
        <w:rPr>
          <w:rtl/>
        </w:rPr>
        <w:t xml:space="preserve"> לזכאים לכך לפי החוק. החוק האמור קובע כי שיעור </w:t>
      </w:r>
      <w:r w:rsidRPr="005F3839">
        <w:rPr>
          <w:rFonts w:hint="cs"/>
          <w:rtl/>
        </w:rPr>
        <w:t xml:space="preserve">קצבת אזרח ותיק </w:t>
      </w:r>
      <w:r w:rsidRPr="005F3839">
        <w:rPr>
          <w:rtl/>
        </w:rPr>
        <w:t>המלאה ליחיד יהיה 17.7% מהסכום הבסיסי.</w:t>
      </w:r>
    </w:p>
    <w:p w14:paraId="62EF55FD" w14:textId="77777777" w:rsidR="00977231" w:rsidRPr="005F3839" w:rsidRDefault="00977231" w:rsidP="00977231">
      <w:pPr>
        <w:pStyle w:val="Hesber"/>
      </w:pPr>
      <w:r w:rsidRPr="005F3839">
        <w:rPr>
          <w:rtl/>
        </w:rPr>
        <w:t xml:space="preserve">סכום זה הוא נמוך ביותר ואינו מאפשר לאדם </w:t>
      </w:r>
      <w:r>
        <w:rPr>
          <w:rFonts w:hint="cs"/>
          <w:rtl/>
        </w:rPr>
        <w:t>ש</w:t>
      </w:r>
      <w:r w:rsidRPr="005F3839">
        <w:rPr>
          <w:rtl/>
        </w:rPr>
        <w:t xml:space="preserve">הגיע לגיל </w:t>
      </w:r>
      <w:r w:rsidRPr="005F3839">
        <w:rPr>
          <w:rFonts w:hint="cs"/>
          <w:rtl/>
        </w:rPr>
        <w:t xml:space="preserve">המזכה בקצבת אזרח ותיק </w:t>
      </w:r>
      <w:r w:rsidRPr="005F3839">
        <w:rPr>
          <w:rtl/>
        </w:rPr>
        <w:t xml:space="preserve">ושיש לו הוצאות מיוחדות הקשורות למצבו, לכלכל את עצמו. כך לזכאים לקצבה אין </w:t>
      </w:r>
      <w:r>
        <w:rPr>
          <w:rFonts w:hint="cs"/>
          <w:rtl/>
        </w:rPr>
        <w:t xml:space="preserve">תמיד </w:t>
      </w:r>
      <w:r w:rsidRPr="005F3839">
        <w:rPr>
          <w:rtl/>
        </w:rPr>
        <w:t>יכולת לרכוש תרופות או לממן טיפולים רפואיים וסיעודיים הנדרשים להם, והם לעיתים אף מגיעים למצב של עוני.</w:t>
      </w:r>
    </w:p>
    <w:p w14:paraId="12C2A80D" w14:textId="77777777" w:rsidR="00977231" w:rsidRPr="005F3839" w:rsidRDefault="00977231" w:rsidP="00977231">
      <w:pPr>
        <w:pStyle w:val="Hesber"/>
      </w:pPr>
      <w:r w:rsidRPr="005F3839">
        <w:rPr>
          <w:rtl/>
        </w:rPr>
        <w:t>נוסף על כך שסכום הקצבה נמוך כשלעצמו, הוא מחושב כאחוז מהסכום הבסיסי המתעדכן אחת לשנה בצמוד לעליית המדד, וכך נשאר הסכום נמוך וכמעט שלא עולה, שכן המדד משתנה בשיעור קטן מאוד.</w:t>
      </w:r>
    </w:p>
    <w:p w14:paraId="50B5A5BB" w14:textId="77777777" w:rsidR="00977231" w:rsidRPr="005F3839" w:rsidRDefault="00977231" w:rsidP="00977231">
      <w:pPr>
        <w:pStyle w:val="Hesber"/>
      </w:pPr>
      <w:r w:rsidRPr="005F3839">
        <w:rPr>
          <w:rtl/>
        </w:rPr>
        <w:t xml:space="preserve">מוצע לשנות את מנגנון החישוב והעדכון כך שסכום קצבת </w:t>
      </w:r>
      <w:r w:rsidRPr="005F3839">
        <w:rPr>
          <w:rFonts w:hint="cs"/>
          <w:rtl/>
        </w:rPr>
        <w:t>אזרח ותיק</w:t>
      </w:r>
      <w:r w:rsidRPr="005F3839">
        <w:rPr>
          <w:rtl/>
        </w:rPr>
        <w:t xml:space="preserve"> יהיה צמוד לשכר הבסיסי או לשכר הממוצע במשק, לפי הגבוה מבין השניים. כלומר יעלה בכל שנה לפחות בשיעור שבו עלה השכר </w:t>
      </w:r>
      <w:r w:rsidRPr="005F3839">
        <w:rPr>
          <w:rtl/>
        </w:rPr>
        <w:lastRenderedPageBreak/>
        <w:t>הממוצע באותה השנה.</w:t>
      </w:r>
    </w:p>
    <w:p w14:paraId="63A3DAD0" w14:textId="2A93E39B" w:rsidR="00977231" w:rsidRDefault="00977231" w:rsidP="00977231">
      <w:pPr>
        <w:pStyle w:val="Hesber"/>
        <w:rPr>
          <w:rtl/>
        </w:rPr>
      </w:pPr>
      <w:r w:rsidRPr="005F3839">
        <w:rPr>
          <w:rtl/>
        </w:rPr>
        <w:t xml:space="preserve">כך תישמר לזכאים לקצבת </w:t>
      </w:r>
      <w:r>
        <w:rPr>
          <w:rFonts w:hint="cs"/>
          <w:rtl/>
        </w:rPr>
        <w:t>אזרח ותיק</w:t>
      </w:r>
      <w:r w:rsidRPr="005F3839">
        <w:rPr>
          <w:rtl/>
        </w:rPr>
        <w:t xml:space="preserve"> בישראל אחת הזכויות הבסיסיות ביותר: זכותם להזדקן בכבוד.</w:t>
      </w:r>
    </w:p>
    <w:p w14:paraId="43461E3D" w14:textId="7AFB15A0" w:rsidR="001801D7" w:rsidRDefault="001801D7" w:rsidP="001801D7">
      <w:pPr>
        <w:pStyle w:val="Hesber"/>
        <w:rPr>
          <w:rtl/>
        </w:rPr>
      </w:pPr>
      <w:r>
        <w:rPr>
          <w:rtl/>
        </w:rPr>
        <w:t>הצעות חוק זהות הונחו על שולחן הכנסת העשרים על ידי חברת הכנסת טלי פלוסקוב (פ/4048/20), על שולחן הכנסת העשרים ואחת על ידי חבר הכנסת רועי פולקמן (פ/300/21), ועל שולחן הכנסת העשרים ושתיים על ידי חבר הכנסת מיקי לוי (פ/747/22)</w:t>
      </w:r>
      <w:r w:rsidR="00312F67">
        <w:rPr>
          <w:rFonts w:hint="cs"/>
          <w:rtl/>
        </w:rPr>
        <w:t xml:space="preserve"> </w:t>
      </w:r>
      <w:r>
        <w:rPr>
          <w:rtl/>
        </w:rPr>
        <w:t xml:space="preserve"> ועל ידי חברת הכנסת עומר ינקלביץ' (פ/1151/22).</w:t>
      </w:r>
    </w:p>
    <w:p w14:paraId="0D7998EF" w14:textId="0E0A6E99" w:rsidR="00EB541F" w:rsidRDefault="00EB541F" w:rsidP="001801D7">
      <w:pPr>
        <w:pStyle w:val="Hesber"/>
        <w:rPr>
          <w:rtl/>
        </w:rPr>
      </w:pPr>
    </w:p>
    <w:p w14:paraId="41419B8E" w14:textId="5ABC48BA" w:rsidR="00EB541F" w:rsidRDefault="00EB541F" w:rsidP="001801D7">
      <w:pPr>
        <w:pStyle w:val="Hesber"/>
        <w:rPr>
          <w:rtl/>
        </w:rPr>
      </w:pPr>
    </w:p>
    <w:p w14:paraId="570F58B9" w14:textId="77777777" w:rsidR="00EB541F" w:rsidRPr="00A83796" w:rsidRDefault="00EB541F" w:rsidP="00EB541F">
      <w:pPr>
        <w:pStyle w:val="Hesber"/>
        <w:rPr>
          <w:rtl/>
        </w:rPr>
      </w:pPr>
      <w:r w:rsidRPr="00A83796">
        <w:rPr>
          <w:rtl/>
        </w:rPr>
        <w:t>---------------------------------</w:t>
      </w:r>
    </w:p>
    <w:p w14:paraId="02CB8AFA" w14:textId="77777777" w:rsidR="00EB541F" w:rsidRPr="00A83796" w:rsidRDefault="00EB541F" w:rsidP="00EB541F">
      <w:pPr>
        <w:pStyle w:val="Hesber"/>
        <w:rPr>
          <w:rtl/>
        </w:rPr>
      </w:pPr>
      <w:r w:rsidRPr="00A83796">
        <w:rPr>
          <w:rFonts w:hint="cs"/>
          <w:rtl/>
        </w:rPr>
        <w:t>הוגשה</w:t>
      </w:r>
      <w:r w:rsidRPr="00A83796">
        <w:rPr>
          <w:rtl/>
        </w:rPr>
        <w:t xml:space="preserve"> </w:t>
      </w:r>
      <w:r w:rsidRPr="00A83796">
        <w:rPr>
          <w:rFonts w:hint="cs"/>
          <w:rtl/>
        </w:rPr>
        <w:t>ליו</w:t>
      </w:r>
      <w:r w:rsidRPr="00A83796">
        <w:rPr>
          <w:rtl/>
        </w:rPr>
        <w:t>"</w:t>
      </w:r>
      <w:r w:rsidRPr="00A83796">
        <w:rPr>
          <w:rFonts w:hint="cs"/>
          <w:rtl/>
        </w:rPr>
        <w:t>ר</w:t>
      </w:r>
      <w:r w:rsidRPr="00A83796">
        <w:rPr>
          <w:rtl/>
        </w:rPr>
        <w:t xml:space="preserve"> </w:t>
      </w:r>
      <w:r w:rsidRPr="00A83796">
        <w:rPr>
          <w:rFonts w:hint="cs"/>
          <w:rtl/>
        </w:rPr>
        <w:t>הכנסת</w:t>
      </w:r>
      <w:r w:rsidRPr="00A83796">
        <w:rPr>
          <w:rtl/>
        </w:rPr>
        <w:t xml:space="preserve"> </w:t>
      </w:r>
      <w:r w:rsidRPr="00A83796">
        <w:rPr>
          <w:rFonts w:hint="cs"/>
          <w:rtl/>
        </w:rPr>
        <w:t>והסגנים</w:t>
      </w:r>
    </w:p>
    <w:p w14:paraId="559F3D29" w14:textId="77777777" w:rsidR="00EB541F" w:rsidRPr="00A83796" w:rsidRDefault="00EB541F" w:rsidP="00EB541F">
      <w:pPr>
        <w:pStyle w:val="Hesber"/>
        <w:rPr>
          <w:rtl/>
        </w:rPr>
      </w:pPr>
      <w:r w:rsidRPr="00A83796">
        <w:rPr>
          <w:rFonts w:hint="cs"/>
          <w:rtl/>
        </w:rPr>
        <w:t>והונחה</w:t>
      </w:r>
      <w:r w:rsidRPr="00A83796">
        <w:rPr>
          <w:rtl/>
        </w:rPr>
        <w:t xml:space="preserve"> </w:t>
      </w:r>
      <w:r w:rsidRPr="00A83796">
        <w:rPr>
          <w:rFonts w:hint="cs"/>
          <w:rtl/>
        </w:rPr>
        <w:t>על</w:t>
      </w:r>
      <w:r w:rsidRPr="00A83796">
        <w:rPr>
          <w:rtl/>
        </w:rPr>
        <w:t xml:space="preserve"> </w:t>
      </w:r>
      <w:r w:rsidRPr="00A83796">
        <w:rPr>
          <w:rFonts w:hint="cs"/>
          <w:rtl/>
        </w:rPr>
        <w:t>שולחן</w:t>
      </w:r>
      <w:r w:rsidRPr="00A83796">
        <w:rPr>
          <w:rtl/>
        </w:rPr>
        <w:t xml:space="preserve"> </w:t>
      </w:r>
      <w:r w:rsidRPr="00A83796">
        <w:rPr>
          <w:rFonts w:hint="cs"/>
          <w:rtl/>
        </w:rPr>
        <w:t>הכנסת</w:t>
      </w:r>
      <w:r w:rsidRPr="00A83796">
        <w:rPr>
          <w:rtl/>
        </w:rPr>
        <w:t xml:space="preserve"> </w:t>
      </w:r>
      <w:r w:rsidRPr="00A83796">
        <w:rPr>
          <w:rFonts w:hint="cs"/>
          <w:rtl/>
        </w:rPr>
        <w:t>ביום</w:t>
      </w:r>
    </w:p>
    <w:p w14:paraId="58FA2B68" w14:textId="77777777" w:rsidR="00EB541F" w:rsidRPr="00A83796" w:rsidRDefault="00EB541F" w:rsidP="00EB541F">
      <w:pPr>
        <w:pStyle w:val="Hesber"/>
        <w:rPr>
          <w:rFonts w:hint="cs"/>
          <w:rtl/>
        </w:rPr>
      </w:pPr>
      <w:r>
        <w:rPr>
          <w:rFonts w:hint="cs"/>
          <w:rtl/>
        </w:rPr>
        <w:t xml:space="preserve">ב' באייר </w:t>
      </w:r>
      <w:r>
        <w:rPr>
          <w:rtl/>
        </w:rPr>
        <w:t xml:space="preserve">התש"ף – </w:t>
      </w:r>
      <w:r>
        <w:rPr>
          <w:rFonts w:hint="cs"/>
          <w:rtl/>
        </w:rPr>
        <w:t>26</w:t>
      </w:r>
      <w:r>
        <w:rPr>
          <w:rtl/>
        </w:rPr>
        <w:t>.4.20</w:t>
      </w:r>
    </w:p>
    <w:p w14:paraId="043EEB9B" w14:textId="77777777" w:rsidR="00EB541F" w:rsidRDefault="00EB541F" w:rsidP="001801D7">
      <w:pPr>
        <w:pStyle w:val="Hesber"/>
      </w:pPr>
      <w:bookmarkStart w:id="8" w:name="_GoBack"/>
      <w:bookmarkEnd w:id="8"/>
    </w:p>
    <w:p w14:paraId="068F6E9B" w14:textId="77777777" w:rsidR="001801D7" w:rsidRDefault="001801D7" w:rsidP="00977231">
      <w:pPr>
        <w:pStyle w:val="Hesber"/>
        <w:rPr>
          <w:rtl/>
        </w:rPr>
      </w:pPr>
    </w:p>
    <w:p w14:paraId="7F6961CB" w14:textId="77777777"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0944976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EB541F">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5834676F" w14:textId="77777777" w:rsidR="00977231" w:rsidRDefault="00977231" w:rsidP="00977231">
      <w:pPr>
        <w:pStyle w:val="a4"/>
        <w:rPr>
          <w:rtl/>
        </w:rPr>
      </w:pPr>
      <w:r>
        <w:rPr>
          <w:rStyle w:val="a6"/>
        </w:rPr>
        <w:footnoteRef/>
      </w:r>
      <w:r>
        <w:rPr>
          <w:rtl/>
        </w:rPr>
        <w:t xml:space="preserve"> </w:t>
      </w:r>
      <w:r>
        <w:rPr>
          <w:rFonts w:hint="cs"/>
          <w:rtl/>
        </w:rPr>
        <w:t>ס"ח התשנ"ה, עמ' 210.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801D7"/>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12F67"/>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77231"/>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B541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1F26AD07-8EB6-4E30-91FC-ACD670A3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977231"/>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65690">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DD66A888-3459-43B9-B3DC-1C9E6F6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3AAE47-4B1F-4FA0-8138-2D6BFF4E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320</Words>
  <Characters>1600</Characters>
  <Application>Microsoft Office Word</Application>
  <DocSecurity>0</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7</cp:revision>
  <cp:lastPrinted>2013-07-04T08:25:00Z</cp:lastPrinted>
  <dcterms:created xsi:type="dcterms:W3CDTF">2015-04-20T09:58:00Z</dcterms:created>
  <dcterms:modified xsi:type="dcterms:W3CDTF">2020-04-24T06:41:00Z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2086249</vt:r8>
  </property>
</Properties>
</file>