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2086242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עומר ינקלביץ'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פ/321/23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151682EC" w:rsidR="00E13C27" w:rsidRPr="00F67051" w:rsidRDefault="0049076C" w:rsidP="00750E86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הכשרות לאנשי מקצוע בנושא זיהוי ודיווח על התעללות בילדים, התש"ף</w:t>
      </w:r>
      <w:r w:rsidR="00750E86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6"/>
      </w:tblGrid>
      <w:tr w:rsidR="005A07A1" w:rsidRPr="00CC4E09" w14:paraId="1AC94FDD" w14:textId="77777777" w:rsidTr="005A07A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719A5C9" w14:textId="77777777" w:rsidR="005A07A1" w:rsidRDefault="005A07A1" w:rsidP="001C5EA4">
            <w:pPr>
              <w:pStyle w:val="TableSideHeading"/>
            </w:pPr>
            <w:r>
              <w:rPr>
                <w:sz w:val="26"/>
                <w:rtl/>
              </w:rPr>
              <w:t>התניית קבלת רישיון או תעודה בהכשרה ייעודית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DF9B914" w14:textId="77777777" w:rsidR="005A07A1" w:rsidRDefault="005A07A1" w:rsidP="001C5EA4">
            <w:pPr>
              <w:pStyle w:val="TableText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703E22C8" w14:textId="77777777" w:rsidR="005A07A1" w:rsidRPr="00CC4E09" w:rsidRDefault="005A07A1" w:rsidP="001C5EA4">
            <w:pPr>
              <w:pStyle w:val="TableBlock"/>
            </w:pPr>
            <w:r w:rsidRPr="00CC4E09">
              <w:rPr>
                <w:rtl/>
              </w:rPr>
              <w:t>(א)</w:t>
            </w:r>
            <w:r w:rsidRPr="00CC4E09">
              <w:rPr>
                <w:rFonts w:hint="cs"/>
                <w:rtl/>
              </w:rPr>
              <w:tab/>
            </w:r>
            <w:r w:rsidRPr="00CC4E09">
              <w:rPr>
                <w:rtl/>
              </w:rPr>
              <w:t xml:space="preserve">אנשי מקצוע העובדים במערכת הבריאות, </w:t>
            </w:r>
            <w:r w:rsidRPr="00CC4E09">
              <w:rPr>
                <w:rFonts w:hint="cs"/>
                <w:rtl/>
              </w:rPr>
              <w:t xml:space="preserve">במערכת </w:t>
            </w:r>
            <w:r w:rsidRPr="00CC4E09">
              <w:rPr>
                <w:rtl/>
              </w:rPr>
              <w:t xml:space="preserve">הרווחה או </w:t>
            </w:r>
            <w:r w:rsidRPr="00CC4E09">
              <w:rPr>
                <w:rFonts w:hint="cs"/>
                <w:rtl/>
              </w:rPr>
              <w:t xml:space="preserve">במערכת </w:t>
            </w:r>
            <w:r w:rsidRPr="00CC4E09">
              <w:rPr>
                <w:rtl/>
              </w:rPr>
              <w:t>החינוך</w:t>
            </w:r>
            <w:r w:rsidRPr="00CC4E09">
              <w:rPr>
                <w:rFonts w:hint="cs"/>
                <w:rtl/>
              </w:rPr>
              <w:t>,</w:t>
            </w:r>
            <w:r w:rsidRPr="00CC4E09">
              <w:rPr>
                <w:rtl/>
              </w:rPr>
              <w:t xml:space="preserve"> אשר עיסוקם מותנה בקבלת רישיון או תעודה, או שתעודה היא תנאי להעסקתם, יחויבו בהכשרה ייעודית בנושא זיהוי ודיווח על התעללות בילדים, כתנאי לקבלת הרישיון או התעוד</w:t>
            </w:r>
            <w:r w:rsidRPr="00CC4E09">
              <w:rPr>
                <w:rFonts w:hint="cs"/>
                <w:rtl/>
              </w:rPr>
              <w:t>ה</w:t>
            </w:r>
            <w:r w:rsidRPr="00CC4E09">
              <w:rPr>
                <w:rtl/>
              </w:rPr>
              <w:t>.</w:t>
            </w:r>
          </w:p>
        </w:tc>
      </w:tr>
      <w:tr w:rsidR="005A07A1" w:rsidRPr="00CC4E09" w14:paraId="62B221C0" w14:textId="77777777" w:rsidTr="005A07A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80998D8" w14:textId="77777777" w:rsidR="005A07A1" w:rsidRDefault="005A07A1" w:rsidP="001C5EA4">
            <w:pPr>
              <w:pStyle w:val="TableSideHeading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3395BDA" w14:textId="77777777" w:rsidR="005A07A1" w:rsidRDefault="005A07A1" w:rsidP="001C5EA4">
            <w:pPr>
              <w:pStyle w:val="TableText"/>
              <w:jc w:val="both"/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2A859BAE" w14:textId="77777777" w:rsidR="005A07A1" w:rsidRPr="00CC4E09" w:rsidRDefault="005A07A1" w:rsidP="001C5EA4">
            <w:pPr>
              <w:pStyle w:val="TableBlock"/>
            </w:pPr>
            <w:r w:rsidRPr="00CC4E09">
              <w:rPr>
                <w:rtl/>
              </w:rPr>
              <w:t xml:space="preserve">(ב) </w:t>
            </w:r>
            <w:r w:rsidRPr="00CC4E09">
              <w:rPr>
                <w:rFonts w:hint="cs"/>
                <w:rtl/>
              </w:rPr>
              <w:tab/>
            </w:r>
            <w:r w:rsidRPr="00CC4E09">
              <w:rPr>
                <w:rtl/>
              </w:rPr>
              <w:t>השתתפות בהכשרה ייעודית כאמור בסעיף קטן (א)</w:t>
            </w:r>
            <w:r w:rsidRPr="00CC4E09">
              <w:rPr>
                <w:rFonts w:hint="cs"/>
                <w:rtl/>
              </w:rPr>
              <w:t>,</w:t>
            </w:r>
            <w:r w:rsidRPr="00CC4E09">
              <w:rPr>
                <w:rtl/>
              </w:rPr>
              <w:t xml:space="preserve"> שנכללת </w:t>
            </w:r>
            <w:r>
              <w:rPr>
                <w:rFonts w:hint="cs"/>
                <w:rtl/>
              </w:rPr>
              <w:t>ב</w:t>
            </w:r>
            <w:r w:rsidRPr="00CC4E09">
              <w:rPr>
                <w:rtl/>
              </w:rPr>
              <w:t xml:space="preserve">תכנית </w:t>
            </w:r>
            <w:r>
              <w:rPr>
                <w:rFonts w:hint="cs"/>
                <w:rtl/>
              </w:rPr>
              <w:t>ה</w:t>
            </w:r>
            <w:r w:rsidRPr="00CC4E09">
              <w:rPr>
                <w:rtl/>
              </w:rPr>
              <w:t>לימודים המכשירה לאותו מקצוע, תיחשב כעמידה בהוראות</w:t>
            </w:r>
            <w:r w:rsidRPr="00CC4E0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חוק זה</w:t>
            </w:r>
            <w:r w:rsidRPr="00CC4E09">
              <w:rPr>
                <w:rtl/>
              </w:rPr>
              <w:t xml:space="preserve">.  </w:t>
            </w:r>
          </w:p>
        </w:tc>
      </w:tr>
      <w:tr w:rsidR="005A07A1" w:rsidRPr="00CC4E09" w14:paraId="139945CC" w14:textId="77777777" w:rsidTr="005A07A1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66C59DC9" w14:textId="77777777" w:rsidR="005A07A1" w:rsidRDefault="005A07A1" w:rsidP="001C5EA4">
            <w:pPr>
              <w:pStyle w:val="TableSideHeading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6431C75" w14:textId="77777777" w:rsidR="005A07A1" w:rsidRDefault="005A07A1" w:rsidP="001C5EA4">
            <w:pPr>
              <w:pStyle w:val="TableText"/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17A798B0" w14:textId="77777777" w:rsidR="005A07A1" w:rsidRPr="00CC4E09" w:rsidRDefault="005A07A1" w:rsidP="001C5EA4">
            <w:pPr>
              <w:pStyle w:val="TableBlock"/>
              <w:rPr>
                <w:rtl/>
              </w:rPr>
            </w:pPr>
            <w:r w:rsidRPr="00CC4E09">
              <w:rPr>
                <w:rFonts w:hint="cs"/>
                <w:rtl/>
              </w:rPr>
              <w:t>(ג)</w:t>
            </w:r>
            <w:r w:rsidRPr="00CC4E09">
              <w:rPr>
                <w:rFonts w:hint="cs"/>
                <w:rtl/>
              </w:rPr>
              <w:tab/>
              <w:t>שר הרווחה</w:t>
            </w:r>
            <w:r>
              <w:rPr>
                <w:rFonts w:hint="cs"/>
                <w:rtl/>
              </w:rPr>
              <w:t xml:space="preserve"> והשירותים החברתיים</w:t>
            </w:r>
            <w:r w:rsidRPr="00CC4E09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שר </w:t>
            </w:r>
            <w:r w:rsidRPr="00CC4E09">
              <w:rPr>
                <w:rFonts w:hint="cs"/>
                <w:rtl/>
              </w:rPr>
              <w:t>הבריאות ו</w:t>
            </w:r>
            <w:r>
              <w:rPr>
                <w:rFonts w:hint="cs"/>
                <w:rtl/>
              </w:rPr>
              <w:t xml:space="preserve">שר </w:t>
            </w:r>
            <w:r w:rsidRPr="00CC4E09">
              <w:rPr>
                <w:rFonts w:hint="cs"/>
                <w:rtl/>
              </w:rPr>
              <w:t xml:space="preserve">החינוך </w:t>
            </w:r>
            <w:r>
              <w:rPr>
                <w:rFonts w:hint="cs"/>
                <w:rtl/>
              </w:rPr>
              <w:t xml:space="preserve">רשאים </w:t>
            </w:r>
            <w:r w:rsidRPr="00CC4E09">
              <w:rPr>
                <w:rFonts w:hint="cs"/>
                <w:rtl/>
              </w:rPr>
              <w:t xml:space="preserve">לקבוע בתקנות רשימת בעלי מקצוע שיחויבו בהכשרה כאמור, </w:t>
            </w:r>
            <w:r>
              <w:rPr>
                <w:rFonts w:hint="cs"/>
                <w:rtl/>
              </w:rPr>
              <w:t xml:space="preserve">ואת </w:t>
            </w:r>
            <w:r w:rsidRPr="00CC4E09">
              <w:rPr>
                <w:rFonts w:hint="cs"/>
                <w:rtl/>
              </w:rPr>
              <w:t>מסגרת ההכשרה והיקפה</w:t>
            </w:r>
            <w:r>
              <w:rPr>
                <w:rFonts w:hint="cs"/>
                <w:rtl/>
              </w:rPr>
              <w:t>, כל אחד בתחום אחריות משרדו</w:t>
            </w:r>
            <w:r w:rsidRPr="00CC4E09"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CEA8643" w14:textId="77777777" w:rsidR="005A07A1" w:rsidRPr="0049076C" w:rsidRDefault="005A07A1" w:rsidP="0049076C">
      <w:pPr>
        <w:pStyle w:val="Hesber"/>
        <w:rPr>
          <w:rtl/>
        </w:rPr>
      </w:pPr>
      <w:r w:rsidRPr="0049076C">
        <w:rPr>
          <w:rtl/>
        </w:rPr>
        <w:t xml:space="preserve">לאנשי מקצוע העובדים במערכות הבריאות, הרווחה והחינוך תפקיד חשוב באיתור ילדים </w:t>
      </w:r>
      <w:r w:rsidRPr="0049076C">
        <w:rPr>
          <w:rFonts w:hint="cs"/>
          <w:rtl/>
        </w:rPr>
        <w:t xml:space="preserve">שעוברים התעללות </w:t>
      </w:r>
      <w:r w:rsidRPr="0049076C">
        <w:rPr>
          <w:rtl/>
        </w:rPr>
        <w:t>ו</w:t>
      </w:r>
      <w:r w:rsidRPr="0049076C">
        <w:rPr>
          <w:rFonts w:hint="cs"/>
          <w:rtl/>
        </w:rPr>
        <w:t>ב</w:t>
      </w:r>
      <w:r w:rsidRPr="0049076C">
        <w:rPr>
          <w:rtl/>
        </w:rPr>
        <w:t xml:space="preserve">דיווח </w:t>
      </w:r>
      <w:r w:rsidRPr="0049076C">
        <w:rPr>
          <w:rFonts w:hint="cs"/>
          <w:rtl/>
        </w:rPr>
        <w:t xml:space="preserve">על כך </w:t>
      </w:r>
      <w:r w:rsidRPr="0049076C">
        <w:rPr>
          <w:rtl/>
        </w:rPr>
        <w:t>לגורמי הטיפול והאכיפה (</w:t>
      </w:r>
      <w:r w:rsidRPr="0049076C">
        <w:rPr>
          <w:rFonts w:hint="cs"/>
          <w:rtl/>
        </w:rPr>
        <w:t xml:space="preserve">עובדים סוציאליים לפי חוק הנוער </w:t>
      </w:r>
      <w:r w:rsidRPr="0049076C">
        <w:rPr>
          <w:rtl/>
        </w:rPr>
        <w:t xml:space="preserve">או משטרה). </w:t>
      </w:r>
    </w:p>
    <w:p w14:paraId="2C2D9F25" w14:textId="77777777" w:rsidR="005A07A1" w:rsidRPr="0049076C" w:rsidRDefault="005A07A1" w:rsidP="0049076C">
      <w:pPr>
        <w:pStyle w:val="Hesber"/>
        <w:rPr>
          <w:rtl/>
        </w:rPr>
      </w:pPr>
      <w:r w:rsidRPr="0049076C">
        <w:rPr>
          <w:rtl/>
        </w:rPr>
        <w:t>מערכות אלה מלוות את הילדים ומוטלת עליהם אחריות רבה לתרום לתהליכים של מניעה, איתור וטיפול במקרים</w:t>
      </w:r>
      <w:r w:rsidRPr="0049076C">
        <w:rPr>
          <w:rFonts w:hint="cs"/>
          <w:rtl/>
        </w:rPr>
        <w:t xml:space="preserve"> של</w:t>
      </w:r>
      <w:r w:rsidRPr="0049076C">
        <w:rPr>
          <w:rtl/>
        </w:rPr>
        <w:t xml:space="preserve"> התעללות מינית בילדים ומשפחתם. לעתים קרובות </w:t>
      </w:r>
      <w:r w:rsidRPr="0049076C">
        <w:rPr>
          <w:rFonts w:hint="cs"/>
          <w:rtl/>
        </w:rPr>
        <w:t xml:space="preserve">אנשי המקצוע באותן המערכות הם </w:t>
      </w:r>
      <w:r w:rsidRPr="0049076C">
        <w:rPr>
          <w:rtl/>
        </w:rPr>
        <w:t xml:space="preserve">אלה שעשויים לזהות פגיעות פיזיות או נפשיות אצל הילדים במסגרת הליכי טיפול שגרתיים.  </w:t>
      </w:r>
    </w:p>
    <w:p w14:paraId="6D3F0A02" w14:textId="77777777" w:rsidR="005A07A1" w:rsidRPr="0049076C" w:rsidRDefault="005A07A1" w:rsidP="0049076C">
      <w:pPr>
        <w:pStyle w:val="Hesber"/>
        <w:rPr>
          <w:rtl/>
        </w:rPr>
      </w:pPr>
      <w:r w:rsidRPr="0049076C">
        <w:rPr>
          <w:rtl/>
        </w:rPr>
        <w:t xml:space="preserve">כיום מוטלת על אנשי מקצוע חובת דיווח במקרים של התעללות </w:t>
      </w:r>
      <w:r w:rsidRPr="0049076C">
        <w:rPr>
          <w:rFonts w:hint="cs"/>
          <w:rtl/>
        </w:rPr>
        <w:t>הקבועים ב</w:t>
      </w:r>
      <w:r w:rsidRPr="0049076C">
        <w:rPr>
          <w:rtl/>
        </w:rPr>
        <w:t>חוק, אולם, על מנת לזהות סימנים ותסמינים העולים לעיתים בהליכי טיפול שגרתיים נדרשים ידע, מודעות ומיומנות באבחון .</w:t>
      </w:r>
    </w:p>
    <w:p w14:paraId="266FD814" w14:textId="77777777" w:rsidR="005A07A1" w:rsidRPr="0049076C" w:rsidRDefault="005A07A1" w:rsidP="0049076C">
      <w:pPr>
        <w:pStyle w:val="Hesber"/>
        <w:rPr>
          <w:rtl/>
        </w:rPr>
      </w:pPr>
      <w:r w:rsidRPr="0049076C">
        <w:rPr>
          <w:rFonts w:hint="cs"/>
          <w:rtl/>
        </w:rPr>
        <w:t xml:space="preserve">לאור האמור, מוצע </w:t>
      </w:r>
      <w:r w:rsidRPr="0049076C">
        <w:rPr>
          <w:rtl/>
        </w:rPr>
        <w:t xml:space="preserve">לחייב אנשי מקצוע אלה </w:t>
      </w:r>
      <w:r w:rsidRPr="0049076C">
        <w:rPr>
          <w:rFonts w:hint="cs"/>
          <w:rtl/>
        </w:rPr>
        <w:t xml:space="preserve">לעבור </w:t>
      </w:r>
      <w:r w:rsidRPr="0049076C">
        <w:rPr>
          <w:rtl/>
        </w:rPr>
        <w:t xml:space="preserve">הכשרה מקצועית </w:t>
      </w:r>
      <w:r w:rsidRPr="0049076C">
        <w:rPr>
          <w:rFonts w:hint="cs"/>
          <w:rtl/>
        </w:rPr>
        <w:t>ש</w:t>
      </w:r>
      <w:r w:rsidRPr="0049076C">
        <w:rPr>
          <w:rtl/>
        </w:rPr>
        <w:t>ממוקדת בזיהוי ו</w:t>
      </w:r>
      <w:r w:rsidRPr="0049076C">
        <w:rPr>
          <w:rFonts w:hint="cs"/>
          <w:rtl/>
        </w:rPr>
        <w:t>ב</w:t>
      </w:r>
      <w:r w:rsidRPr="0049076C">
        <w:rPr>
          <w:rtl/>
        </w:rPr>
        <w:t>דיווח על התעללות מינית בילדים כתנאי לקבלת</w:t>
      </w:r>
      <w:r w:rsidRPr="0049076C">
        <w:rPr>
          <w:rFonts w:hint="cs"/>
          <w:rtl/>
        </w:rPr>
        <w:t xml:space="preserve"> </w:t>
      </w:r>
      <w:r w:rsidRPr="0049076C">
        <w:rPr>
          <w:rtl/>
        </w:rPr>
        <w:t xml:space="preserve">רישיון </w:t>
      </w:r>
      <w:r w:rsidRPr="0049076C">
        <w:rPr>
          <w:rFonts w:hint="cs"/>
          <w:rtl/>
        </w:rPr>
        <w:t>לעסוק במקצוע</w:t>
      </w:r>
      <w:r w:rsidRPr="0049076C">
        <w:rPr>
          <w:rtl/>
        </w:rPr>
        <w:t>.</w:t>
      </w:r>
    </w:p>
    <w:p w14:paraId="2BC139BB" w14:textId="77777777" w:rsidR="005A07A1" w:rsidRPr="0049076C" w:rsidRDefault="005A07A1" w:rsidP="0049076C">
      <w:pPr>
        <w:pStyle w:val="Hesber"/>
        <w:rPr>
          <w:rtl/>
        </w:rPr>
      </w:pPr>
      <w:r w:rsidRPr="0049076C">
        <w:rPr>
          <w:rtl/>
        </w:rPr>
        <w:t>הצע</w:t>
      </w:r>
      <w:r w:rsidRPr="0049076C">
        <w:rPr>
          <w:rFonts w:hint="cs"/>
          <w:rtl/>
        </w:rPr>
        <w:t xml:space="preserve">ות חוק דומות בעיקרן </w:t>
      </w:r>
      <w:r w:rsidRPr="0049076C">
        <w:rPr>
          <w:rtl/>
        </w:rPr>
        <w:t>הונח</w:t>
      </w:r>
      <w:r w:rsidRPr="0049076C">
        <w:rPr>
          <w:rFonts w:hint="cs"/>
          <w:rtl/>
        </w:rPr>
        <w:t>ו</w:t>
      </w:r>
      <w:r w:rsidRPr="0049076C">
        <w:rPr>
          <w:rtl/>
        </w:rPr>
        <w:t xml:space="preserve"> על שולחן הכנסת השמונה</w:t>
      </w:r>
      <w:r w:rsidRPr="0049076C">
        <w:rPr>
          <w:rFonts w:hint="cs"/>
          <w:rtl/>
        </w:rPr>
        <w:t>-</w:t>
      </w:r>
      <w:r w:rsidRPr="0049076C">
        <w:rPr>
          <w:rtl/>
        </w:rPr>
        <w:t xml:space="preserve">עשרה על ידי חברת הכנסת </w:t>
      </w:r>
      <w:r w:rsidRPr="0049076C">
        <w:rPr>
          <w:rFonts w:hint="cs"/>
          <w:rtl/>
        </w:rPr>
        <w:t>רחל אדטו וקבוצת חברי הכנסת</w:t>
      </w:r>
      <w:r w:rsidRPr="0049076C">
        <w:rPr>
          <w:rtl/>
        </w:rPr>
        <w:t xml:space="preserve"> (פ/4481/18)</w:t>
      </w:r>
      <w:r w:rsidRPr="0049076C">
        <w:rPr>
          <w:rFonts w:hint="cs"/>
          <w:rtl/>
        </w:rPr>
        <w:t>, על שולחן הכנסת התשע-עשרה על ידי חברת הכנסת מירי רגב (פ/628/19), ועל ידי חברת הכנסת מיכל רוזין וקבוצת חברי הכנסת (</w:t>
      </w:r>
      <w:r w:rsidRPr="0049076C">
        <w:rPr>
          <w:rtl/>
        </w:rPr>
        <w:t>פ/922/19</w:t>
      </w:r>
      <w:r w:rsidRPr="0049076C">
        <w:rPr>
          <w:rFonts w:hint="cs"/>
          <w:rtl/>
        </w:rPr>
        <w:t xml:space="preserve">; </w:t>
      </w:r>
      <w:r w:rsidRPr="0049076C">
        <w:rPr>
          <w:rtl/>
        </w:rPr>
        <w:t>פ/2015/19</w:t>
      </w:r>
      <w:r w:rsidRPr="0049076C">
        <w:rPr>
          <w:rFonts w:hint="cs"/>
          <w:rtl/>
        </w:rPr>
        <w:t xml:space="preserve">), ועל שולחן הכנסת העשרים על ידי חברות הכנסת מיכל רוזין ותמר זנדברג </w:t>
      </w:r>
      <w:bookmarkStart w:id="8" w:name="LawNum"/>
      <w:r w:rsidRPr="0049076C">
        <w:rPr>
          <w:rFonts w:hint="cs"/>
          <w:rtl/>
        </w:rPr>
        <w:t>(</w:t>
      </w:r>
      <w:bookmarkEnd w:id="8"/>
      <w:r w:rsidRPr="0049076C">
        <w:rPr>
          <w:rFonts w:hint="cs"/>
          <w:rtl/>
        </w:rPr>
        <w:t xml:space="preserve">פ/129/20), ועל ידי חבר הכנסת איציק שמולי (פ/1247/20). </w:t>
      </w:r>
    </w:p>
    <w:p w14:paraId="2ED072D5" w14:textId="45F27E1C" w:rsidR="005A07A1" w:rsidRDefault="005A07A1" w:rsidP="00A811EB">
      <w:pPr>
        <w:pStyle w:val="Hesber"/>
        <w:rPr>
          <w:rtl/>
        </w:rPr>
      </w:pPr>
      <w:r w:rsidRPr="0049076C">
        <w:rPr>
          <w:rFonts w:hint="cs"/>
          <w:rtl/>
        </w:rPr>
        <w:lastRenderedPageBreak/>
        <w:t>הצע</w:t>
      </w:r>
      <w:r w:rsidR="00A811EB">
        <w:rPr>
          <w:rFonts w:hint="cs"/>
          <w:rtl/>
        </w:rPr>
        <w:t>ו</w:t>
      </w:r>
      <w:r w:rsidRPr="0049076C">
        <w:rPr>
          <w:rFonts w:hint="cs"/>
          <w:rtl/>
        </w:rPr>
        <w:t>ת חוק זה</w:t>
      </w:r>
      <w:r w:rsidR="00A811EB">
        <w:rPr>
          <w:rFonts w:hint="cs"/>
          <w:rtl/>
        </w:rPr>
        <w:t>ות</w:t>
      </w:r>
      <w:r w:rsidRPr="0049076C">
        <w:rPr>
          <w:rFonts w:hint="cs"/>
          <w:rtl/>
        </w:rPr>
        <w:t xml:space="preserve"> הונח</w:t>
      </w:r>
      <w:r w:rsidR="00A811EB">
        <w:rPr>
          <w:rFonts w:hint="cs"/>
          <w:rtl/>
        </w:rPr>
        <w:t>ו</w:t>
      </w:r>
      <w:r w:rsidRPr="0049076C">
        <w:rPr>
          <w:rFonts w:hint="cs"/>
          <w:rtl/>
        </w:rPr>
        <w:t xml:space="preserve"> על שולחן הכנסת העשרים על ידי חברות הכנסת יפעת שאשא </w:t>
      </w:r>
      <w:r w:rsidR="00A811EB">
        <w:rPr>
          <w:rFonts w:hint="cs"/>
          <w:rtl/>
        </w:rPr>
        <w:t>ביטון ומיכל רוזין (פ/2416/20)</w:t>
      </w:r>
      <w:r w:rsidR="005C78BC">
        <w:rPr>
          <w:rFonts w:hint="cs"/>
          <w:rtl/>
        </w:rPr>
        <w:t>,</w:t>
      </w:r>
      <w:r w:rsidR="00A811EB">
        <w:rPr>
          <w:rFonts w:hint="cs"/>
          <w:rtl/>
        </w:rPr>
        <w:t xml:space="preserve"> על שולחן הכנסת העשרים ואחת</w:t>
      </w:r>
      <w:r w:rsidRPr="0049076C">
        <w:rPr>
          <w:rFonts w:hint="cs"/>
          <w:rtl/>
        </w:rPr>
        <w:t xml:space="preserve"> על ידי חברת הכנסת מיכל רוזין (פ/446/21)</w:t>
      </w:r>
      <w:r w:rsidR="005C78BC">
        <w:rPr>
          <w:rFonts w:hint="cs"/>
          <w:rtl/>
        </w:rPr>
        <w:t xml:space="preserve">, </w:t>
      </w:r>
      <w:r w:rsidRPr="0049076C">
        <w:rPr>
          <w:rFonts w:hint="cs"/>
          <w:rtl/>
        </w:rPr>
        <w:t xml:space="preserve">על שולחן הכנסת העשרים ושתיים </w:t>
      </w:r>
      <w:r w:rsidR="00FC185D" w:rsidRPr="0049076C">
        <w:rPr>
          <w:rFonts w:hint="cs"/>
          <w:rtl/>
        </w:rPr>
        <w:t xml:space="preserve">על ידי חברת הכנסת עומר ינקלביץ' </w:t>
      </w:r>
      <w:r w:rsidR="004D1329">
        <w:rPr>
          <w:rFonts w:hint="cs"/>
          <w:rtl/>
        </w:rPr>
        <w:t xml:space="preserve">וקבוצת חברי הכנסת </w:t>
      </w:r>
      <w:r w:rsidRPr="0049076C">
        <w:rPr>
          <w:rFonts w:hint="cs"/>
          <w:rtl/>
        </w:rPr>
        <w:t>(פ/</w:t>
      </w:r>
      <w:r w:rsidR="004D1329">
        <w:rPr>
          <w:rFonts w:hint="cs"/>
          <w:rtl/>
        </w:rPr>
        <w:t>170/22</w:t>
      </w:r>
      <w:r w:rsidRPr="0049076C">
        <w:rPr>
          <w:rFonts w:hint="cs"/>
          <w:rtl/>
        </w:rPr>
        <w:t>)</w:t>
      </w:r>
      <w:r w:rsidR="00497612">
        <w:rPr>
          <w:rFonts w:hint="cs"/>
          <w:rtl/>
        </w:rPr>
        <w:t xml:space="preserve">, </w:t>
      </w:r>
      <w:r w:rsidR="004D1329">
        <w:rPr>
          <w:rFonts w:hint="cs"/>
          <w:rtl/>
        </w:rPr>
        <w:t xml:space="preserve">על ידי </w:t>
      </w:r>
      <w:r w:rsidR="002919CD">
        <w:rPr>
          <w:rFonts w:hint="cs"/>
          <w:rtl/>
        </w:rPr>
        <w:t>חברת הכנסת קרן ברק (פ/353/22)</w:t>
      </w:r>
      <w:r w:rsidR="00497612">
        <w:rPr>
          <w:rFonts w:hint="cs"/>
          <w:rtl/>
        </w:rPr>
        <w:t xml:space="preserve"> ועל ידי חברת הכנסת תמר זנדברג (פ/354/22)</w:t>
      </w:r>
      <w:r w:rsidR="005C78BC">
        <w:rPr>
          <w:rFonts w:hint="cs"/>
          <w:rtl/>
        </w:rPr>
        <w:t xml:space="preserve"> ועל שולחן הכנסת העשרים ושלוש על ידי חברת הכנסת קרן ברק (פ/158/23)</w:t>
      </w:r>
      <w:r w:rsidR="00497612">
        <w:rPr>
          <w:rFonts w:hint="cs"/>
          <w:rtl/>
        </w:rPr>
        <w:t>.</w:t>
      </w:r>
    </w:p>
    <w:p w14:paraId="02DCD29D" w14:textId="1E6180BC" w:rsidR="00750E86" w:rsidRDefault="00750E86" w:rsidP="00A811EB">
      <w:pPr>
        <w:pStyle w:val="Hesber"/>
        <w:rPr>
          <w:rtl/>
        </w:rPr>
      </w:pPr>
    </w:p>
    <w:p w14:paraId="1D948072" w14:textId="7D376FCC" w:rsidR="00750E86" w:rsidRDefault="00750E86" w:rsidP="00A811EB">
      <w:pPr>
        <w:pStyle w:val="Hesber"/>
        <w:rPr>
          <w:rtl/>
        </w:rPr>
      </w:pPr>
    </w:p>
    <w:p w14:paraId="2F047719" w14:textId="77777777" w:rsidR="00750E86" w:rsidRPr="00A83796" w:rsidRDefault="00750E86" w:rsidP="00750E86">
      <w:pPr>
        <w:pStyle w:val="Hesber"/>
        <w:rPr>
          <w:rtl/>
        </w:rPr>
      </w:pPr>
      <w:r w:rsidRPr="00A83796">
        <w:rPr>
          <w:rtl/>
        </w:rPr>
        <w:t>---------------------------------</w:t>
      </w:r>
    </w:p>
    <w:p w14:paraId="5959C370" w14:textId="77777777" w:rsidR="00750E86" w:rsidRPr="00A83796" w:rsidRDefault="00750E86" w:rsidP="00750E86">
      <w:pPr>
        <w:pStyle w:val="Hesber"/>
        <w:rPr>
          <w:rtl/>
        </w:rPr>
      </w:pPr>
      <w:r w:rsidRPr="00A83796">
        <w:rPr>
          <w:rFonts w:hint="cs"/>
          <w:rtl/>
        </w:rPr>
        <w:t>הוגשה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ליו</w:t>
      </w:r>
      <w:r w:rsidRPr="00A83796">
        <w:rPr>
          <w:rtl/>
        </w:rPr>
        <w:t>"</w:t>
      </w:r>
      <w:r w:rsidRPr="00A83796">
        <w:rPr>
          <w:rFonts w:hint="cs"/>
          <w:rtl/>
        </w:rPr>
        <w:t>ר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והסגנים</w:t>
      </w:r>
    </w:p>
    <w:p w14:paraId="63AB72DB" w14:textId="77777777" w:rsidR="00750E86" w:rsidRPr="00A83796" w:rsidRDefault="00750E86" w:rsidP="00750E86">
      <w:pPr>
        <w:pStyle w:val="Hesber"/>
        <w:rPr>
          <w:rtl/>
        </w:rPr>
      </w:pPr>
      <w:r w:rsidRPr="00A83796">
        <w:rPr>
          <w:rFonts w:hint="cs"/>
          <w:rtl/>
        </w:rPr>
        <w:t>והונחה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על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שולחן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ביום</w:t>
      </w:r>
    </w:p>
    <w:p w14:paraId="43622D3A" w14:textId="77777777" w:rsidR="00750E86" w:rsidRPr="00A83796" w:rsidRDefault="00750E86" w:rsidP="00750E86">
      <w:pPr>
        <w:pStyle w:val="Hesber"/>
        <w:rPr>
          <w:rtl/>
        </w:rPr>
      </w:pPr>
      <w:r>
        <w:rPr>
          <w:rFonts w:hint="cs"/>
          <w:rtl/>
        </w:rPr>
        <w:t xml:space="preserve">ב' באייר </w:t>
      </w:r>
      <w:r>
        <w:rPr>
          <w:rtl/>
        </w:rPr>
        <w:t xml:space="preserve">התש"ף – </w:t>
      </w:r>
      <w:r>
        <w:rPr>
          <w:rFonts w:hint="cs"/>
          <w:rtl/>
        </w:rPr>
        <w:t>26</w:t>
      </w:r>
      <w:r>
        <w:rPr>
          <w:rtl/>
        </w:rPr>
        <w:t>.4.20</w:t>
      </w:r>
    </w:p>
    <w:p w14:paraId="52C8E7A3" w14:textId="77777777" w:rsidR="00750E86" w:rsidRPr="0049076C" w:rsidRDefault="00750E86" w:rsidP="00A811EB">
      <w:pPr>
        <w:pStyle w:val="Hesber"/>
        <w:rPr>
          <w:rtl/>
        </w:rPr>
      </w:pPr>
      <w:bookmarkStart w:id="9" w:name="_GoBack"/>
      <w:bookmarkEnd w:id="9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6A89537E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50E8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19CD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9076C"/>
    <w:rsid w:val="00497612"/>
    <w:rsid w:val="004A06DC"/>
    <w:rsid w:val="004B24ED"/>
    <w:rsid w:val="004B6625"/>
    <w:rsid w:val="004D1329"/>
    <w:rsid w:val="004D2D82"/>
    <w:rsid w:val="004D3876"/>
    <w:rsid w:val="004E4552"/>
    <w:rsid w:val="004E6CDF"/>
    <w:rsid w:val="00553C9D"/>
    <w:rsid w:val="00562A66"/>
    <w:rsid w:val="005A07A1"/>
    <w:rsid w:val="005B064E"/>
    <w:rsid w:val="005C78BC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50E86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11EB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62B3C4D-7655-4438-89A7-D876EFC0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0CCBF-2D80-4869-825E-ECD2FCC9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70E886-5F71-477F-B88D-309E7EF8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415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12</cp:revision>
  <cp:lastPrinted>2013-07-04T08:25:00Z</cp:lastPrinted>
  <dcterms:created xsi:type="dcterms:W3CDTF">2015-04-20T09:58:00Z</dcterms:created>
  <dcterms:modified xsi:type="dcterms:W3CDTF">2020-04-23T18:13:00Z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2086242</vt:r8>
  </property>
</Properties>
</file>