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2085771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יזהר שי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64ECE2B2" w:rsidR="00E13C27" w:rsidRPr="00E06736" w:rsidRDefault="00904591" w:rsidP="00904591">
      <w:pPr>
        <w:pStyle w:val="David"/>
        <w:spacing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 w:rsidR="007A266D">
        <w:rPr>
          <w:rtl/>
        </w:rPr>
        <w:tab/>
      </w:r>
      <w:r>
        <w:rPr>
          <w:rFonts w:hint="cs"/>
          <w:rtl/>
        </w:rPr>
        <w:t>פ/227/23</w:t>
      </w:r>
      <w:bookmarkEnd w:id="6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7F6961AD" w14:textId="635C5357" w:rsidR="00E13C27" w:rsidRPr="00F67051" w:rsidRDefault="00A443CF" w:rsidP="007E6B64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לתיקון פקודת בריאות העם (תיקון </w:t>
      </w:r>
      <w:r w:rsidR="007E6B64">
        <w:rPr>
          <w:rtl/>
        </w:rPr>
        <w:softHyphen/>
        <w:t>–</w:t>
      </w:r>
      <w:r>
        <w:rPr>
          <w:rFonts w:hint="cs"/>
          <w:rtl/>
        </w:rPr>
        <w:t xml:space="preserve"> העדפות מתן </w:t>
      </w:r>
      <w:proofErr w:type="spellStart"/>
      <w:r>
        <w:rPr>
          <w:rFonts w:hint="cs"/>
          <w:rtl/>
        </w:rPr>
        <w:t>רשיון</w:t>
      </w:r>
      <w:proofErr w:type="spellEnd"/>
      <w:r>
        <w:rPr>
          <w:rFonts w:hint="cs"/>
          <w:rtl/>
        </w:rPr>
        <w:t xml:space="preserve"> למכשור רפואי בפריפריה), </w:t>
      </w:r>
      <w:proofErr w:type="spellStart"/>
      <w:r>
        <w:rPr>
          <w:rFonts w:hint="cs"/>
          <w:rtl/>
        </w:rPr>
        <w:t>התש"ף</w:t>
      </w:r>
      <w:proofErr w:type="spellEnd"/>
      <w:r w:rsidR="007E6B64">
        <w:rPr>
          <w:rtl/>
        </w:rPr>
        <w:t>–</w:t>
      </w:r>
      <w:r w:rsidR="007E6B64">
        <w:rPr>
          <w:rFonts w:hint="cs"/>
          <w:rtl/>
        </w:rPr>
        <w:t xml:space="preserve"> </w:t>
      </w:r>
      <w:r>
        <w:rPr>
          <w:rFonts w:hint="cs"/>
          <w:rtl/>
        </w:rPr>
        <w:t>2020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2F1D80" w14:paraId="035EEF3D" w14:textId="77777777" w:rsidTr="00067F58">
        <w:trPr>
          <w:cantSplit/>
        </w:trPr>
        <w:tc>
          <w:tcPr>
            <w:tcW w:w="1871" w:type="dxa"/>
          </w:tcPr>
          <w:p w14:paraId="3863FF98" w14:textId="6E06E35A" w:rsidR="002F1D80" w:rsidRDefault="007E6B64" w:rsidP="002C3041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65</w:t>
            </w:r>
          </w:p>
        </w:tc>
        <w:tc>
          <w:tcPr>
            <w:tcW w:w="624" w:type="dxa"/>
          </w:tcPr>
          <w:p w14:paraId="6F513EF6" w14:textId="37863844" w:rsidR="002F1D80" w:rsidRDefault="007E6B64" w:rsidP="002C3041">
            <w:pPr>
              <w:pStyle w:val="TableText"/>
              <w:keepLines w:val="0"/>
            </w:pPr>
            <w:r>
              <w:rPr>
                <w:rFonts w:hint="cs"/>
                <w:rtl/>
              </w:rPr>
              <w:t>1</w:t>
            </w:r>
            <w:r w:rsidR="00137BDE">
              <w:rPr>
                <w:rFonts w:hint="cs"/>
                <w:rtl/>
              </w:rPr>
              <w:t>.</w:t>
            </w:r>
          </w:p>
        </w:tc>
        <w:tc>
          <w:tcPr>
            <w:tcW w:w="7143" w:type="dxa"/>
          </w:tcPr>
          <w:p w14:paraId="1AE94DEB" w14:textId="747B498E" w:rsidR="002F1D80" w:rsidRPr="00067F58" w:rsidRDefault="00137BDE" w:rsidP="00067F58">
            <w:pPr>
              <w:pStyle w:val="TableBlock"/>
            </w:pPr>
            <w:r w:rsidRPr="00067F58">
              <w:rPr>
                <w:rtl/>
              </w:rPr>
              <w:t>בסעיף 65(ב)</w:t>
            </w:r>
            <w:r w:rsidR="00C175FB" w:rsidRPr="00067F58">
              <w:rPr>
                <w:rFonts w:hint="cs"/>
                <w:rtl/>
              </w:rPr>
              <w:t>(</w:t>
            </w:r>
            <w:r w:rsidRPr="00067F58">
              <w:rPr>
                <w:rtl/>
              </w:rPr>
              <w:t>4</w:t>
            </w:r>
            <w:r w:rsidR="00C175FB" w:rsidRPr="00067F58">
              <w:rPr>
                <w:rFonts w:hint="cs"/>
                <w:rtl/>
              </w:rPr>
              <w:t>)</w:t>
            </w:r>
            <w:r w:rsidRPr="00067F58">
              <w:rPr>
                <w:rtl/>
              </w:rPr>
              <w:t xml:space="preserve"> לפקודת </w:t>
            </w:r>
            <w:r w:rsidR="00C175FB" w:rsidRPr="00067F58">
              <w:rPr>
                <w:rtl/>
              </w:rPr>
              <w:t>בריאות העם, 1940</w:t>
            </w:r>
            <w:r w:rsidR="00C175FB" w:rsidRPr="00067F58">
              <w:rPr>
                <w:rFonts w:hint="cs"/>
                <w:rtl/>
              </w:rPr>
              <w:t>,</w:t>
            </w:r>
            <w:r w:rsidRPr="00067F58">
              <w:rPr>
                <w:rtl/>
              </w:rPr>
              <w:t xml:space="preserve"> במקום </w:t>
            </w:r>
            <w:proofErr w:type="spellStart"/>
            <w:r w:rsidR="00C175FB" w:rsidRPr="00067F58">
              <w:rPr>
                <w:rFonts w:hint="cs"/>
                <w:rtl/>
              </w:rPr>
              <w:t>הרישה</w:t>
            </w:r>
            <w:proofErr w:type="spellEnd"/>
            <w:r w:rsidR="00C175FB" w:rsidRPr="00067F58">
              <w:rPr>
                <w:rFonts w:hint="cs"/>
                <w:rtl/>
              </w:rPr>
              <w:t xml:space="preserve"> עד המילים </w:t>
            </w:r>
            <w:r w:rsidRPr="00067F58">
              <w:rPr>
                <w:rtl/>
              </w:rPr>
              <w:t>"ובשיקולים הבאים בלבד –"</w:t>
            </w:r>
            <w:r w:rsidR="00C175FB" w:rsidRPr="00067F58">
              <w:rPr>
                <w:rFonts w:hint="cs"/>
                <w:rtl/>
              </w:rPr>
              <w:t xml:space="preserve"> יבוא "</w:t>
            </w:r>
            <w:r w:rsidR="00C175FB" w:rsidRPr="00067F58">
              <w:rPr>
                <w:rtl/>
              </w:rPr>
              <w:t xml:space="preserve">המנהל ייתן רישיון כאמור בסעיף </w:t>
            </w:r>
            <w:r w:rsidR="00067F58">
              <w:rPr>
                <w:rtl/>
              </w:rPr>
              <w:t>קטן (3) בהתחשב בשיקולים רפואיים</w:t>
            </w:r>
            <w:r w:rsidR="00067F58">
              <w:rPr>
                <w:rFonts w:hint="cs"/>
                <w:rtl/>
              </w:rPr>
              <w:t>;</w:t>
            </w:r>
            <w:r w:rsidR="00067F58">
              <w:rPr>
                <w:rtl/>
              </w:rPr>
              <w:t xml:space="preserve"> </w:t>
            </w:r>
            <w:r w:rsidR="00C175FB" w:rsidRPr="00067F58">
              <w:rPr>
                <w:rtl/>
              </w:rPr>
              <w:t xml:space="preserve">בעת שקילת מתן </w:t>
            </w:r>
            <w:proofErr w:type="spellStart"/>
            <w:r w:rsidR="00C175FB" w:rsidRPr="00067F58">
              <w:rPr>
                <w:rtl/>
              </w:rPr>
              <w:t>רשיון</w:t>
            </w:r>
            <w:proofErr w:type="spellEnd"/>
            <w:r w:rsidR="00C175FB" w:rsidRPr="00067F58">
              <w:rPr>
                <w:rtl/>
              </w:rPr>
              <w:t xml:space="preserve"> למכשיר רפואי שאינ</w:t>
            </w:r>
            <w:r w:rsidR="00C175FB" w:rsidRPr="00067F58">
              <w:rPr>
                <w:rFonts w:hint="cs"/>
                <w:rtl/>
              </w:rPr>
              <w:t>ו באזור פריפריה, ר</w:t>
            </w:r>
            <w:r w:rsidR="00C175FB" w:rsidRPr="00067F58">
              <w:rPr>
                <w:rtl/>
              </w:rPr>
              <w:t>שאי המנהל לשקול גם את השיקולים הבאים</w:t>
            </w:r>
            <w:r w:rsidR="00067F58">
              <w:rPr>
                <w:rFonts w:hint="cs"/>
                <w:rtl/>
              </w:rPr>
              <w:t xml:space="preserve"> </w:t>
            </w:r>
            <w:r w:rsidR="00067F58" w:rsidRPr="00067F58">
              <w:rPr>
                <w:rtl/>
              </w:rPr>
              <w:t>–</w:t>
            </w:r>
            <w:r w:rsidR="00C175FB" w:rsidRPr="00067F58">
              <w:rPr>
                <w:rFonts w:hint="cs"/>
                <w:rtl/>
              </w:rPr>
              <w:t>"</w:t>
            </w:r>
          </w:p>
        </w:tc>
      </w:tr>
    </w:tbl>
    <w:p w14:paraId="7F6961CA" w14:textId="71B30D41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51F1A061" w14:textId="54660EFF" w:rsidR="00137BDE" w:rsidRPr="00067F58" w:rsidRDefault="00137BDE" w:rsidP="007A266D">
      <w:pPr>
        <w:pStyle w:val="Hesber"/>
        <w:spacing w:line="240" w:lineRule="auto"/>
      </w:pPr>
      <w:r w:rsidRPr="00067F58">
        <w:rPr>
          <w:rtl/>
        </w:rPr>
        <w:t>מכשירים רפואיים ייחודיים נדרשים כיום לרישיונות של משרד הבריאות תחת תקנות בריאות העם, אשר נקבעו מתוקף סעיף 33 לפקודת בריאות העם</w:t>
      </w:r>
      <w:r w:rsidR="000B4A99">
        <w:rPr>
          <w:rFonts w:hint="cs"/>
          <w:rtl/>
        </w:rPr>
        <w:t>, 1940</w:t>
      </w:r>
      <w:r w:rsidRPr="00067F58">
        <w:rPr>
          <w:rtl/>
        </w:rPr>
        <w:t>.</w:t>
      </w:r>
    </w:p>
    <w:p w14:paraId="3DA28C12" w14:textId="042F469E" w:rsidR="00137BDE" w:rsidRPr="00067F58" w:rsidRDefault="00137BDE" w:rsidP="007A266D">
      <w:pPr>
        <w:pStyle w:val="Hesber"/>
        <w:spacing w:line="240" w:lineRule="auto"/>
        <w:rPr>
          <w:rtl/>
        </w:rPr>
      </w:pPr>
      <w:r w:rsidRPr="00067F58">
        <w:rPr>
          <w:rtl/>
        </w:rPr>
        <w:t> בתי חולים או מרכזים רפואיים אשר מעוניינים לרכוש מכשיר רפואי חדשני כגון- </w:t>
      </w:r>
      <w:r w:rsidRPr="00067F58">
        <w:t>PET CT, MRI, </w:t>
      </w:r>
      <w:r w:rsidRPr="00067F58">
        <w:rPr>
          <w:rtl/>
        </w:rPr>
        <w:t>, מאיצים, תאי לחץ וכיוצא בזה</w:t>
      </w:r>
      <w:r w:rsidR="00067F58">
        <w:rPr>
          <w:rFonts w:hint="cs"/>
          <w:rtl/>
        </w:rPr>
        <w:t xml:space="preserve"> </w:t>
      </w:r>
      <w:r w:rsidRPr="00067F58">
        <w:rPr>
          <w:rtl/>
        </w:rPr>
        <w:t xml:space="preserve">- מחויבים באישור ומתן היתר של משרד הבריאות. כיום, בתי החולים מתקשים לקבל אישורים ממשרד הבריאות לרכישה והצבת מכשירים חדשים. </w:t>
      </w:r>
    </w:p>
    <w:p w14:paraId="1FE4586C" w14:textId="5F12BE0F" w:rsidR="00137BDE" w:rsidRPr="00067F58" w:rsidRDefault="00137BDE" w:rsidP="007A266D">
      <w:pPr>
        <w:pStyle w:val="Hesber"/>
        <w:spacing w:line="240" w:lineRule="auto"/>
        <w:rPr>
          <w:rtl/>
        </w:rPr>
      </w:pPr>
      <w:r w:rsidRPr="00067F58">
        <w:rPr>
          <w:rtl/>
        </w:rPr>
        <w:t xml:space="preserve">לאור זאת השירות לאזרח בכלל ומתן שירותי רפואי בפריפריה בפרט נפגעים אנושות. זאת </w:t>
      </w:r>
      <w:r w:rsidR="00067F58">
        <w:rPr>
          <w:rFonts w:hint="cs"/>
          <w:rtl/>
        </w:rPr>
        <w:t>מ</w:t>
      </w:r>
      <w:r w:rsidRPr="00067F58">
        <w:rPr>
          <w:rtl/>
        </w:rPr>
        <w:t xml:space="preserve">כיוון </w:t>
      </w:r>
      <w:r w:rsidR="00067F58">
        <w:rPr>
          <w:rFonts w:hint="cs"/>
          <w:rtl/>
        </w:rPr>
        <w:t>ש</w:t>
      </w:r>
      <w:r w:rsidRPr="00067F58">
        <w:rPr>
          <w:rtl/>
        </w:rPr>
        <w:t xml:space="preserve">רבים מהמכשירים נמצאים במרכזים רפואיים פרטיים. בשל כך </w:t>
      </w:r>
      <w:r w:rsidR="00067F58">
        <w:rPr>
          <w:rFonts w:hint="cs"/>
          <w:rtl/>
        </w:rPr>
        <w:t xml:space="preserve">נמנע </w:t>
      </w:r>
      <w:r w:rsidRPr="00067F58">
        <w:rPr>
          <w:rtl/>
        </w:rPr>
        <w:t>שיפור הרפואה הציבורית וחיי אדם נמצאים על הכף כאשר קיימים תורים ארוכים לבדיקות וטיפולים מצילי חיים</w:t>
      </w:r>
      <w:r w:rsidR="000B4A99">
        <w:rPr>
          <w:rFonts w:hint="cs"/>
          <w:rtl/>
        </w:rPr>
        <w:t xml:space="preserve"> במסגרת בתי החולים הציבוריים</w:t>
      </w:r>
      <w:r w:rsidRPr="00067F58">
        <w:rPr>
          <w:rtl/>
        </w:rPr>
        <w:t xml:space="preserve">. </w:t>
      </w:r>
    </w:p>
    <w:p w14:paraId="1620DE76" w14:textId="5602D3BA" w:rsidR="00137BDE" w:rsidRPr="00067F58" w:rsidRDefault="00137BDE" w:rsidP="007A266D">
      <w:pPr>
        <w:pStyle w:val="Hesber"/>
        <w:spacing w:line="240" w:lineRule="auto"/>
        <w:rPr>
          <w:rtl/>
        </w:rPr>
      </w:pPr>
      <w:r w:rsidRPr="00067F58">
        <w:rPr>
          <w:rtl/>
        </w:rPr>
        <w:t>מדיניות זו מתבססת ע</w:t>
      </w:r>
      <w:r w:rsidR="00067F58">
        <w:rPr>
          <w:rtl/>
        </w:rPr>
        <w:t>ל התפיסה כי ריבוי מכשירים יוביל</w:t>
      </w:r>
      <w:r w:rsidRPr="00067F58">
        <w:rPr>
          <w:rtl/>
        </w:rPr>
        <w:t xml:space="preserve"> להגדלת ההיצע ובכך </w:t>
      </w:r>
      <w:r w:rsidR="00067F58">
        <w:rPr>
          <w:rtl/>
        </w:rPr>
        <w:t xml:space="preserve">גם להגדלת הביקוש, אשר יובילו </w:t>
      </w:r>
      <w:r w:rsidR="00067F58">
        <w:rPr>
          <w:rFonts w:hint="cs"/>
          <w:rtl/>
        </w:rPr>
        <w:t>יחד ל</w:t>
      </w:r>
      <w:r w:rsidRPr="00067F58">
        <w:rPr>
          <w:rtl/>
        </w:rPr>
        <w:t xml:space="preserve">הגדלת ההוצאה של המדינה על בריאות לפי מספר נפשות. על כן, מוצעת דרך ביניים </w:t>
      </w:r>
      <w:r w:rsidR="00067F58">
        <w:rPr>
          <w:rtl/>
        </w:rPr>
        <w:t>ל</w:t>
      </w:r>
      <w:r w:rsidR="00067F58">
        <w:rPr>
          <w:rFonts w:hint="cs"/>
          <w:rtl/>
        </w:rPr>
        <w:t xml:space="preserve">פיה </w:t>
      </w:r>
      <w:r w:rsidR="000B4A99">
        <w:rPr>
          <w:rFonts w:hint="cs"/>
          <w:rtl/>
        </w:rPr>
        <w:t xml:space="preserve">כאשר תישקל בקשת </w:t>
      </w:r>
      <w:r w:rsidR="00067F58">
        <w:rPr>
          <w:rFonts w:hint="cs"/>
          <w:rtl/>
        </w:rPr>
        <w:t xml:space="preserve">בתי חולים באזור הפריפריה </w:t>
      </w:r>
      <w:r w:rsidRPr="00067F58">
        <w:rPr>
          <w:rtl/>
        </w:rPr>
        <w:t xml:space="preserve">לרכישת מכשיר רפואי חדש </w:t>
      </w:r>
      <w:r w:rsidR="000B4A99">
        <w:rPr>
          <w:rFonts w:hint="cs"/>
          <w:rtl/>
        </w:rPr>
        <w:t xml:space="preserve">יוכל </w:t>
      </w:r>
      <w:r w:rsidRPr="00067F58">
        <w:rPr>
          <w:rtl/>
        </w:rPr>
        <w:t>משרד הבריאות</w:t>
      </w:r>
      <w:r w:rsidR="000B4A99">
        <w:rPr>
          <w:rFonts w:hint="cs"/>
          <w:rtl/>
        </w:rPr>
        <w:t xml:space="preserve"> לשקול אך ורק שיקולים בריאותיים ולא שיקולים של עלות או של גובה ההוצאה הציבורית לבריאות</w:t>
      </w:r>
      <w:r w:rsidRPr="00067F58">
        <w:rPr>
          <w:rtl/>
        </w:rPr>
        <w:t xml:space="preserve">. </w:t>
      </w:r>
      <w:r w:rsidR="000B4A99">
        <w:rPr>
          <w:rFonts w:hint="cs"/>
          <w:rtl/>
        </w:rPr>
        <w:t>השינוי מוצע</w:t>
      </w:r>
      <w:r w:rsidR="00067F58">
        <w:rPr>
          <w:rFonts w:hint="cs"/>
          <w:rtl/>
        </w:rPr>
        <w:t xml:space="preserve"> מ</w:t>
      </w:r>
      <w:r w:rsidR="000B4A99">
        <w:rPr>
          <w:rtl/>
        </w:rPr>
        <w:t>כיוון שבאזורי</w:t>
      </w:r>
      <w:r w:rsidR="000B4A99">
        <w:rPr>
          <w:rFonts w:hint="cs"/>
          <w:rtl/>
        </w:rPr>
        <w:t xml:space="preserve"> הפריפריה</w:t>
      </w:r>
      <w:r w:rsidRPr="00067F58">
        <w:rPr>
          <w:rtl/>
        </w:rPr>
        <w:t xml:space="preserve"> אחד מכל ארבעה תושבים מוותר על טיפול רפואי </w:t>
      </w:r>
      <w:r w:rsidR="00067F58">
        <w:rPr>
          <w:rFonts w:hint="cs"/>
          <w:rtl/>
        </w:rPr>
        <w:t xml:space="preserve">בשל העובדה שהוא </w:t>
      </w:r>
      <w:r w:rsidRPr="00067F58">
        <w:rPr>
          <w:rtl/>
        </w:rPr>
        <w:t>נדרש לנסוע מרחקים ארוכים על מנת לקבל</w:t>
      </w:r>
      <w:r w:rsidR="00067F58">
        <w:rPr>
          <w:rFonts w:hint="cs"/>
          <w:rtl/>
        </w:rPr>
        <w:t xml:space="preserve"> טיפול</w:t>
      </w:r>
      <w:r w:rsidRPr="00067F58">
        <w:rPr>
          <w:rtl/>
        </w:rPr>
        <w:t xml:space="preserve">. </w:t>
      </w:r>
    </w:p>
    <w:p w14:paraId="06030354" w14:textId="26421DC7" w:rsidR="00137BDE" w:rsidRDefault="00067F58" w:rsidP="007A266D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>לפיכך</w:t>
      </w:r>
      <w:r w:rsidR="00137BDE" w:rsidRPr="00067F58">
        <w:rPr>
          <w:rtl/>
        </w:rPr>
        <w:t xml:space="preserve"> מוצע כי מרכזים רפואיים ובתי חולים בפריפריה ("גדרה דרומה וחדרה צפונה") יקבלו העדפה במתן רישיון בכך </w:t>
      </w:r>
      <w:r w:rsidR="008913AB">
        <w:rPr>
          <w:rFonts w:hint="cs"/>
          <w:rtl/>
        </w:rPr>
        <w:t xml:space="preserve">שלצורך </w:t>
      </w:r>
      <w:r w:rsidR="000B4A99">
        <w:rPr>
          <w:rFonts w:hint="cs"/>
          <w:rtl/>
        </w:rPr>
        <w:t xml:space="preserve">מתן </w:t>
      </w:r>
      <w:proofErr w:type="spellStart"/>
      <w:r w:rsidR="000B4A99">
        <w:rPr>
          <w:rFonts w:hint="cs"/>
          <w:rtl/>
        </w:rPr>
        <w:t>רשיון</w:t>
      </w:r>
      <w:proofErr w:type="spellEnd"/>
      <w:r w:rsidR="000B4A99">
        <w:rPr>
          <w:rFonts w:hint="cs"/>
          <w:rtl/>
        </w:rPr>
        <w:t xml:space="preserve"> למכשור רפואי ישקלו לג</w:t>
      </w:r>
      <w:r w:rsidR="008913AB">
        <w:rPr>
          <w:rFonts w:hint="cs"/>
          <w:rtl/>
        </w:rPr>
        <w:t>ב</w:t>
      </w:r>
      <w:r w:rsidR="000B4A99">
        <w:rPr>
          <w:rFonts w:hint="cs"/>
          <w:rtl/>
        </w:rPr>
        <w:t>י</w:t>
      </w:r>
      <w:r w:rsidR="008913AB">
        <w:rPr>
          <w:rFonts w:hint="cs"/>
          <w:rtl/>
        </w:rPr>
        <w:t>הם שיקולים רפואיים בלבד ולא שיקולים של עלויות ההוצאה הציבורית לבריאות</w:t>
      </w:r>
      <w:r w:rsidR="000B4A99">
        <w:rPr>
          <w:rFonts w:hint="cs"/>
          <w:rtl/>
        </w:rPr>
        <w:t>, כפי שימשיכו לשקול לגבי בתי חולים באזורים אחרים</w:t>
      </w:r>
      <w:r w:rsidR="008913AB">
        <w:rPr>
          <w:rFonts w:hint="cs"/>
          <w:rtl/>
        </w:rPr>
        <w:t>.</w:t>
      </w:r>
    </w:p>
    <w:p w14:paraId="0F4E9B7F" w14:textId="77777777" w:rsidR="007A266D" w:rsidRPr="00D73212" w:rsidRDefault="007A266D" w:rsidP="007A266D">
      <w:pPr>
        <w:pStyle w:val="Hesber"/>
        <w:spacing w:line="240" w:lineRule="auto"/>
        <w:rPr>
          <w:rtl/>
        </w:rPr>
      </w:pPr>
      <w:r w:rsidRPr="00D73212">
        <w:rPr>
          <w:rtl/>
        </w:rPr>
        <w:t>---------------------------------</w:t>
      </w:r>
    </w:p>
    <w:p w14:paraId="55B0134E" w14:textId="77777777" w:rsidR="007A266D" w:rsidRPr="00D73212" w:rsidRDefault="007A266D" w:rsidP="007A266D">
      <w:pPr>
        <w:pStyle w:val="Hesber"/>
        <w:spacing w:line="240" w:lineRule="auto"/>
        <w:rPr>
          <w:rtl/>
        </w:rPr>
      </w:pPr>
      <w:r w:rsidRPr="00D73212">
        <w:rPr>
          <w:rFonts w:hint="cs"/>
          <w:rtl/>
        </w:rPr>
        <w:t>הוגשה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ליו</w:t>
      </w:r>
      <w:r w:rsidRPr="00D73212">
        <w:rPr>
          <w:rtl/>
        </w:rPr>
        <w:t>"</w:t>
      </w:r>
      <w:r w:rsidRPr="00D73212">
        <w:rPr>
          <w:rFonts w:hint="cs"/>
          <w:rtl/>
        </w:rPr>
        <w:t>ר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והסגנים</w:t>
      </w:r>
    </w:p>
    <w:p w14:paraId="5EE16BB4" w14:textId="77777777" w:rsidR="007A266D" w:rsidRPr="00D73212" w:rsidRDefault="007A266D" w:rsidP="007A266D">
      <w:pPr>
        <w:pStyle w:val="Hesber"/>
        <w:spacing w:line="240" w:lineRule="auto"/>
        <w:rPr>
          <w:rtl/>
        </w:rPr>
      </w:pPr>
      <w:r w:rsidRPr="00D73212">
        <w:rPr>
          <w:rFonts w:hint="cs"/>
          <w:rtl/>
        </w:rPr>
        <w:t>והונחה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על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שולחן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ביום</w:t>
      </w:r>
    </w:p>
    <w:p w14:paraId="6EC1B6FB" w14:textId="2B41DA5E" w:rsidR="007A266D" w:rsidRPr="007A266D" w:rsidRDefault="007A266D" w:rsidP="007A266D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>כ"ט בניסן</w:t>
      </w:r>
      <w:r w:rsidRPr="00D73212">
        <w:rPr>
          <w:rtl/>
        </w:rPr>
        <w:t xml:space="preserve"> </w:t>
      </w:r>
      <w:proofErr w:type="spellStart"/>
      <w:r>
        <w:rPr>
          <w:rFonts w:hint="cs"/>
          <w:rtl/>
        </w:rPr>
        <w:t>התש"ף</w:t>
      </w:r>
      <w:proofErr w:type="spellEnd"/>
      <w:r>
        <w:rPr>
          <w:rFonts w:hint="cs"/>
          <w:rtl/>
        </w:rPr>
        <w:t xml:space="preserve"> </w:t>
      </w:r>
      <w:r w:rsidRPr="00D73212">
        <w:rPr>
          <w:rtl/>
        </w:rPr>
        <w:t>–</w:t>
      </w:r>
      <w:r>
        <w:rPr>
          <w:rFonts w:hint="cs"/>
          <w:rtl/>
        </w:rPr>
        <w:t xml:space="preserve"> 23.4</w:t>
      </w:r>
      <w:r w:rsidRPr="00D73212">
        <w:rPr>
          <w:rtl/>
        </w:rPr>
        <w:t>.</w:t>
      </w:r>
      <w:r>
        <w:rPr>
          <w:rFonts w:hint="cs"/>
          <w:rtl/>
        </w:rPr>
        <w:t xml:space="preserve">20  </w:t>
      </w:r>
      <w:bookmarkStart w:id="8" w:name="_GoBack"/>
      <w:bookmarkEnd w:id="8"/>
    </w:p>
    <w:p w14:paraId="3CA3524E" w14:textId="77777777" w:rsidR="00137BDE" w:rsidRPr="008E2BDF" w:rsidRDefault="00137BDE" w:rsidP="00137BDE">
      <w:pPr>
        <w:pStyle w:val="TableBlock"/>
        <w:keepLines w:val="0"/>
        <w:rPr>
          <w:rtl/>
        </w:rPr>
      </w:pPr>
    </w:p>
    <w:p w14:paraId="7F6961CB" w14:textId="77777777" w:rsidR="00E13C27" w:rsidRDefault="00E13C27" w:rsidP="00E13C27">
      <w:pPr>
        <w:pStyle w:val="Hesber"/>
        <w:rPr>
          <w:rtl/>
        </w:rPr>
      </w:pPr>
    </w:p>
    <w:sectPr w:rsidR="00E13C27" w:rsidSect="00067F58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E9877E8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7A266D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67F58"/>
    <w:rsid w:val="00072CAC"/>
    <w:rsid w:val="0007681A"/>
    <w:rsid w:val="000A542E"/>
    <w:rsid w:val="000B4A99"/>
    <w:rsid w:val="00102B6B"/>
    <w:rsid w:val="001052D4"/>
    <w:rsid w:val="0010644B"/>
    <w:rsid w:val="001207F8"/>
    <w:rsid w:val="00121924"/>
    <w:rsid w:val="001279A8"/>
    <w:rsid w:val="00137BDE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66D"/>
    <w:rsid w:val="007A27CE"/>
    <w:rsid w:val="007C3FA6"/>
    <w:rsid w:val="007D585A"/>
    <w:rsid w:val="007D5A12"/>
    <w:rsid w:val="007E59F9"/>
    <w:rsid w:val="007E6B64"/>
    <w:rsid w:val="00810BCD"/>
    <w:rsid w:val="00812C98"/>
    <w:rsid w:val="00814D92"/>
    <w:rsid w:val="0083181D"/>
    <w:rsid w:val="00843EB2"/>
    <w:rsid w:val="00865572"/>
    <w:rsid w:val="00874BBC"/>
    <w:rsid w:val="008913AB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2D05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175FB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2E25F2B9-9D18-4F60-B8D5-AE81C0CD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F58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7F58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067F58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067F58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067F58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67F58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067F58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067F58"/>
    <w:rPr>
      <w:sz w:val="36"/>
      <w:szCs w:val="52"/>
    </w:rPr>
  </w:style>
  <w:style w:type="paragraph" w:customStyle="1" w:styleId="Cover3-Haknesset">
    <w:name w:val="Cover 3-Haknesset"/>
    <w:basedOn w:val="Cover1-Reshumot"/>
    <w:rsid w:val="00067F58"/>
    <w:rPr>
      <w:b/>
      <w:bCs/>
      <w:spacing w:val="60"/>
    </w:rPr>
  </w:style>
  <w:style w:type="paragraph" w:customStyle="1" w:styleId="Cover4-Date">
    <w:name w:val="Cover 4-Date"/>
    <w:basedOn w:val="a"/>
    <w:rsid w:val="00067F58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067F58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067F58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067F58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067F58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067F58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067F58"/>
    <w:pPr>
      <w:outlineLvl w:val="2"/>
    </w:pPr>
  </w:style>
  <w:style w:type="paragraph" w:customStyle="1" w:styleId="TableBlock">
    <w:name w:val="Table Block"/>
    <w:basedOn w:val="TableText"/>
    <w:rsid w:val="00067F58"/>
    <w:pPr>
      <w:jc w:val="both"/>
    </w:pPr>
  </w:style>
  <w:style w:type="paragraph" w:customStyle="1" w:styleId="TableHead">
    <w:name w:val="Table Head"/>
    <w:basedOn w:val="TableText"/>
    <w:rsid w:val="00067F58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067F58"/>
    <w:pPr>
      <w:outlineLvl w:val="9"/>
    </w:pPr>
  </w:style>
  <w:style w:type="paragraph" w:customStyle="1" w:styleId="Hesber">
    <w:name w:val="Hesber"/>
    <w:basedOn w:val="a"/>
    <w:rsid w:val="00067F58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067F58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067F58"/>
    <w:rPr>
      <w:vertAlign w:val="superscript"/>
    </w:rPr>
  </w:style>
  <w:style w:type="paragraph" w:customStyle="1" w:styleId="HesberHeading">
    <w:name w:val="Hesber Heading"/>
    <w:basedOn w:val="Hesber"/>
    <w:rsid w:val="00067F58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067F58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067F58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067F58"/>
    <w:rPr>
      <w:vertAlign w:val="superscript"/>
    </w:rPr>
  </w:style>
  <w:style w:type="paragraph" w:customStyle="1" w:styleId="TableBlockOutdent">
    <w:name w:val="Table BlockOutdent"/>
    <w:basedOn w:val="TableBlock"/>
    <w:rsid w:val="00067F58"/>
    <w:pPr>
      <w:ind w:left="624" w:hanging="624"/>
    </w:pPr>
  </w:style>
  <w:style w:type="paragraph" w:styleId="a7">
    <w:name w:val="header"/>
    <w:basedOn w:val="a"/>
    <w:rsid w:val="00067F58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067F58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067F58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067F58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067F5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paragraph" w:customStyle="1" w:styleId="m-5917782549962524957p000">
    <w:name w:val="m_-5917782549962524957p000"/>
    <w:basedOn w:val="a"/>
    <w:rsid w:val="00137BDE"/>
    <w:pPr>
      <w:widowControl/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10">
    <w:name w:val="כותרת 1 תו"/>
    <w:basedOn w:val="a0"/>
    <w:link w:val="1"/>
    <w:uiPriority w:val="9"/>
    <w:rsid w:val="00067F58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067F58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067F58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067F58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067F58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067F58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067F58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067F58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067F58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067F58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067F58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067F58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067F58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067F58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067F58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067F58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067F58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067F58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067F58"/>
    <w:rPr>
      <w:rFonts w:eastAsia="Times New Roman"/>
    </w:rPr>
  </w:style>
  <w:style w:type="paragraph" w:styleId="ae">
    <w:name w:val="List Paragraph"/>
    <w:basedOn w:val="a"/>
    <w:uiPriority w:val="34"/>
    <w:qFormat/>
    <w:rsid w:val="00067F58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067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067F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067F5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067F58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067F58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b2c52f23e7867aea476dda019525fa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F11FA-7EC5-4194-843F-9D430AB4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2FFC3F-B603-48D0-8B2E-1E266220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9</cp:revision>
  <cp:lastPrinted>2013-07-04T08:25:00Z</cp:lastPrinted>
  <dcterms:created xsi:type="dcterms:W3CDTF">2015-04-20T09:58:00Z</dcterms:created>
  <dcterms:modified xsi:type="dcterms:W3CDTF">2020-04-22T08:37:00Z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2085771</vt:r8>
  </property>
</Properties>
</file>