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2085635</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ושלוש</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עודד פורר</w:t>
      </w:r>
      <w:r>
        <w:br/>
      </w:r>
      <w:r>
        <w:rPr>
          <w:rFonts w:hint="cs"/>
          <w:b/>
          <w:bCs/>
          <w:rtl/>
        </w:rPr>
        <w:t xml:space="preserve"> </w:t>
      </w:r>
      <w:r>
        <w:tab/>
      </w:r>
      <w:r>
        <w:tab/>
      </w:r>
      <w:r>
        <w:tab/>
      </w:r>
      <w:r>
        <w:tab/>
      </w:r>
      <w:r>
        <w:rPr>
          <w:rFonts w:hint="cs"/>
          <w:b/>
          <w:bCs/>
          <w:rtl/>
        </w:rPr>
        <w:t>יבגני סובה</w:t>
      </w:r>
      <w:r>
        <w:br/>
      </w:r>
      <w:r>
        <w:rPr>
          <w:rFonts w:hint="cs"/>
          <w:b/>
          <w:bCs/>
          <w:rtl/>
        </w:rPr>
        <w:t xml:space="preserve"> </w:t>
      </w:r>
      <w:r>
        <w:tab/>
      </w:r>
      <w:r>
        <w:tab/>
      </w:r>
      <w:r>
        <w:tab/>
      </w:r>
      <w:r>
        <w:tab/>
      </w:r>
      <w:r>
        <w:rPr>
          <w:rFonts w:hint="cs"/>
          <w:b/>
          <w:bCs/>
          <w:rtl/>
        </w:rPr>
        <w:t>אלי אבידר</w:t>
      </w:r>
      <w:r>
        <w:br/>
      </w:r>
      <w:r>
        <w:rPr>
          <w:rFonts w:hint="cs"/>
          <w:b/>
          <w:bCs/>
          <w:rtl/>
        </w:rPr>
        <w:t xml:space="preserve"> </w:t>
      </w:r>
      <w:r>
        <w:tab/>
      </w:r>
      <w:r>
        <w:tab/>
      </w:r>
      <w:r>
        <w:tab/>
      </w:r>
      <w:r>
        <w:tab/>
      </w:r>
      <w:r>
        <w:rPr>
          <w:rFonts w:hint="cs"/>
          <w:b/>
          <w:bCs/>
          <w:rtl/>
        </w:rPr>
        <w:t>יוליה מלינובסקי קונין</w:t>
      </w:r>
      <w:r>
        <w:br/>
      </w:r>
      <w:r>
        <w:rPr>
          <w:rFonts w:hint="cs"/>
          <w:b/>
          <w:bCs/>
          <w:rtl/>
        </w:rPr>
        <w:t xml:space="preserve"> </w:t>
      </w:r>
      <w:r>
        <w:tab/>
      </w:r>
      <w:r>
        <w:tab/>
      </w:r>
      <w:r>
        <w:tab/>
      </w:r>
      <w:r>
        <w:tab/>
      </w:r>
      <w:r>
        <w:rPr>
          <w:rFonts w:hint="cs"/>
          <w:b/>
          <w:bCs/>
          <w:rtl/>
        </w:rPr>
        <w:t>חמד עמאר</w:t>
      </w:r>
      <w:r>
        <w:br/>
      </w:r>
      <w:r>
        <w:rPr>
          <w:rFonts w:hint="cs"/>
          <w:b/>
          <w:bCs/>
          <w:rtl/>
        </w:rPr>
        <w:t xml:space="preserve"> </w:t>
      </w:r>
      <w:r>
        <w:tab/>
      </w:r>
      <w:r>
        <w:tab/>
      </w:r>
      <w:r>
        <w:tab/>
      </w:r>
      <w:r>
        <w:tab/>
      </w:r>
      <w:r>
        <w:rPr>
          <w:rFonts w:hint="cs"/>
          <w:b/>
          <w:bCs/>
          <w:rtl/>
        </w:rPr>
        <w:t>אלכס קושניר</w:t>
      </w:r>
      <w:bookmarkEnd w:id="3"/>
    </w:p>
    <w:p w14:paraId="7F6961AA" w14:textId="39F9D96B" w:rsidR="00E13C27" w:rsidRPr="00CF1AA2" w:rsidRDefault="007D585A" w:rsidP="0036422C">
      <w:pPr>
        <w:pStyle w:val="David"/>
        <w:spacing w:before="0" w:line="360" w:lineRule="auto"/>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C" w14:textId="1DA240E7" w:rsidR="00E13C27" w:rsidRDefault="00904591" w:rsidP="002E425F">
      <w:pPr>
        <w:pStyle w:val="David"/>
        <w:spacing w:before="0" w:line="240" w:lineRule="auto"/>
        <w:ind w:left="3544"/>
        <w:rPr>
          <w:rtl/>
        </w:rPr>
      </w:pPr>
      <w:r>
        <w:t xml:space="preserve">                                            </w:t>
      </w:r>
      <w:r w:rsidR="008F1308">
        <w:t xml:space="preserve"> </w:t>
      </w:r>
      <w:bookmarkStart w:id="6" w:name="Private_Number"/>
      <w:r>
        <w:rPr>
          <w:rFonts w:hint="cs"/>
          <w:rtl/>
        </w:rPr>
        <w:t>פ/116/23</w:t>
      </w:r>
      <w:bookmarkEnd w:id="6"/>
    </w:p>
    <w:p w14:paraId="7F6961AD" w14:textId="77777777" w:rsidR="00E13C27" w:rsidRPr="00F67051" w:rsidRDefault="00A443CF" w:rsidP="0021633A">
      <w:pPr>
        <w:pStyle w:val="HeadHatzaotHok"/>
        <w:rPr>
          <w:rtl/>
        </w:rPr>
      </w:pPr>
      <w:bookmarkStart w:id="7" w:name="LGS_Subject"/>
      <w:r>
        <w:rPr>
          <w:rFonts w:hint="cs"/>
          <w:rtl/>
        </w:rPr>
        <w:t>הצעת חוק הביטוח הלאומי (תיקון – תוספת קצבה לנכים מונשמים), התש"ף–2020</w:t>
      </w:r>
      <w:bookmarkEnd w:id="7"/>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3"/>
      </w:tblGrid>
      <w:tr w:rsidR="00D9523D" w:rsidRPr="004F745F" w14:paraId="0DB9222C" w14:textId="77777777" w:rsidTr="003117FE">
        <w:trPr>
          <w:cantSplit/>
        </w:trPr>
        <w:tc>
          <w:tcPr>
            <w:tcW w:w="1871" w:type="dxa"/>
          </w:tcPr>
          <w:p w14:paraId="32B625DC" w14:textId="77777777" w:rsidR="00D9523D" w:rsidRPr="004F745F" w:rsidRDefault="00D9523D" w:rsidP="003117FE">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lang w:eastAsia="en-US"/>
              </w:rPr>
            </w:pPr>
            <w:r w:rsidRPr="004F745F">
              <w:rPr>
                <w:rFonts w:ascii="Arial" w:eastAsia="Arial Unicode MS" w:hAnsi="Arial" w:cs="David" w:hint="cs"/>
                <w:snapToGrid w:val="0"/>
                <w:color w:val="auto"/>
                <w:spacing w:val="0"/>
                <w:sz w:val="20"/>
                <w:szCs w:val="26"/>
                <w:rtl/>
                <w:lang w:eastAsia="en-US"/>
              </w:rPr>
              <w:t>תיקון סעיף 195</w:t>
            </w:r>
          </w:p>
        </w:tc>
        <w:tc>
          <w:tcPr>
            <w:tcW w:w="624" w:type="dxa"/>
          </w:tcPr>
          <w:p w14:paraId="10D74610" w14:textId="77777777" w:rsidR="00D9523D" w:rsidRPr="004F745F" w:rsidRDefault="00D9523D" w:rsidP="003117FE">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6"/>
                <w:szCs w:val="26"/>
                <w:lang w:eastAsia="en-US"/>
              </w:rPr>
            </w:pPr>
            <w:r w:rsidRPr="004F745F">
              <w:rPr>
                <w:rFonts w:ascii="Arial" w:eastAsia="Arial Unicode MS" w:hAnsi="Arial" w:cs="David" w:hint="cs"/>
                <w:snapToGrid w:val="0"/>
                <w:color w:val="auto"/>
                <w:spacing w:val="0"/>
                <w:sz w:val="26"/>
                <w:szCs w:val="26"/>
                <w:rtl/>
                <w:lang w:eastAsia="en-US"/>
              </w:rPr>
              <w:t>1.</w:t>
            </w:r>
          </w:p>
        </w:tc>
        <w:tc>
          <w:tcPr>
            <w:tcW w:w="7143" w:type="dxa"/>
          </w:tcPr>
          <w:p w14:paraId="2DA77ED3" w14:textId="77777777" w:rsidR="00D9523D" w:rsidRPr="004F745F" w:rsidRDefault="00D9523D" w:rsidP="003117FE">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6"/>
                <w:szCs w:val="26"/>
                <w:lang w:eastAsia="en-US"/>
              </w:rPr>
            </w:pPr>
            <w:r w:rsidRPr="004F745F">
              <w:rPr>
                <w:rFonts w:ascii="Arial" w:eastAsia="Arial Unicode MS" w:hAnsi="Arial" w:cs="David" w:hint="cs"/>
                <w:snapToGrid w:val="0"/>
                <w:color w:val="auto"/>
                <w:spacing w:val="0"/>
                <w:sz w:val="26"/>
                <w:szCs w:val="26"/>
                <w:rtl/>
                <w:lang w:eastAsia="en-US"/>
              </w:rPr>
              <w:t>בחוק הביטוח הלאומי [נוסח משולב], התשנ"ה</w:t>
            </w:r>
            <w:r w:rsidRPr="004F745F">
              <w:rPr>
                <w:rFonts w:ascii="Arial" w:eastAsia="Arial Unicode MS" w:hAnsi="Arial" w:cs="David" w:hint="eastAsia"/>
                <w:snapToGrid w:val="0"/>
                <w:color w:val="auto"/>
                <w:spacing w:val="0"/>
                <w:sz w:val="26"/>
                <w:szCs w:val="26"/>
                <w:rtl/>
                <w:lang w:eastAsia="en-US"/>
              </w:rPr>
              <w:t>–</w:t>
            </w:r>
            <w:r w:rsidRPr="004F745F">
              <w:rPr>
                <w:rFonts w:ascii="Arial" w:eastAsia="Arial Unicode MS" w:hAnsi="Arial" w:cs="David" w:hint="cs"/>
                <w:snapToGrid w:val="0"/>
                <w:color w:val="auto"/>
                <w:spacing w:val="0"/>
                <w:sz w:val="26"/>
                <w:szCs w:val="26"/>
                <w:rtl/>
                <w:lang w:eastAsia="en-US"/>
              </w:rPr>
              <w:t>1995</w:t>
            </w:r>
            <w:r w:rsidRPr="004F745F">
              <w:rPr>
                <w:rFonts w:ascii="David" w:eastAsia="Arial Unicode MS" w:hAnsi="David" w:cs="David"/>
                <w:snapToGrid w:val="0"/>
                <w:color w:val="auto"/>
                <w:spacing w:val="0"/>
                <w:sz w:val="26"/>
                <w:szCs w:val="26"/>
                <w:vertAlign w:val="superscript"/>
                <w:rtl/>
                <w:lang w:eastAsia="en-US"/>
              </w:rPr>
              <w:footnoteReference w:id="2"/>
            </w:r>
            <w:r w:rsidRPr="004F745F">
              <w:rPr>
                <w:rFonts w:ascii="Arial" w:eastAsia="Arial Unicode MS" w:hAnsi="Arial" w:cs="David" w:hint="cs"/>
                <w:snapToGrid w:val="0"/>
                <w:color w:val="auto"/>
                <w:spacing w:val="0"/>
                <w:sz w:val="26"/>
                <w:szCs w:val="26"/>
                <w:rtl/>
                <w:lang w:eastAsia="en-US"/>
              </w:rPr>
              <w:t xml:space="preserve"> (להלן </w:t>
            </w:r>
            <w:r w:rsidRPr="004F745F">
              <w:rPr>
                <w:rFonts w:ascii="Arial" w:eastAsia="Arial Unicode MS" w:hAnsi="Arial" w:cs="David"/>
                <w:snapToGrid w:val="0"/>
                <w:color w:val="auto"/>
                <w:spacing w:val="0"/>
                <w:sz w:val="26"/>
                <w:szCs w:val="26"/>
                <w:rtl/>
                <w:lang w:eastAsia="en-US"/>
              </w:rPr>
              <w:t>–</w:t>
            </w:r>
            <w:r w:rsidRPr="004F745F">
              <w:rPr>
                <w:rFonts w:ascii="Arial" w:eastAsia="Arial Unicode MS" w:hAnsi="Arial" w:cs="David" w:hint="cs"/>
                <w:snapToGrid w:val="0"/>
                <w:color w:val="auto"/>
                <w:spacing w:val="0"/>
                <w:sz w:val="26"/>
                <w:szCs w:val="26"/>
                <w:rtl/>
                <w:lang w:eastAsia="en-US"/>
              </w:rPr>
              <w:t xml:space="preserve"> החוק העיקרי), בסעיף 195, אחרי ההגדרה "נכה" יבוא:</w:t>
            </w:r>
          </w:p>
        </w:tc>
      </w:tr>
      <w:tr w:rsidR="00D9523D" w:rsidRPr="004F745F" w14:paraId="71F70415" w14:textId="77777777" w:rsidTr="003117FE">
        <w:trPr>
          <w:cantSplit/>
        </w:trPr>
        <w:tc>
          <w:tcPr>
            <w:tcW w:w="1871" w:type="dxa"/>
          </w:tcPr>
          <w:p w14:paraId="1260AA55" w14:textId="77777777" w:rsidR="00D9523D" w:rsidRPr="004F745F" w:rsidRDefault="00D9523D" w:rsidP="003117FE">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p>
        </w:tc>
        <w:tc>
          <w:tcPr>
            <w:tcW w:w="624" w:type="dxa"/>
          </w:tcPr>
          <w:p w14:paraId="21734923" w14:textId="77777777" w:rsidR="00D9523D" w:rsidRPr="004F745F" w:rsidRDefault="00D9523D" w:rsidP="003117FE">
            <w:pPr>
              <w:keepLines/>
              <w:tabs>
                <w:tab w:val="left" w:pos="680"/>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p>
        </w:tc>
        <w:tc>
          <w:tcPr>
            <w:tcW w:w="7143" w:type="dxa"/>
          </w:tcPr>
          <w:p w14:paraId="5EC9776A" w14:textId="77777777" w:rsidR="00D9523D" w:rsidRPr="004F745F" w:rsidRDefault="00D9523D" w:rsidP="003117FE">
            <w:pPr>
              <w:keepLines/>
              <w:tabs>
                <w:tab w:val="left" w:pos="624"/>
                <w:tab w:val="left" w:pos="1247"/>
              </w:tabs>
              <w:autoSpaceDE/>
              <w:autoSpaceDN/>
              <w:adjustRightInd/>
              <w:snapToGrid w:val="0"/>
              <w:spacing w:before="0" w:line="360" w:lineRule="auto"/>
              <w:ind w:left="624" w:hanging="624"/>
              <w:contextualSpacing/>
              <w:textAlignment w:val="auto"/>
              <w:rPr>
                <w:rFonts w:ascii="Arial" w:eastAsia="Arial Unicode MS" w:hAnsi="Arial" w:cs="David"/>
                <w:snapToGrid w:val="0"/>
                <w:color w:val="auto"/>
                <w:spacing w:val="0"/>
                <w:sz w:val="20"/>
                <w:szCs w:val="26"/>
                <w:rtl/>
                <w:lang w:eastAsia="en-US"/>
              </w:rPr>
            </w:pPr>
            <w:r w:rsidRPr="004F745F">
              <w:rPr>
                <w:rFonts w:ascii="Arial" w:eastAsia="Arial Unicode MS" w:hAnsi="Arial" w:cs="David"/>
                <w:snapToGrid w:val="0"/>
                <w:color w:val="auto"/>
                <w:spacing w:val="0"/>
                <w:sz w:val="20"/>
                <w:szCs w:val="26"/>
                <w:rtl/>
                <w:lang w:eastAsia="en-US"/>
              </w:rPr>
              <w:t>""נכה מונשם" – נכה הזקוק למכונת הנשמה באופן רצוף בכל שעות היום</w:t>
            </w:r>
            <w:r w:rsidRPr="004F745F">
              <w:rPr>
                <w:rFonts w:ascii="Arial" w:eastAsia="Arial Unicode MS" w:hAnsi="Arial" w:cs="David" w:hint="cs"/>
                <w:snapToGrid w:val="0"/>
                <w:color w:val="auto"/>
                <w:spacing w:val="0"/>
                <w:sz w:val="20"/>
                <w:szCs w:val="26"/>
                <w:rtl/>
                <w:lang w:eastAsia="en-US"/>
              </w:rPr>
              <w:t xml:space="preserve"> </w:t>
            </w:r>
            <w:r w:rsidRPr="004F745F">
              <w:rPr>
                <w:rFonts w:ascii="Arial" w:eastAsia="Arial Unicode MS" w:hAnsi="Arial" w:cs="David"/>
                <w:snapToGrid w:val="0"/>
                <w:color w:val="auto"/>
                <w:spacing w:val="0"/>
                <w:sz w:val="20"/>
                <w:szCs w:val="26"/>
                <w:rtl/>
                <w:lang w:eastAsia="en-US"/>
              </w:rPr>
              <w:t>והלילה, ל</w:t>
            </w:r>
            <w:r w:rsidRPr="004F745F">
              <w:rPr>
                <w:rFonts w:ascii="Arial" w:eastAsia="Arial Unicode MS" w:hAnsi="Arial" w:cs="David" w:hint="cs"/>
                <w:snapToGrid w:val="0"/>
                <w:color w:val="auto"/>
                <w:spacing w:val="0"/>
                <w:sz w:val="20"/>
                <w:szCs w:val="26"/>
                <w:rtl/>
                <w:lang w:eastAsia="en-US"/>
              </w:rPr>
              <w:t xml:space="preserve">שם </w:t>
            </w:r>
            <w:r w:rsidRPr="004F745F">
              <w:rPr>
                <w:rFonts w:ascii="Arial" w:eastAsia="Arial Unicode MS" w:hAnsi="Arial" w:cs="David"/>
                <w:snapToGrid w:val="0"/>
                <w:color w:val="auto"/>
                <w:spacing w:val="0"/>
                <w:sz w:val="20"/>
                <w:szCs w:val="26"/>
                <w:rtl/>
                <w:lang w:eastAsia="en-US"/>
              </w:rPr>
              <w:t>החלפת הפעולה הטבעית של הנשימה;"</w:t>
            </w:r>
            <w:r w:rsidRPr="004F745F">
              <w:rPr>
                <w:rFonts w:ascii="Arial" w:eastAsia="Arial Unicode MS" w:hAnsi="Arial" w:cs="David" w:hint="cs"/>
                <w:snapToGrid w:val="0"/>
                <w:color w:val="auto"/>
                <w:spacing w:val="0"/>
                <w:sz w:val="20"/>
                <w:szCs w:val="26"/>
                <w:rtl/>
                <w:lang w:eastAsia="en-US"/>
              </w:rPr>
              <w:t>.</w:t>
            </w:r>
          </w:p>
        </w:tc>
      </w:tr>
      <w:tr w:rsidR="00D9523D" w:rsidRPr="004F745F" w14:paraId="5EE81216" w14:textId="77777777" w:rsidTr="003117FE">
        <w:trPr>
          <w:cantSplit/>
        </w:trPr>
        <w:tc>
          <w:tcPr>
            <w:tcW w:w="1871" w:type="dxa"/>
          </w:tcPr>
          <w:p w14:paraId="2C648D05" w14:textId="77777777" w:rsidR="00D9523D" w:rsidRPr="004F745F" w:rsidRDefault="00D9523D" w:rsidP="003117FE">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r w:rsidRPr="004F745F">
              <w:rPr>
                <w:rFonts w:ascii="Arial" w:eastAsia="Arial Unicode MS" w:hAnsi="Arial" w:cs="David" w:hint="cs"/>
                <w:snapToGrid w:val="0"/>
                <w:color w:val="auto"/>
                <w:spacing w:val="0"/>
                <w:sz w:val="20"/>
                <w:szCs w:val="26"/>
                <w:rtl/>
                <w:lang w:eastAsia="en-US"/>
              </w:rPr>
              <w:t>תיקון סעיף 206א</w:t>
            </w:r>
          </w:p>
        </w:tc>
        <w:tc>
          <w:tcPr>
            <w:tcW w:w="624" w:type="dxa"/>
          </w:tcPr>
          <w:p w14:paraId="2882C82B" w14:textId="77777777" w:rsidR="00D9523D" w:rsidRPr="004F745F" w:rsidRDefault="00D9523D" w:rsidP="003117FE">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6"/>
                <w:szCs w:val="26"/>
                <w:rtl/>
                <w:lang w:eastAsia="en-US"/>
              </w:rPr>
            </w:pPr>
            <w:r w:rsidRPr="004F745F">
              <w:rPr>
                <w:rFonts w:ascii="Arial" w:eastAsia="Arial Unicode MS" w:hAnsi="Arial" w:cs="David" w:hint="cs"/>
                <w:snapToGrid w:val="0"/>
                <w:color w:val="auto"/>
                <w:spacing w:val="0"/>
                <w:sz w:val="26"/>
                <w:szCs w:val="26"/>
                <w:rtl/>
                <w:lang w:eastAsia="en-US"/>
              </w:rPr>
              <w:t>2.</w:t>
            </w:r>
          </w:p>
        </w:tc>
        <w:tc>
          <w:tcPr>
            <w:tcW w:w="7143" w:type="dxa"/>
          </w:tcPr>
          <w:p w14:paraId="3C45DACF" w14:textId="77777777" w:rsidR="00D9523D" w:rsidRPr="004F745F" w:rsidRDefault="00D9523D" w:rsidP="003117FE">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6"/>
                <w:szCs w:val="26"/>
                <w:rtl/>
                <w:lang w:eastAsia="en-US"/>
              </w:rPr>
            </w:pPr>
            <w:r w:rsidRPr="004F745F">
              <w:rPr>
                <w:rFonts w:ascii="Arial" w:eastAsia="Arial Unicode MS" w:hAnsi="Arial" w:cs="David" w:hint="cs"/>
                <w:snapToGrid w:val="0"/>
                <w:color w:val="auto"/>
                <w:spacing w:val="0"/>
                <w:sz w:val="26"/>
                <w:szCs w:val="26"/>
                <w:rtl/>
                <w:lang w:eastAsia="en-US"/>
              </w:rPr>
              <w:t>בסעיף 206א(ב)(1) לחוק העיקרי, בסופו יבוא "ואם הוא גם נכה מונשם על פי קביעת פקיד תביעות או ועדת עררים לשירותים מיוחדים הוא יהיה זכאי גם לתוספת בשיעור 298%, וזאת מבלי לגרוע מהוראות כל הסכם שנערך לפי סעיף 9."</w:t>
            </w:r>
          </w:p>
        </w:tc>
      </w:tr>
      <w:tr w:rsidR="00D9523D" w:rsidRPr="004F745F" w14:paraId="6DB10506" w14:textId="77777777" w:rsidTr="003117FE">
        <w:trPr>
          <w:cantSplit/>
        </w:trPr>
        <w:tc>
          <w:tcPr>
            <w:tcW w:w="1871" w:type="dxa"/>
          </w:tcPr>
          <w:p w14:paraId="080ABC7F" w14:textId="77777777" w:rsidR="00D9523D" w:rsidRPr="004F745F" w:rsidRDefault="00D9523D" w:rsidP="003117FE">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lang w:eastAsia="en-US"/>
              </w:rPr>
            </w:pPr>
            <w:r w:rsidRPr="004F745F">
              <w:rPr>
                <w:rFonts w:ascii="Arial" w:eastAsia="Arial Unicode MS" w:hAnsi="Arial" w:cs="David" w:hint="cs"/>
                <w:snapToGrid w:val="0"/>
                <w:color w:val="auto"/>
                <w:spacing w:val="0"/>
                <w:sz w:val="20"/>
                <w:szCs w:val="26"/>
                <w:rtl/>
                <w:lang w:eastAsia="en-US"/>
              </w:rPr>
              <w:t>תיקון סעיף 222</w:t>
            </w:r>
          </w:p>
        </w:tc>
        <w:tc>
          <w:tcPr>
            <w:tcW w:w="624" w:type="dxa"/>
          </w:tcPr>
          <w:p w14:paraId="1EEE1A32" w14:textId="77777777" w:rsidR="00D9523D" w:rsidRPr="004F745F" w:rsidRDefault="00D9523D" w:rsidP="003117FE">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6"/>
                <w:szCs w:val="26"/>
                <w:rtl/>
                <w:lang w:eastAsia="en-US"/>
              </w:rPr>
            </w:pPr>
            <w:r w:rsidRPr="004F745F">
              <w:rPr>
                <w:rFonts w:ascii="Arial" w:eastAsia="Arial Unicode MS" w:hAnsi="Arial" w:cs="David" w:hint="cs"/>
                <w:snapToGrid w:val="0"/>
                <w:color w:val="auto"/>
                <w:spacing w:val="0"/>
                <w:sz w:val="26"/>
                <w:szCs w:val="26"/>
                <w:rtl/>
                <w:lang w:eastAsia="en-US"/>
              </w:rPr>
              <w:t>3.</w:t>
            </w:r>
          </w:p>
        </w:tc>
        <w:tc>
          <w:tcPr>
            <w:tcW w:w="7143" w:type="dxa"/>
          </w:tcPr>
          <w:p w14:paraId="2F6FC3A3" w14:textId="77777777" w:rsidR="00D9523D" w:rsidRPr="004F745F" w:rsidRDefault="00D9523D" w:rsidP="003117FE">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6"/>
                <w:szCs w:val="26"/>
                <w:lang w:eastAsia="en-US"/>
              </w:rPr>
            </w:pPr>
            <w:r w:rsidRPr="004F745F">
              <w:rPr>
                <w:rFonts w:ascii="Arial" w:eastAsia="Arial Unicode MS" w:hAnsi="Arial" w:cs="David" w:hint="cs"/>
                <w:snapToGrid w:val="0"/>
                <w:color w:val="auto"/>
                <w:spacing w:val="0"/>
                <w:sz w:val="26"/>
                <w:szCs w:val="26"/>
                <w:rtl/>
                <w:lang w:eastAsia="en-US"/>
              </w:rPr>
              <w:t>בסעיף 222 לחוק העיקרי, אחרי סעיף קטן (ד) יבוא:</w:t>
            </w:r>
          </w:p>
        </w:tc>
      </w:tr>
      <w:tr w:rsidR="00D9523D" w:rsidRPr="004F745F" w14:paraId="63EC7CE2" w14:textId="77777777" w:rsidTr="003117FE">
        <w:trPr>
          <w:cantSplit/>
        </w:trPr>
        <w:tc>
          <w:tcPr>
            <w:tcW w:w="1871" w:type="dxa"/>
          </w:tcPr>
          <w:p w14:paraId="3B1ABBF4" w14:textId="77777777" w:rsidR="00D9523D" w:rsidRPr="004F745F" w:rsidRDefault="00D9523D" w:rsidP="003117FE">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lang w:eastAsia="en-US"/>
              </w:rPr>
            </w:pPr>
          </w:p>
        </w:tc>
        <w:tc>
          <w:tcPr>
            <w:tcW w:w="624" w:type="dxa"/>
          </w:tcPr>
          <w:p w14:paraId="0BA95463" w14:textId="77777777" w:rsidR="00D9523D" w:rsidRPr="004F745F" w:rsidRDefault="00D9523D" w:rsidP="003117FE">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6"/>
                <w:szCs w:val="26"/>
                <w:rtl/>
                <w:lang w:eastAsia="en-US"/>
              </w:rPr>
            </w:pPr>
          </w:p>
        </w:tc>
        <w:tc>
          <w:tcPr>
            <w:tcW w:w="7143" w:type="dxa"/>
          </w:tcPr>
          <w:p w14:paraId="7A171E25" w14:textId="0846F81D" w:rsidR="00D9523D" w:rsidRPr="004F745F" w:rsidRDefault="00D9523D" w:rsidP="003117FE">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6"/>
                <w:szCs w:val="26"/>
                <w:lang w:eastAsia="en-US"/>
              </w:rPr>
            </w:pPr>
            <w:r w:rsidRPr="004F745F">
              <w:rPr>
                <w:rFonts w:ascii="Arial" w:eastAsia="Arial Unicode MS" w:hAnsi="Arial" w:cs="David" w:hint="cs"/>
                <w:snapToGrid w:val="0"/>
                <w:color w:val="auto"/>
                <w:spacing w:val="0"/>
                <w:sz w:val="26"/>
                <w:szCs w:val="26"/>
                <w:rtl/>
                <w:lang w:eastAsia="en-US"/>
              </w:rPr>
              <w:t>"(ה)</w:t>
            </w:r>
            <w:r w:rsidRPr="004F745F">
              <w:rPr>
                <w:rFonts w:ascii="Arial" w:eastAsia="Arial Unicode MS" w:hAnsi="Arial" w:cs="David"/>
                <w:snapToGrid w:val="0"/>
                <w:color w:val="auto"/>
                <w:spacing w:val="0"/>
                <w:sz w:val="26"/>
                <w:szCs w:val="26"/>
                <w:rtl/>
                <w:lang w:eastAsia="en-US"/>
              </w:rPr>
              <w:tab/>
            </w:r>
            <w:r w:rsidRPr="004F745F">
              <w:rPr>
                <w:rFonts w:ascii="Arial" w:eastAsia="Arial Unicode MS" w:hAnsi="Arial" w:cs="David" w:hint="cs"/>
                <w:snapToGrid w:val="0"/>
                <w:color w:val="auto"/>
                <w:spacing w:val="0"/>
                <w:sz w:val="26"/>
                <w:szCs w:val="26"/>
                <w:rtl/>
                <w:lang w:eastAsia="en-US"/>
              </w:rPr>
              <w:t>בלי לגרוע מהתקנות שנקבעו לפי סעיף זה ומהוראות כל הסכם שנערך לפי סעיף 9, הורה מבוטח הזכאי לגמלה לפי סעיף זה בעד ילדו שהוא נכה מונשם לפי קביעת פקיד התביעות או ועדת עררים לילד נכה, לפי העניין, י</w:t>
            </w:r>
            <w:r w:rsidR="007929F3">
              <w:rPr>
                <w:rFonts w:ascii="Arial" w:eastAsia="Arial Unicode MS" w:hAnsi="Arial" w:cs="David" w:hint="cs"/>
                <w:snapToGrid w:val="0"/>
                <w:color w:val="auto"/>
                <w:spacing w:val="0"/>
                <w:sz w:val="26"/>
                <w:szCs w:val="26"/>
                <w:rtl/>
                <w:lang w:eastAsia="en-US"/>
              </w:rPr>
              <w:t>היה זכאי לתוספת לגמלה בשיעור של</w:t>
            </w:r>
            <w:r w:rsidRPr="004F745F">
              <w:rPr>
                <w:rFonts w:ascii="Arial" w:eastAsia="Arial Unicode MS" w:hAnsi="Arial" w:cs="David" w:hint="cs"/>
                <w:snapToGrid w:val="0"/>
                <w:color w:val="auto"/>
                <w:spacing w:val="0"/>
                <w:sz w:val="26"/>
                <w:szCs w:val="26"/>
                <w:rtl/>
                <w:lang w:eastAsia="en-US"/>
              </w:rPr>
              <w:t xml:space="preserve"> 298% מקצבת יחיד מלאה."</w:t>
            </w:r>
          </w:p>
        </w:tc>
      </w:tr>
    </w:tbl>
    <w:p w14:paraId="7F6961CA" w14:textId="77777777" w:rsidR="002D1EE3" w:rsidRDefault="002D1EE3" w:rsidP="002D1EE3">
      <w:pPr>
        <w:pStyle w:val="HeadDivreiHesber"/>
        <w:rPr>
          <w:rtl/>
        </w:rPr>
      </w:pPr>
      <w:r w:rsidRPr="0027450A">
        <w:rPr>
          <w:rFonts w:hint="cs"/>
          <w:rtl/>
        </w:rPr>
        <w:t>דברי הסבר</w:t>
      </w:r>
    </w:p>
    <w:p w14:paraId="0C9656CD" w14:textId="77777777" w:rsidR="00D9523D" w:rsidRPr="004F745F" w:rsidRDefault="00D9523D" w:rsidP="00D9523D">
      <w:pPr>
        <w:autoSpaceDE/>
        <w:autoSpaceDN/>
        <w:adjustRightInd/>
        <w:snapToGrid w:val="0"/>
        <w:spacing w:before="0" w:line="360" w:lineRule="auto"/>
        <w:contextualSpacing/>
        <w:textAlignment w:val="auto"/>
        <w:rPr>
          <w:rFonts w:ascii="Arial" w:eastAsia="Arial Unicode MS" w:hAnsi="Arial" w:cs="David"/>
          <w:snapToGrid w:val="0"/>
          <w:color w:val="auto"/>
          <w:spacing w:val="0"/>
          <w:sz w:val="20"/>
          <w:szCs w:val="26"/>
          <w:rtl/>
          <w:lang w:eastAsia="en-US"/>
        </w:rPr>
      </w:pPr>
      <w:r w:rsidRPr="004F745F">
        <w:rPr>
          <w:rFonts w:ascii="Arial" w:eastAsia="Arial Unicode MS" w:hAnsi="Arial" w:cs="David" w:hint="cs"/>
          <w:snapToGrid w:val="0"/>
          <w:color w:val="auto"/>
          <w:spacing w:val="0"/>
          <w:sz w:val="20"/>
          <w:szCs w:val="26"/>
          <w:rtl/>
          <w:lang w:eastAsia="en-US"/>
        </w:rPr>
        <w:t xml:space="preserve">נכון להיום כ-60,000 איש בגיל העבודה מקבלים קצבת שירותים מיוחדים, מתוכם כ-23,000 איש מקבלים את הקצבה המרבית שגובהה 5,324 שקלים חדשים. כ-350 נכים (כולל ילדים) מוגדרים כנכים מונשמים המחוברים למכונת הנשמה בכל שעות היממה ומצבם הקשה מחייב השגחה רצופה עליהם. </w:t>
      </w:r>
    </w:p>
    <w:p w14:paraId="7E8CB0D7" w14:textId="77777777" w:rsidR="00D9523D" w:rsidRPr="004F745F" w:rsidRDefault="00D9523D" w:rsidP="00D9523D">
      <w:pPr>
        <w:autoSpaceDE/>
        <w:autoSpaceDN/>
        <w:adjustRightInd/>
        <w:snapToGrid w:val="0"/>
        <w:spacing w:before="0" w:line="360" w:lineRule="auto"/>
        <w:contextualSpacing/>
        <w:textAlignment w:val="auto"/>
        <w:rPr>
          <w:rFonts w:ascii="Arial" w:eastAsia="Arial Unicode MS" w:hAnsi="Arial" w:cs="David"/>
          <w:snapToGrid w:val="0"/>
          <w:color w:val="auto"/>
          <w:spacing w:val="0"/>
          <w:sz w:val="20"/>
          <w:szCs w:val="26"/>
          <w:rtl/>
          <w:lang w:eastAsia="en-US"/>
        </w:rPr>
      </w:pPr>
      <w:r w:rsidRPr="004F745F">
        <w:rPr>
          <w:rFonts w:ascii="Arial" w:eastAsia="Arial Unicode MS" w:hAnsi="Arial" w:cs="David" w:hint="cs"/>
          <w:snapToGrid w:val="0"/>
          <w:color w:val="auto"/>
          <w:spacing w:val="0"/>
          <w:sz w:val="20"/>
          <w:szCs w:val="26"/>
          <w:rtl/>
          <w:lang w:eastAsia="en-US"/>
        </w:rPr>
        <w:t xml:space="preserve">בשנת 2015 נחתם הסכם בין הביטוח הלאומי ובין משרד האוצר הקובע כי לנכים המונשמים תשולם תוספת לקצבה של 1,844 שקלים חדשים. </w:t>
      </w:r>
    </w:p>
    <w:p w14:paraId="7669150C" w14:textId="77777777" w:rsidR="00D9523D" w:rsidRPr="004F745F" w:rsidRDefault="00D9523D" w:rsidP="00D9523D">
      <w:pPr>
        <w:autoSpaceDE/>
        <w:autoSpaceDN/>
        <w:adjustRightInd/>
        <w:snapToGrid w:val="0"/>
        <w:spacing w:before="0" w:line="360" w:lineRule="auto"/>
        <w:contextualSpacing/>
        <w:textAlignment w:val="auto"/>
        <w:rPr>
          <w:rFonts w:ascii="Arial" w:eastAsia="Arial Unicode MS" w:hAnsi="Arial" w:cs="David"/>
          <w:snapToGrid w:val="0"/>
          <w:color w:val="auto"/>
          <w:spacing w:val="0"/>
          <w:sz w:val="20"/>
          <w:szCs w:val="26"/>
          <w:rtl/>
          <w:lang w:eastAsia="en-US"/>
        </w:rPr>
      </w:pPr>
      <w:r w:rsidRPr="004F745F">
        <w:rPr>
          <w:rFonts w:ascii="Arial" w:eastAsia="Arial Unicode MS" w:hAnsi="Arial" w:cs="David" w:hint="cs"/>
          <w:snapToGrid w:val="0"/>
          <w:color w:val="auto"/>
          <w:spacing w:val="0"/>
          <w:sz w:val="20"/>
          <w:szCs w:val="26"/>
          <w:rtl/>
          <w:lang w:eastAsia="en-US"/>
        </w:rPr>
        <w:lastRenderedPageBreak/>
        <w:t>בשל מוגבלותם הקשה של הנכים המונשמים בצירוף תנאי העסקתם של העובדים הסיעודיים אשר רשאים לעבוד שמונה שעות ביממה בלבד, מקבלים הנכים המונשמים היתר להעסקת שניים ואפילו שלושה עובדים, אך קצבתם אינה משתנה בהתאם לכך והם נדרשים לשאת בעלויות כספיות רבות, הגבוהות בהרבה מהקצבה הניתנת להם. נוסף על כך, הנכה הוא המעסיק הישיר של המטפל הסיעודי, דבר המטיל על הנכה עלויות נוספות מעבר לשכר הבסיסי המשולם למטפל.</w:t>
      </w:r>
    </w:p>
    <w:p w14:paraId="385971C2" w14:textId="77777777" w:rsidR="00D9523D" w:rsidRPr="004F745F" w:rsidRDefault="00D9523D" w:rsidP="00D9523D">
      <w:pPr>
        <w:autoSpaceDE/>
        <w:autoSpaceDN/>
        <w:adjustRightInd/>
        <w:snapToGrid w:val="0"/>
        <w:spacing w:before="0" w:line="360" w:lineRule="auto"/>
        <w:contextualSpacing/>
        <w:textAlignment w:val="auto"/>
        <w:rPr>
          <w:rFonts w:ascii="Arial" w:eastAsia="Arial Unicode MS" w:hAnsi="Arial" w:cs="David"/>
          <w:snapToGrid w:val="0"/>
          <w:color w:val="auto"/>
          <w:spacing w:val="0"/>
          <w:sz w:val="20"/>
          <w:szCs w:val="26"/>
          <w:rtl/>
          <w:lang w:eastAsia="en-US"/>
        </w:rPr>
      </w:pPr>
      <w:r w:rsidRPr="004F745F">
        <w:rPr>
          <w:rFonts w:ascii="Arial" w:eastAsia="Arial Unicode MS" w:hAnsi="Arial" w:cs="David" w:hint="cs"/>
          <w:snapToGrid w:val="0"/>
          <w:color w:val="auto"/>
          <w:spacing w:val="0"/>
          <w:sz w:val="20"/>
          <w:szCs w:val="26"/>
          <w:rtl/>
          <w:lang w:eastAsia="en-US"/>
        </w:rPr>
        <w:t xml:space="preserve">מטרת הצעת החוק היא לתת פתרון מידי למצוקתם הקשה של הנכים המונשמים על ידי הגדלת סכום הקצבה הניתנת להם כיום מכוח החוק ומכוח ההסכם בין הביטוח הלאומי לבין משרד האוצר בכ-7,000 שקלים חדשים ולסייע להם לעמוד בעלות העסקת מטפלים סיעודיים. </w:t>
      </w:r>
    </w:p>
    <w:p w14:paraId="0480CFC2" w14:textId="77777777" w:rsidR="001F5CAB" w:rsidRDefault="00D9523D" w:rsidP="00D9523D">
      <w:pPr>
        <w:autoSpaceDE/>
        <w:autoSpaceDN/>
        <w:adjustRightInd/>
        <w:snapToGrid w:val="0"/>
        <w:spacing w:before="0" w:line="360" w:lineRule="auto"/>
        <w:contextualSpacing/>
        <w:textAlignment w:val="auto"/>
        <w:rPr>
          <w:rFonts w:ascii="Arial" w:eastAsia="Arial Unicode MS" w:hAnsi="Arial" w:cs="David"/>
          <w:snapToGrid w:val="0"/>
          <w:color w:val="auto"/>
          <w:spacing w:val="0"/>
          <w:sz w:val="20"/>
          <w:szCs w:val="26"/>
          <w:rtl/>
          <w:lang w:eastAsia="en-US"/>
        </w:rPr>
      </w:pPr>
      <w:r w:rsidRPr="004F745F">
        <w:rPr>
          <w:rFonts w:ascii="Arial" w:eastAsia="Arial Unicode MS" w:hAnsi="Arial" w:cs="David" w:hint="cs"/>
          <w:snapToGrid w:val="0"/>
          <w:color w:val="auto"/>
          <w:spacing w:val="0"/>
          <w:sz w:val="20"/>
          <w:szCs w:val="26"/>
          <w:rtl/>
          <w:lang w:eastAsia="en-US"/>
        </w:rPr>
        <w:t xml:space="preserve">עלות הצעת החוק מוערכת בכ-30 מיליון שקלים חדשים בשנה. </w:t>
      </w:r>
    </w:p>
    <w:p w14:paraId="508E6AC3" w14:textId="3859EE41" w:rsidR="001F5CAB" w:rsidRDefault="001F5CAB" w:rsidP="001F5CAB">
      <w:pPr>
        <w:autoSpaceDE/>
        <w:adjustRightInd/>
        <w:snapToGrid w:val="0"/>
        <w:spacing w:before="0" w:line="360" w:lineRule="auto"/>
        <w:contextualSpacing/>
        <w:rPr>
          <w:rFonts w:ascii="Arial" w:eastAsia="Arial Unicode MS" w:hAnsi="Arial" w:cs="David"/>
          <w:snapToGrid w:val="0"/>
          <w:color w:val="auto"/>
          <w:spacing w:val="0"/>
          <w:sz w:val="20"/>
          <w:szCs w:val="26"/>
          <w:lang w:eastAsia="en-US"/>
        </w:rPr>
      </w:pPr>
      <w:r>
        <w:rPr>
          <w:rFonts w:ascii="Arial" w:eastAsia="Arial Unicode MS" w:hAnsi="Arial" w:cs="David" w:hint="cs"/>
          <w:snapToGrid w:val="0"/>
          <w:color w:val="auto"/>
          <w:spacing w:val="0"/>
          <w:sz w:val="20"/>
          <w:szCs w:val="26"/>
          <w:rtl/>
          <w:lang w:eastAsia="en-US"/>
        </w:rPr>
        <w:t>הצעות חוק זהות הונחו על שולחן הכנסת העשרים על ידי חברי הכנסת אלי אלאלוף ומירב בן ארי (פ/5882/20) ו</w:t>
      </w:r>
      <w:r>
        <w:rPr>
          <w:rFonts w:ascii="Arial" w:eastAsia="Arial Unicode MS" w:hAnsi="Arial" w:cs="David"/>
          <w:snapToGrid w:val="0"/>
          <w:color w:val="auto"/>
          <w:spacing w:val="0"/>
          <w:sz w:val="20"/>
          <w:szCs w:val="26"/>
          <w:rtl/>
          <w:lang w:eastAsia="en-US"/>
        </w:rPr>
        <w:t>על שולחן הכנסת העשרים ושתיים על ידי חבר הכנסת משה ארבל וקבוצת חברי הכנסת (פ/177/22)</w:t>
      </w:r>
      <w:r>
        <w:rPr>
          <w:rFonts w:ascii="Arial" w:eastAsia="Arial Unicode MS" w:hAnsi="Arial" w:cs="David" w:hint="cs"/>
          <w:snapToGrid w:val="0"/>
          <w:color w:val="auto"/>
          <w:spacing w:val="0"/>
          <w:sz w:val="20"/>
          <w:szCs w:val="26"/>
          <w:rtl/>
          <w:lang w:eastAsia="en-US"/>
        </w:rPr>
        <w:t xml:space="preserve"> ועל ידי חבר הכנסת עודד פורר וקבוצת חברי הכנסת (פ/1003/22)</w:t>
      </w:r>
      <w:r>
        <w:rPr>
          <w:rFonts w:ascii="Arial" w:eastAsia="Arial Unicode MS" w:hAnsi="Arial" w:cs="David"/>
          <w:snapToGrid w:val="0"/>
          <w:color w:val="auto"/>
          <w:spacing w:val="0"/>
          <w:sz w:val="20"/>
          <w:szCs w:val="26"/>
          <w:rtl/>
          <w:lang w:eastAsia="en-US"/>
        </w:rPr>
        <w:t>.</w:t>
      </w:r>
    </w:p>
    <w:p w14:paraId="0021E34E" w14:textId="77777777" w:rsidR="001F5CAB" w:rsidRPr="001F5CAB" w:rsidRDefault="001F5CAB" w:rsidP="00D9523D">
      <w:pPr>
        <w:autoSpaceDE/>
        <w:autoSpaceDN/>
        <w:adjustRightInd/>
        <w:snapToGrid w:val="0"/>
        <w:spacing w:before="0" w:line="360" w:lineRule="auto"/>
        <w:contextualSpacing/>
        <w:textAlignment w:val="auto"/>
        <w:rPr>
          <w:rFonts w:ascii="Arial" w:eastAsia="Arial Unicode MS" w:hAnsi="Arial" w:cs="David"/>
          <w:snapToGrid w:val="0"/>
          <w:color w:val="auto"/>
          <w:spacing w:val="0"/>
          <w:sz w:val="20"/>
          <w:szCs w:val="26"/>
          <w:rtl/>
          <w:lang w:eastAsia="en-US"/>
        </w:rPr>
      </w:pPr>
    </w:p>
    <w:p w14:paraId="75F042CF" w14:textId="77777777" w:rsidR="001F5CAB" w:rsidRPr="004F745F" w:rsidRDefault="001F5CAB" w:rsidP="00D9523D">
      <w:pPr>
        <w:autoSpaceDE/>
        <w:autoSpaceDN/>
        <w:adjustRightInd/>
        <w:snapToGrid w:val="0"/>
        <w:spacing w:before="0" w:line="360" w:lineRule="auto"/>
        <w:contextualSpacing/>
        <w:textAlignment w:val="auto"/>
        <w:rPr>
          <w:rFonts w:ascii="Arial" w:eastAsia="Arial Unicode MS" w:hAnsi="Arial" w:cs="David"/>
          <w:snapToGrid w:val="0"/>
          <w:color w:val="auto"/>
          <w:spacing w:val="0"/>
          <w:sz w:val="20"/>
          <w:szCs w:val="26"/>
          <w:rtl/>
          <w:lang w:eastAsia="en-US"/>
        </w:rPr>
      </w:pPr>
    </w:p>
    <w:p w14:paraId="6DD32C29" w14:textId="77777777" w:rsidR="007929F3" w:rsidRPr="00A83796" w:rsidRDefault="007929F3" w:rsidP="00A83796">
      <w:pPr>
        <w:pStyle w:val="Hesber"/>
        <w:rPr>
          <w:rtl/>
        </w:rPr>
      </w:pPr>
      <w:r w:rsidRPr="00A83796">
        <w:rPr>
          <w:rtl/>
        </w:rPr>
        <w:t>---------------------------------</w:t>
      </w:r>
    </w:p>
    <w:p w14:paraId="59520167" w14:textId="77777777" w:rsidR="007929F3" w:rsidRPr="00A83796" w:rsidRDefault="007929F3" w:rsidP="00A83796">
      <w:pPr>
        <w:pStyle w:val="Hesber"/>
        <w:rPr>
          <w:rtl/>
        </w:rPr>
      </w:pPr>
      <w:r w:rsidRPr="00A83796">
        <w:rPr>
          <w:rFonts w:hint="cs"/>
          <w:rtl/>
        </w:rPr>
        <w:t>הוגשה</w:t>
      </w:r>
      <w:r w:rsidRPr="00A83796">
        <w:rPr>
          <w:rtl/>
        </w:rPr>
        <w:t xml:space="preserve"> </w:t>
      </w:r>
      <w:r w:rsidRPr="00A83796">
        <w:rPr>
          <w:rFonts w:hint="cs"/>
          <w:rtl/>
        </w:rPr>
        <w:t>ליו</w:t>
      </w:r>
      <w:r w:rsidRPr="00A83796">
        <w:rPr>
          <w:rtl/>
        </w:rPr>
        <w:t>"</w:t>
      </w:r>
      <w:r w:rsidRPr="00A83796">
        <w:rPr>
          <w:rFonts w:hint="cs"/>
          <w:rtl/>
        </w:rPr>
        <w:t>ר</w:t>
      </w:r>
      <w:r w:rsidRPr="00A83796">
        <w:rPr>
          <w:rtl/>
        </w:rPr>
        <w:t xml:space="preserve"> </w:t>
      </w:r>
      <w:r w:rsidRPr="00A83796">
        <w:rPr>
          <w:rFonts w:hint="cs"/>
          <w:rtl/>
        </w:rPr>
        <w:t>הכנסת</w:t>
      </w:r>
      <w:r w:rsidRPr="00A83796">
        <w:rPr>
          <w:rtl/>
        </w:rPr>
        <w:t xml:space="preserve"> </w:t>
      </w:r>
      <w:r w:rsidRPr="00A83796">
        <w:rPr>
          <w:rFonts w:hint="cs"/>
          <w:rtl/>
        </w:rPr>
        <w:t>והסגנים</w:t>
      </w:r>
    </w:p>
    <w:p w14:paraId="3A0CA476" w14:textId="77777777" w:rsidR="007929F3" w:rsidRPr="00A83796" w:rsidRDefault="007929F3" w:rsidP="00A83796">
      <w:pPr>
        <w:pStyle w:val="Hesber"/>
        <w:rPr>
          <w:rtl/>
        </w:rPr>
      </w:pPr>
      <w:r w:rsidRPr="00A83796">
        <w:rPr>
          <w:rFonts w:hint="cs"/>
          <w:rtl/>
        </w:rPr>
        <w:t>והונחה</w:t>
      </w:r>
      <w:r w:rsidRPr="00A83796">
        <w:rPr>
          <w:rtl/>
        </w:rPr>
        <w:t xml:space="preserve"> </w:t>
      </w:r>
      <w:r w:rsidRPr="00A83796">
        <w:rPr>
          <w:rFonts w:hint="cs"/>
          <w:rtl/>
        </w:rPr>
        <w:t>על</w:t>
      </w:r>
      <w:r w:rsidRPr="00A83796">
        <w:rPr>
          <w:rtl/>
        </w:rPr>
        <w:t xml:space="preserve"> </w:t>
      </w:r>
      <w:r w:rsidRPr="00A83796">
        <w:rPr>
          <w:rFonts w:hint="cs"/>
          <w:rtl/>
        </w:rPr>
        <w:t>שולחן</w:t>
      </w:r>
      <w:r w:rsidRPr="00A83796">
        <w:rPr>
          <w:rtl/>
        </w:rPr>
        <w:t xml:space="preserve"> </w:t>
      </w:r>
      <w:r w:rsidRPr="00A83796">
        <w:rPr>
          <w:rFonts w:hint="cs"/>
          <w:rtl/>
        </w:rPr>
        <w:t>הכנסת</w:t>
      </w:r>
      <w:r w:rsidRPr="00A83796">
        <w:rPr>
          <w:rtl/>
        </w:rPr>
        <w:t xml:space="preserve"> </w:t>
      </w:r>
      <w:r w:rsidRPr="00A83796">
        <w:rPr>
          <w:rFonts w:hint="cs"/>
          <w:rtl/>
        </w:rPr>
        <w:t>ביום</w:t>
      </w:r>
    </w:p>
    <w:p w14:paraId="7F6961CB" w14:textId="620FB666" w:rsidR="00E13C27" w:rsidRDefault="00AA5832" w:rsidP="00E13C27">
      <w:pPr>
        <w:pStyle w:val="Hesber"/>
        <w:rPr>
          <w:rtl/>
        </w:rPr>
      </w:pPr>
      <w:r>
        <w:rPr>
          <w:rtl/>
        </w:rPr>
        <w:t>כ"ו בניסן התש"ף – 20.4.20</w:t>
      </w:r>
      <w:bookmarkStart w:id="8" w:name="_GoBack"/>
      <w:bookmarkEnd w:id="8"/>
    </w:p>
    <w:sectPr w:rsidR="00E13C27"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7" w14:textId="6434C071"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AA5832">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027FC54B" w14:textId="77777777" w:rsidR="00D9523D" w:rsidRDefault="00D9523D" w:rsidP="00D9523D">
      <w:pPr>
        <w:pStyle w:val="a4"/>
      </w:pPr>
      <w:r>
        <w:rPr>
          <w:rStyle w:val="a5"/>
        </w:rPr>
        <w:footnoteRef/>
      </w:r>
      <w:r>
        <w:rPr>
          <w:rtl/>
        </w:rPr>
        <w:t xml:space="preserve"> </w:t>
      </w:r>
      <w:r>
        <w:rPr>
          <w:rFonts w:hint="cs"/>
          <w:rtl/>
        </w:rPr>
        <w:t>ס"ח התשנ"ה, עמ' 210.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1F5CAB"/>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E425F"/>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929F3"/>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A5832"/>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9523D"/>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46F22036-30D6-420E-A73F-55606DE1F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aliases w:val="Footnote Reference"/>
    <w:basedOn w:val="a0"/>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6">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7">
    <w:name w:val="header"/>
    <w:basedOn w:val="a"/>
    <w:rsid w:val="00B975AD"/>
    <w:pPr>
      <w:tabs>
        <w:tab w:val="center" w:pos="4153"/>
        <w:tab w:val="right" w:pos="8306"/>
      </w:tabs>
    </w:pPr>
  </w:style>
  <w:style w:type="paragraph" w:styleId="a8">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b">
    <w:name w:val="Balloon Text"/>
    <w:basedOn w:val="a"/>
    <w:link w:val="ac"/>
    <w:semiHidden/>
    <w:unhideWhenUsed/>
    <w:rsid w:val="00325C14"/>
    <w:pPr>
      <w:spacing w:before="0"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996638">
      <w:bodyDiv w:val="1"/>
      <w:marLeft w:val="0"/>
      <w:marRight w:val="0"/>
      <w:marTop w:val="0"/>
      <w:marBottom w:val="0"/>
      <w:divBdr>
        <w:top w:val="none" w:sz="0" w:space="0" w:color="auto"/>
        <w:left w:val="none" w:sz="0" w:space="0" w:color="auto"/>
        <w:bottom w:val="none" w:sz="0" w:space="0" w:color="auto"/>
        <w:right w:val="none" w:sz="0" w:space="0" w:color="auto"/>
      </w:divBdr>
    </w:div>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3D6E9C754E1F7C4C891E9EE2E0AF8150" ma:contentTypeVersion="" ma:contentTypeDescription="צור מסמך חדש." ma:contentTypeScope="" ma:versionID="b2c52f23e7867aea476dda019525fa93">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88F4AFE3-9455-419C-8851-785A55F4451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200FAF5-99F3-4317-A2B6-B7DFD0DA7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D85776D-8915-474F-BC4C-F927FF5ED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424</Words>
  <Characters>2120</Characters>
  <Application>Microsoft Office Word</Application>
  <DocSecurity>0</DocSecurity>
  <Lines>17</Lines>
  <Paragraphs>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רשומות</vt:lpstr>
      <vt:lpstr>רשומות</vt:lpstr>
    </vt:vector>
  </TitlesOfParts>
  <Company>Knesset</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דפנה ברנאי</cp:lastModifiedBy>
  <cp:revision>11</cp:revision>
  <cp:lastPrinted>2013-07-04T08:25:00Z</cp:lastPrinted>
  <dcterms:created xsi:type="dcterms:W3CDTF">2015-04-20T09:58:00Z</dcterms:created>
  <dcterms:modified xsi:type="dcterms:W3CDTF">2020-04-19T08:24:00Z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0x0101003D6E9C754E1F7C4C891E9EE2E0AF8150</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2085635</vt:r8>
  </property>
</Properties>
</file>