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2086248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עומר ינקלביץ'</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1A112FF1" w:rsidR="00E13C27" w:rsidRPr="00E06736" w:rsidRDefault="00904591" w:rsidP="00E25541">
      <w:pPr>
        <w:pStyle w:val="David"/>
        <w:spacing w:line="240" w:lineRule="auto"/>
        <w:ind w:left="6424" w:firstLine="56"/>
        <w:rPr>
          <w:rtl/>
        </w:rPr>
      </w:pPr>
      <w:bookmarkStart w:id="6" w:name="Private_Number"/>
      <w:r>
        <w:rPr>
          <w:rFonts w:hint="cs"/>
          <w:rtl/>
        </w:rPr>
        <w:t>פ/121/23</w:t>
      </w:r>
      <w:bookmarkEnd w:id="6"/>
    </w:p>
    <w:p w14:paraId="7F6961AC" w14:textId="77777777" w:rsidR="00E13C27" w:rsidRDefault="00E13C27" w:rsidP="00E13C27">
      <w:pPr>
        <w:ind w:left="2880" w:firstLine="720"/>
        <w:rPr>
          <w:sz w:val="26"/>
          <w:szCs w:val="26"/>
          <w:rtl/>
        </w:rPr>
      </w:pPr>
    </w:p>
    <w:p w14:paraId="7F6961AD" w14:textId="6FB0D90B" w:rsidR="00E13C27" w:rsidRPr="00F67051" w:rsidRDefault="00A443CF" w:rsidP="004B59EB">
      <w:pPr>
        <w:pStyle w:val="HeadHatzaotHok"/>
        <w:rPr>
          <w:rtl/>
        </w:rPr>
      </w:pPr>
      <w:bookmarkStart w:id="7" w:name="LGS_Subject"/>
      <w:r>
        <w:rPr>
          <w:rFonts w:hint="cs"/>
          <w:rtl/>
        </w:rPr>
        <w:t xml:space="preserve">הצעת חוק המועצה להשכלה גבוהה (תיקון </w:t>
      </w:r>
      <w:r w:rsidR="004B59EB">
        <w:rPr>
          <w:rtl/>
        </w:rPr>
        <w:t>–</w:t>
      </w:r>
      <w:r>
        <w:rPr>
          <w:rFonts w:hint="cs"/>
          <w:rtl/>
        </w:rPr>
        <w:t xml:space="preserve"> ביטול דרישת מבחני כניסה וציון פסיכומטרי), התש"ף</w:t>
      </w:r>
      <w:r w:rsidR="004B59EB">
        <w:rPr>
          <w:rtl/>
        </w:rPr>
        <w:t>–</w:t>
      </w:r>
      <w:r>
        <w:rPr>
          <w:rFonts w:hint="cs"/>
          <w:rtl/>
        </w:rPr>
        <w:t>2020</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1871"/>
        <w:gridCol w:w="624"/>
        <w:gridCol w:w="4648"/>
      </w:tblGrid>
      <w:tr w:rsidR="001D028B" w:rsidRPr="00E247B4" w14:paraId="28BD8F8F" w14:textId="77777777" w:rsidTr="001C3B7F">
        <w:trPr>
          <w:cantSplit/>
        </w:trPr>
        <w:tc>
          <w:tcPr>
            <w:tcW w:w="1871" w:type="dxa"/>
            <w:tcBorders>
              <w:top w:val="nil"/>
              <w:left w:val="nil"/>
              <w:bottom w:val="nil"/>
              <w:right w:val="nil"/>
            </w:tcBorders>
          </w:tcPr>
          <w:p w14:paraId="73E3F65E" w14:textId="77777777" w:rsidR="001D028B" w:rsidRPr="00636BF5" w:rsidRDefault="001D028B" w:rsidP="001C3B7F">
            <w:pPr>
              <w:pStyle w:val="TableSideHeading"/>
              <w:outlineLvl w:val="9"/>
            </w:pPr>
            <w:r w:rsidRPr="00636BF5">
              <w:rPr>
                <w:rtl/>
              </w:rPr>
              <w:t>הוספת סעיף 15ב</w:t>
            </w:r>
          </w:p>
        </w:tc>
        <w:tc>
          <w:tcPr>
            <w:tcW w:w="624" w:type="dxa"/>
            <w:tcBorders>
              <w:top w:val="nil"/>
              <w:left w:val="nil"/>
              <w:bottom w:val="nil"/>
              <w:right w:val="nil"/>
            </w:tcBorders>
          </w:tcPr>
          <w:p w14:paraId="0B6F67EB" w14:textId="77777777" w:rsidR="001D028B" w:rsidRPr="00E247B4" w:rsidRDefault="001D028B" w:rsidP="001C5EA4">
            <w:pPr>
              <w:pStyle w:val="TableText"/>
            </w:pPr>
            <w:r w:rsidRPr="00E247B4">
              <w:rPr>
                <w:rtl/>
              </w:rPr>
              <w:t>1.</w:t>
            </w:r>
          </w:p>
        </w:tc>
        <w:tc>
          <w:tcPr>
            <w:tcW w:w="7143" w:type="dxa"/>
            <w:gridSpan w:val="3"/>
            <w:tcBorders>
              <w:top w:val="nil"/>
              <w:left w:val="nil"/>
              <w:bottom w:val="nil"/>
              <w:right w:val="nil"/>
            </w:tcBorders>
          </w:tcPr>
          <w:p w14:paraId="4BF247E9" w14:textId="77777777" w:rsidR="001D028B" w:rsidRPr="00E247B4" w:rsidRDefault="001D028B" w:rsidP="001C3B7F">
            <w:pPr>
              <w:pStyle w:val="TableBlock"/>
            </w:pPr>
            <w:r w:rsidRPr="00E247B4">
              <w:rPr>
                <w:rtl/>
              </w:rPr>
              <w:t>בחוק המועצה להשכלה גבוהה, התשי"ח–1958</w:t>
            </w:r>
            <w:r w:rsidRPr="001C3B7F">
              <w:rPr>
                <w:rFonts w:ascii="David" w:hAnsi="David"/>
                <w:sz w:val="26"/>
                <w:vertAlign w:val="superscript"/>
                <w:rtl/>
              </w:rPr>
              <w:footnoteReference w:id="2"/>
            </w:r>
            <w:r w:rsidRPr="00E247B4">
              <w:rPr>
                <w:rtl/>
              </w:rPr>
              <w:t xml:space="preserve">, </w:t>
            </w:r>
            <w:r w:rsidRPr="00152954">
              <w:rPr>
                <w:rtl/>
              </w:rPr>
              <w:t>אחרי סעיף 15א יבוא</w:t>
            </w:r>
            <w:r w:rsidRPr="00E247B4">
              <w:rPr>
                <w:rtl/>
              </w:rPr>
              <w:t>:</w:t>
            </w:r>
          </w:p>
        </w:tc>
      </w:tr>
      <w:tr w:rsidR="001D028B" w:rsidRPr="00152954" w14:paraId="016B8B97" w14:textId="77777777" w:rsidTr="001C3B7F">
        <w:tblPrEx>
          <w:tblLook w:val="01E0" w:firstRow="1" w:lastRow="1" w:firstColumn="1" w:lastColumn="1" w:noHBand="0" w:noVBand="0"/>
        </w:tblPrEx>
        <w:trPr>
          <w:cantSplit/>
        </w:trPr>
        <w:tc>
          <w:tcPr>
            <w:tcW w:w="1871" w:type="dxa"/>
          </w:tcPr>
          <w:p w14:paraId="0B393998" w14:textId="77777777" w:rsidR="001D028B" w:rsidRPr="00E247B4" w:rsidRDefault="001D028B" w:rsidP="001C5EA4">
            <w:pPr>
              <w:pStyle w:val="TableSideHeading"/>
            </w:pPr>
          </w:p>
        </w:tc>
        <w:tc>
          <w:tcPr>
            <w:tcW w:w="624" w:type="dxa"/>
          </w:tcPr>
          <w:p w14:paraId="2D632B20" w14:textId="77777777" w:rsidR="001D028B" w:rsidRPr="00E247B4" w:rsidRDefault="001D028B" w:rsidP="001C5EA4">
            <w:pPr>
              <w:pStyle w:val="TableText"/>
            </w:pPr>
          </w:p>
        </w:tc>
        <w:tc>
          <w:tcPr>
            <w:tcW w:w="1871" w:type="dxa"/>
          </w:tcPr>
          <w:p w14:paraId="507A3939" w14:textId="77777777" w:rsidR="001D028B" w:rsidRPr="00636BF5" w:rsidRDefault="001D028B" w:rsidP="001C3B7F">
            <w:pPr>
              <w:pStyle w:val="TableInnerSideHeading"/>
            </w:pPr>
            <w:r w:rsidRPr="00636BF5">
              <w:rPr>
                <w:rtl/>
              </w:rPr>
              <w:t xml:space="preserve">"שיטת </w:t>
            </w:r>
            <w:r w:rsidRPr="00636BF5">
              <w:rPr>
                <w:rFonts w:hint="eastAsia"/>
                <w:rtl/>
              </w:rPr>
              <w:t>קבלה</w:t>
            </w:r>
            <w:r w:rsidRPr="00636BF5">
              <w:rPr>
                <w:rtl/>
              </w:rPr>
              <w:t xml:space="preserve">              </w:t>
            </w:r>
          </w:p>
        </w:tc>
        <w:tc>
          <w:tcPr>
            <w:tcW w:w="624" w:type="dxa"/>
          </w:tcPr>
          <w:p w14:paraId="7BF22E4C" w14:textId="77777777" w:rsidR="001D028B" w:rsidRPr="00E247B4" w:rsidRDefault="001D028B" w:rsidP="001C5EA4">
            <w:pPr>
              <w:pStyle w:val="TableText"/>
            </w:pPr>
            <w:r w:rsidRPr="00E247B4">
              <w:rPr>
                <w:rtl/>
              </w:rPr>
              <w:t>15ב.</w:t>
            </w:r>
            <w:r w:rsidRPr="00E247B4">
              <w:rPr>
                <w:rtl/>
              </w:rPr>
              <w:tab/>
            </w:r>
          </w:p>
        </w:tc>
        <w:tc>
          <w:tcPr>
            <w:tcW w:w="4648" w:type="dxa"/>
          </w:tcPr>
          <w:p w14:paraId="14E71DB6" w14:textId="77777777" w:rsidR="001D028B" w:rsidRPr="00152954" w:rsidRDefault="001D028B" w:rsidP="001C3B7F">
            <w:pPr>
              <w:pStyle w:val="TableBlock"/>
            </w:pPr>
            <w:r w:rsidRPr="00152954">
              <w:rPr>
                <w:rtl/>
              </w:rPr>
              <w:t>על אף האמור בסעיף 15, לא ידרוש מוסד להשכלה גבוהה, ממי שביקש ללמוד בו, להיבחן במבחן פסיכומטרי כתנאי קבלה ללימודים; מוסד להשכלה גבוהה יאפשר למועמדים לבחור בין שקלול ציון הבגרות הממוצע עם הציון הפסיכומטרי, לבין שקלול ציון הבגרות הממוצע עם ציון ממוצע מיטבי של שלושה מקצועות בבחינות הבגרות שהם עברית או ערבית, אנגלית ומתמטיקה."</w:t>
            </w:r>
          </w:p>
        </w:tc>
      </w:tr>
    </w:tbl>
    <w:p w14:paraId="26B7FD94" w14:textId="77777777" w:rsidR="00636BF5" w:rsidRDefault="00636BF5" w:rsidP="001C3B7F">
      <w:pPr>
        <w:keepLines/>
        <w:tabs>
          <w:tab w:val="left" w:pos="624"/>
          <w:tab w:val="left" w:pos="1247"/>
        </w:tabs>
        <w:ind w:left="0"/>
        <w:rPr>
          <w:rtl/>
        </w:rPr>
      </w:pPr>
    </w:p>
    <w:p w14:paraId="7F6961CA" w14:textId="77777777" w:rsidR="002D1EE3" w:rsidRPr="00636BF5" w:rsidRDefault="002D1EE3" w:rsidP="001C3B7F">
      <w:pPr>
        <w:pStyle w:val="HeadDivreiHesber"/>
        <w:rPr>
          <w:rtl/>
        </w:rPr>
      </w:pPr>
      <w:r w:rsidRPr="00636BF5">
        <w:rPr>
          <w:rFonts w:hint="eastAsia"/>
          <w:rtl/>
        </w:rPr>
        <w:t>דברי</w:t>
      </w:r>
      <w:r w:rsidRPr="00636BF5">
        <w:rPr>
          <w:rtl/>
        </w:rPr>
        <w:t xml:space="preserve"> </w:t>
      </w:r>
      <w:r w:rsidRPr="00636BF5">
        <w:rPr>
          <w:rFonts w:hint="eastAsia"/>
          <w:rtl/>
        </w:rPr>
        <w:t>הסבר</w:t>
      </w:r>
    </w:p>
    <w:p w14:paraId="10746BB2" w14:textId="77777777" w:rsidR="001D028B" w:rsidRPr="00636BF5" w:rsidRDefault="001D028B" w:rsidP="001C3B7F">
      <w:pPr>
        <w:pStyle w:val="Hesber"/>
        <w:rPr>
          <w:rtl/>
        </w:rPr>
      </w:pPr>
      <w:r w:rsidRPr="00636BF5">
        <w:rPr>
          <w:rtl/>
        </w:rPr>
        <w:t xml:space="preserve">בחינת הפסיכומטרי </w:t>
      </w:r>
      <w:r w:rsidRPr="00636BF5">
        <w:rPr>
          <w:rFonts w:hint="eastAsia"/>
          <w:rtl/>
        </w:rPr>
        <w:t>היא</w:t>
      </w:r>
      <w:r w:rsidRPr="00636BF5">
        <w:rPr>
          <w:rtl/>
        </w:rPr>
        <w:t xml:space="preserve"> מכשול בפני סטודנטים רבים בגלל הטיה תרבותית ועלות גבוהה של קורסי הכנה לפסיכומטרי. דבר זה פוגע בעיקר בפריפריה ובשכבות החלשות, על כן מוצע שמיון הסטודנטים החדשים במוסדות להשכלה גבוהה יהיה על פי ציוני הבגרות, ועם זאת יהיו רשאים הסטודנטים שרוצים בכך לעבור בחינה פסיכומטרית ולהתקבל למוסד להשכלה גבוהה לפי שקלול ממוצע ציוני הבגרות עם ציון הבחינה הפסיכומטרית. </w:t>
      </w:r>
    </w:p>
    <w:p w14:paraId="5D5439D2" w14:textId="77777777" w:rsidR="001D028B" w:rsidRPr="00636BF5" w:rsidRDefault="001D028B" w:rsidP="001C3B7F">
      <w:pPr>
        <w:pStyle w:val="Hesber"/>
        <w:rPr>
          <w:rtl/>
        </w:rPr>
      </w:pPr>
      <w:r w:rsidRPr="00636BF5">
        <w:rPr>
          <w:rtl/>
        </w:rPr>
        <w:t xml:space="preserve">יש לציין כי שופטי בית המשפט העליון מתחו ביקורת חריפה על נציגי האוניברסיטאות אשר ביטלו את "שיטת המצרף". </w:t>
      </w:r>
    </w:p>
    <w:p w14:paraId="54DFC8B2" w14:textId="42F553A1" w:rsidR="00067BB6" w:rsidRDefault="001D028B" w:rsidP="001C3B7F">
      <w:pPr>
        <w:pStyle w:val="Hesber"/>
        <w:rPr>
          <w:rtl/>
        </w:rPr>
      </w:pPr>
      <w:r w:rsidRPr="00636BF5">
        <w:rPr>
          <w:rtl/>
        </w:rPr>
        <w:t>הצעות חוק זהות הונחו על שולחן הכנסת השבע-עשרה</w:t>
      </w:r>
      <w:r w:rsidR="00E50ABD">
        <w:rPr>
          <w:rFonts w:hint="cs"/>
          <w:rtl/>
        </w:rPr>
        <w:t xml:space="preserve"> על ידי חבר </w:t>
      </w:r>
      <w:r w:rsidR="00067BB6">
        <w:rPr>
          <w:rFonts w:hint="cs"/>
          <w:rtl/>
        </w:rPr>
        <w:t xml:space="preserve">הכנסת ג'מאל זחאלקה </w:t>
      </w:r>
      <w:r w:rsidR="00067BB6">
        <w:rPr>
          <w:rFonts w:hint="cs"/>
          <w:rtl/>
        </w:rPr>
        <w:lastRenderedPageBreak/>
        <w:t>(פ/1853/17)</w:t>
      </w:r>
      <w:r w:rsidR="004276A5">
        <w:rPr>
          <w:rFonts w:hint="cs"/>
          <w:rtl/>
        </w:rPr>
        <w:t>, על שולחן הכנסת השמונה-עשרה</w:t>
      </w:r>
      <w:r w:rsidR="00E50ABD">
        <w:rPr>
          <w:rFonts w:hint="cs"/>
          <w:rtl/>
        </w:rPr>
        <w:t xml:space="preserve"> על ידי חבר הכנסת ג'מאל זחאלקה (</w:t>
      </w:r>
      <w:r w:rsidR="00E50ABD" w:rsidRPr="00E92EE8">
        <w:rPr>
          <w:rtl/>
        </w:rPr>
        <w:t>פ/316/18</w:t>
      </w:r>
      <w:r w:rsidR="00E50ABD">
        <w:rPr>
          <w:rFonts w:hint="cs"/>
          <w:rtl/>
        </w:rPr>
        <w:t>) ועל ידי חברי הכנסת ג'מאל זחאלקה (פ/2994/18), על שולחן הכנסת התשע-עשרה על ידי חבר הכנסת ג'מאל זחאלקה וקבוצת חברי הכנסת (פ/934/19) ועל ידי חבר הכנסת דב חנין וקבוצת חברי הכנסת (פ/2301/19)</w:t>
      </w:r>
      <w:r w:rsidR="00BB1E56">
        <w:rPr>
          <w:rFonts w:hint="cs"/>
          <w:rtl/>
        </w:rPr>
        <w:t>, על שולחן הכנסת העשרים על ידי חבר הכנסת עבדאללה אבו מערוף וקבוצת חברי הכנסת (פ/4112/20) ו</w:t>
      </w:r>
      <w:r w:rsidR="00E50ABD">
        <w:rPr>
          <w:rFonts w:hint="cs"/>
          <w:rtl/>
        </w:rPr>
        <w:t>על שולחן הכנסת העשרים ושתיים על ידי ח</w:t>
      </w:r>
      <w:r w:rsidR="00BB1E56">
        <w:rPr>
          <w:rFonts w:hint="cs"/>
          <w:rtl/>
        </w:rPr>
        <w:t>ברי הכנסת עומר ינקלביץ' ודסטה גדי יברקן (פ/269/22)</w:t>
      </w:r>
      <w:r w:rsidR="00C91122">
        <w:rPr>
          <w:rFonts w:hint="cs"/>
          <w:rtl/>
        </w:rPr>
        <w:t>.</w:t>
      </w:r>
    </w:p>
    <w:p w14:paraId="37C633FB" w14:textId="77777777" w:rsidR="00636BF5" w:rsidRPr="00E92EE8" w:rsidRDefault="00636BF5" w:rsidP="00636BF5">
      <w:pPr>
        <w:pStyle w:val="Hesber"/>
        <w:rPr>
          <w:rtl/>
        </w:rPr>
      </w:pPr>
      <w:r w:rsidRPr="00636BF5">
        <w:rPr>
          <w:rtl/>
        </w:rPr>
        <w:t>הצע</w:t>
      </w:r>
      <w:r w:rsidRPr="00E92EE8">
        <w:rPr>
          <w:rtl/>
        </w:rPr>
        <w:t>ת חוק דומה בעיקרה הונחה על שולחן הכנסת השש-עשרה על ידי חבר הכנסת אלי בן מנחם  (פ/2107).</w:t>
      </w:r>
      <w:r w:rsidRPr="00E92EE8">
        <w:rPr>
          <w:rFonts w:hint="cs"/>
          <w:rtl/>
        </w:rPr>
        <w:t xml:space="preserve"> </w:t>
      </w:r>
    </w:p>
    <w:p w14:paraId="7F6961CB" w14:textId="094EAB8A" w:rsidR="00E13C27" w:rsidRDefault="00E13C27" w:rsidP="00636BF5">
      <w:pPr>
        <w:pStyle w:val="Hesber"/>
        <w:rPr>
          <w:rtl/>
        </w:rPr>
      </w:pPr>
    </w:p>
    <w:p w14:paraId="2A1793DE" w14:textId="7BF16DC3" w:rsidR="004B59EB" w:rsidRDefault="004B59EB" w:rsidP="00636BF5">
      <w:pPr>
        <w:pStyle w:val="Hesber"/>
        <w:rPr>
          <w:rtl/>
        </w:rPr>
      </w:pPr>
    </w:p>
    <w:p w14:paraId="7AEED83A" w14:textId="77777777" w:rsidR="004B59EB" w:rsidRPr="00A83796" w:rsidRDefault="004B59EB" w:rsidP="00A83796">
      <w:pPr>
        <w:pStyle w:val="Hesber"/>
        <w:rPr>
          <w:rtl/>
        </w:rPr>
      </w:pPr>
      <w:r w:rsidRPr="00A83796">
        <w:rPr>
          <w:rtl/>
        </w:rPr>
        <w:t>---------------------------------</w:t>
      </w:r>
    </w:p>
    <w:p w14:paraId="37EA1831" w14:textId="77777777" w:rsidR="004B59EB" w:rsidRPr="00A83796" w:rsidRDefault="004B59EB" w:rsidP="00A83796">
      <w:pPr>
        <w:pStyle w:val="Hesber"/>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2AAED1AA" w14:textId="77777777" w:rsidR="004B59EB" w:rsidRPr="00A83796" w:rsidRDefault="004B59EB" w:rsidP="00A83796">
      <w:pPr>
        <w:pStyle w:val="Hesber"/>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780CC3A8" w14:textId="51E1187A" w:rsidR="004B59EB" w:rsidRPr="00636BF5" w:rsidRDefault="002C2BD9" w:rsidP="00636BF5">
      <w:pPr>
        <w:pStyle w:val="Hesber"/>
        <w:rPr>
          <w:rtl/>
        </w:rPr>
      </w:pPr>
      <w:r>
        <w:rPr>
          <w:rtl/>
        </w:rPr>
        <w:t>כ"ו בניסן התש"ף – 20.4.20</w:t>
      </w:r>
      <w:bookmarkStart w:id="8" w:name="_GoBack"/>
      <w:bookmarkEnd w:id="8"/>
    </w:p>
    <w:sectPr w:rsidR="004B59EB" w:rsidRPr="00636BF5" w:rsidSect="001C3B7F">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29DB62F8"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C2BD9">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1C3B7F">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5D6C360" w14:textId="77777777" w:rsidR="001D028B" w:rsidRDefault="001D028B" w:rsidP="001D028B">
      <w:pPr>
        <w:pStyle w:val="a4"/>
      </w:pPr>
      <w:r>
        <w:rPr>
          <w:rStyle w:val="a6"/>
        </w:rPr>
        <w:footnoteRef/>
      </w:r>
      <w:r>
        <w:rPr>
          <w:rtl/>
        </w:rPr>
        <w:t xml:space="preserve"> </w:t>
      </w:r>
      <w:r>
        <w:rPr>
          <w:sz w:val="20"/>
          <w:rtl/>
        </w:rPr>
        <w:t>ס"ח התשי"ח, עמ' 191.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67BB6"/>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C3B7F"/>
    <w:rsid w:val="001D028B"/>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BD9"/>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276A5"/>
    <w:rsid w:val="004A06DC"/>
    <w:rsid w:val="004B24ED"/>
    <w:rsid w:val="004B59EB"/>
    <w:rsid w:val="004B6625"/>
    <w:rsid w:val="004D2D82"/>
    <w:rsid w:val="004D3876"/>
    <w:rsid w:val="004E4552"/>
    <w:rsid w:val="004E6CDF"/>
    <w:rsid w:val="00553C9D"/>
    <w:rsid w:val="00562A66"/>
    <w:rsid w:val="005B064E"/>
    <w:rsid w:val="005D51AE"/>
    <w:rsid w:val="0062674B"/>
    <w:rsid w:val="006363B2"/>
    <w:rsid w:val="00636BF5"/>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B1E56"/>
    <w:rsid w:val="00BC45FB"/>
    <w:rsid w:val="00BF148D"/>
    <w:rsid w:val="00C23B1A"/>
    <w:rsid w:val="00C310EB"/>
    <w:rsid w:val="00C91122"/>
    <w:rsid w:val="00C9176A"/>
    <w:rsid w:val="00CF1AA2"/>
    <w:rsid w:val="00D142D3"/>
    <w:rsid w:val="00D17774"/>
    <w:rsid w:val="00D63620"/>
    <w:rsid w:val="00D8410D"/>
    <w:rsid w:val="00D867D7"/>
    <w:rsid w:val="00DB7060"/>
    <w:rsid w:val="00DE3153"/>
    <w:rsid w:val="00E06736"/>
    <w:rsid w:val="00E13C27"/>
    <w:rsid w:val="00E25541"/>
    <w:rsid w:val="00E33BBD"/>
    <w:rsid w:val="00E374F2"/>
    <w:rsid w:val="00E45103"/>
    <w:rsid w:val="00E50ABD"/>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D774208-3ECF-4A8F-AF74-94307CA5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BF5"/>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636BF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636BF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636BF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636BF5"/>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636BF5"/>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636BF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636BF5"/>
    <w:rPr>
      <w:sz w:val="36"/>
      <w:szCs w:val="52"/>
    </w:rPr>
  </w:style>
  <w:style w:type="paragraph" w:customStyle="1" w:styleId="Cover3-Haknesset">
    <w:name w:val="Cover 3-Haknesset"/>
    <w:basedOn w:val="Cover1-Reshumot"/>
    <w:rsid w:val="00636BF5"/>
    <w:rPr>
      <w:b/>
      <w:bCs/>
      <w:spacing w:val="60"/>
    </w:rPr>
  </w:style>
  <w:style w:type="paragraph" w:customStyle="1" w:styleId="Cover4-Date">
    <w:name w:val="Cover 4-Date"/>
    <w:basedOn w:val="a"/>
    <w:rsid w:val="00636BF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636BF5"/>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636BF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636BF5"/>
    <w:pPr>
      <w:spacing w:before="120" w:after="120"/>
    </w:pPr>
    <w:rPr>
      <w:color w:val="FF0000"/>
      <w:w w:val="80"/>
    </w:rPr>
  </w:style>
  <w:style w:type="paragraph" w:styleId="a3">
    <w:name w:val="endnote text"/>
    <w:basedOn w:val="a"/>
    <w:semiHidden/>
    <w:rsid w:val="00636BF5"/>
    <w:pPr>
      <w:ind w:left="227" w:hanging="227"/>
    </w:pPr>
    <w:rPr>
      <w:sz w:val="14"/>
      <w:szCs w:val="22"/>
    </w:rPr>
  </w:style>
  <w:style w:type="paragraph" w:customStyle="1" w:styleId="TableText">
    <w:name w:val="Table Text"/>
    <w:basedOn w:val="a"/>
    <w:rsid w:val="00636BF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636BF5"/>
    <w:pPr>
      <w:outlineLvl w:val="2"/>
    </w:pPr>
  </w:style>
  <w:style w:type="paragraph" w:customStyle="1" w:styleId="TableBlock">
    <w:name w:val="Table Block"/>
    <w:basedOn w:val="TableText"/>
    <w:rsid w:val="00636BF5"/>
    <w:pPr>
      <w:jc w:val="both"/>
    </w:pPr>
  </w:style>
  <w:style w:type="paragraph" w:customStyle="1" w:styleId="TableHead">
    <w:name w:val="Table Head"/>
    <w:basedOn w:val="TableText"/>
    <w:rsid w:val="00636BF5"/>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636BF5"/>
    <w:pPr>
      <w:outlineLvl w:val="9"/>
    </w:pPr>
  </w:style>
  <w:style w:type="paragraph" w:customStyle="1" w:styleId="Hesber">
    <w:name w:val="Hesber"/>
    <w:basedOn w:val="a"/>
    <w:rsid w:val="00636BF5"/>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636BF5"/>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636BF5"/>
    <w:rPr>
      <w:vertAlign w:val="superscript"/>
    </w:rPr>
  </w:style>
  <w:style w:type="paragraph" w:customStyle="1" w:styleId="HesberHeading">
    <w:name w:val="Hesber Heading"/>
    <w:basedOn w:val="Hesber"/>
    <w:rsid w:val="00636BF5"/>
    <w:pPr>
      <w:tabs>
        <w:tab w:val="left" w:pos="624"/>
        <w:tab w:val="left" w:pos="1247"/>
      </w:tabs>
    </w:pPr>
    <w:rPr>
      <w:b/>
      <w:bCs/>
    </w:rPr>
  </w:style>
  <w:style w:type="paragraph" w:customStyle="1" w:styleId="HesberWriters">
    <w:name w:val="Hesber Writers"/>
    <w:basedOn w:val="Hesber"/>
    <w:rsid w:val="00636BF5"/>
    <w:pPr>
      <w:spacing w:before="120" w:after="120"/>
      <w:ind w:left="1418"/>
      <w:jc w:val="right"/>
    </w:pPr>
    <w:rPr>
      <w:b/>
      <w:bCs/>
    </w:rPr>
  </w:style>
  <w:style w:type="paragraph" w:customStyle="1" w:styleId="Hesber1st">
    <w:name w:val="Hesber 1st"/>
    <w:basedOn w:val="Hesber"/>
    <w:rsid w:val="00636BF5"/>
    <w:pPr>
      <w:tabs>
        <w:tab w:val="left" w:pos="680"/>
        <w:tab w:val="left" w:pos="1020"/>
      </w:tabs>
      <w:ind w:firstLine="0"/>
    </w:pPr>
  </w:style>
  <w:style w:type="character" w:styleId="a7">
    <w:name w:val="endnote reference"/>
    <w:basedOn w:val="a0"/>
    <w:semiHidden/>
    <w:rsid w:val="00636BF5"/>
    <w:rPr>
      <w:vertAlign w:val="superscript"/>
    </w:rPr>
  </w:style>
  <w:style w:type="paragraph" w:customStyle="1" w:styleId="TableBlockOutdent">
    <w:name w:val="Table BlockOutdent"/>
    <w:basedOn w:val="TableBlock"/>
    <w:rsid w:val="00636BF5"/>
    <w:pPr>
      <w:ind w:left="624" w:hanging="624"/>
    </w:pPr>
  </w:style>
  <w:style w:type="paragraph" w:styleId="a8">
    <w:name w:val="header"/>
    <w:basedOn w:val="a"/>
    <w:rsid w:val="00636BF5"/>
    <w:pPr>
      <w:tabs>
        <w:tab w:val="center" w:pos="4153"/>
        <w:tab w:val="right" w:pos="8306"/>
      </w:tabs>
    </w:pPr>
  </w:style>
  <w:style w:type="paragraph" w:styleId="a9">
    <w:name w:val="footer"/>
    <w:basedOn w:val="a"/>
    <w:rsid w:val="00636BF5"/>
    <w:pPr>
      <w:tabs>
        <w:tab w:val="center" w:pos="4153"/>
        <w:tab w:val="right" w:pos="8306"/>
      </w:tabs>
    </w:pPr>
  </w:style>
  <w:style w:type="paragraph" w:customStyle="1" w:styleId="HeadDivreiHesber">
    <w:name w:val="Head DivreiHesber"/>
    <w:basedOn w:val="a"/>
    <w:rsid w:val="00636BF5"/>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636BF5"/>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636BF5"/>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1D028B"/>
    <w:rPr>
      <w:rFonts w:ascii="Arial" w:eastAsia="Arial Unicode MS" w:hAnsi="Arial" w:cs="David"/>
      <w:snapToGrid w:val="0"/>
      <w:sz w:val="14"/>
    </w:rPr>
  </w:style>
  <w:style w:type="character" w:customStyle="1" w:styleId="10">
    <w:name w:val="כותרת 1 תו"/>
    <w:basedOn w:val="a0"/>
    <w:link w:val="1"/>
    <w:uiPriority w:val="9"/>
    <w:rsid w:val="00636BF5"/>
    <w:rPr>
      <w:rFonts w:asciiTheme="majorHAnsi" w:eastAsiaTheme="majorEastAsia" w:hAnsiTheme="majorHAnsi" w:cs="David"/>
      <w:bCs/>
      <w:sz w:val="32"/>
      <w:szCs w:val="36"/>
    </w:rPr>
  </w:style>
  <w:style w:type="character" w:customStyle="1" w:styleId="20">
    <w:name w:val="כותרת 2 תו"/>
    <w:basedOn w:val="a0"/>
    <w:link w:val="2"/>
    <w:rsid w:val="00636BF5"/>
    <w:rPr>
      <w:rFonts w:asciiTheme="majorHAnsi" w:eastAsiaTheme="majorEastAsia" w:hAnsiTheme="majorHAnsi" w:cs="David"/>
      <w:bCs/>
      <w:sz w:val="26"/>
      <w:szCs w:val="36"/>
      <w:u w:val="single"/>
    </w:rPr>
  </w:style>
  <w:style w:type="character" w:customStyle="1" w:styleId="30">
    <w:name w:val="כותרת 3 תו"/>
    <w:basedOn w:val="a0"/>
    <w:link w:val="3"/>
    <w:rsid w:val="00636BF5"/>
    <w:rPr>
      <w:rFonts w:asciiTheme="majorHAnsi" w:eastAsiaTheme="majorEastAsia" w:hAnsiTheme="majorHAnsi" w:cs="David"/>
      <w:sz w:val="24"/>
      <w:szCs w:val="28"/>
      <w:u w:val="double"/>
    </w:rPr>
  </w:style>
  <w:style w:type="character" w:customStyle="1" w:styleId="40">
    <w:name w:val="כותרת 4 תו"/>
    <w:basedOn w:val="a0"/>
    <w:link w:val="4"/>
    <w:uiPriority w:val="9"/>
    <w:rsid w:val="00636BF5"/>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636BF5"/>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636BF5"/>
    <w:pPr>
      <w:widowControl/>
      <w:spacing w:before="120" w:after="120"/>
      <w:outlineLvl w:val="9"/>
    </w:pPr>
    <w:rPr>
      <w:rtl/>
      <w:cs/>
    </w:rPr>
  </w:style>
  <w:style w:type="paragraph" w:styleId="TOC1">
    <w:name w:val="toc 1"/>
    <w:basedOn w:val="a"/>
    <w:next w:val="a"/>
    <w:autoRedefine/>
    <w:uiPriority w:val="39"/>
    <w:unhideWhenUsed/>
    <w:rsid w:val="00636BF5"/>
    <w:pPr>
      <w:tabs>
        <w:tab w:val="right" w:leader="dot" w:pos="9629"/>
      </w:tabs>
      <w:spacing w:after="100"/>
    </w:pPr>
    <w:rPr>
      <w:bCs/>
      <w:szCs w:val="22"/>
    </w:rPr>
  </w:style>
  <w:style w:type="paragraph" w:styleId="TOC2">
    <w:name w:val="toc 2"/>
    <w:basedOn w:val="a"/>
    <w:next w:val="a"/>
    <w:uiPriority w:val="39"/>
    <w:unhideWhenUsed/>
    <w:rsid w:val="00636BF5"/>
    <w:pPr>
      <w:tabs>
        <w:tab w:val="right" w:leader="dot" w:pos="9628"/>
      </w:tabs>
      <w:spacing w:after="100"/>
    </w:pPr>
    <w:rPr>
      <w:szCs w:val="22"/>
    </w:rPr>
  </w:style>
  <w:style w:type="character" w:styleId="Hyperlink">
    <w:name w:val="Hyperlink"/>
    <w:basedOn w:val="a0"/>
    <w:uiPriority w:val="99"/>
    <w:unhideWhenUsed/>
    <w:rsid w:val="00636BF5"/>
    <w:rPr>
      <w:color w:val="0000FF" w:themeColor="hyperlink"/>
      <w:u w:val="single"/>
    </w:rPr>
  </w:style>
  <w:style w:type="paragraph" w:styleId="TOC3">
    <w:name w:val="toc 3"/>
    <w:basedOn w:val="a"/>
    <w:next w:val="a"/>
    <w:uiPriority w:val="39"/>
    <w:unhideWhenUsed/>
    <w:rsid w:val="00636BF5"/>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636BF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636BF5"/>
    <w:pPr>
      <w:tabs>
        <w:tab w:val="right" w:leader="dot" w:pos="9628"/>
      </w:tabs>
      <w:spacing w:after="100"/>
      <w:ind w:left="567"/>
    </w:pPr>
    <w:rPr>
      <w:szCs w:val="22"/>
    </w:rPr>
  </w:style>
  <w:style w:type="paragraph" w:styleId="TOC6">
    <w:name w:val="toc 6"/>
    <w:basedOn w:val="a"/>
    <w:next w:val="a"/>
    <w:autoRedefine/>
    <w:semiHidden/>
    <w:unhideWhenUsed/>
    <w:rsid w:val="00636BF5"/>
    <w:pPr>
      <w:spacing w:after="100"/>
      <w:ind w:left="850"/>
    </w:pPr>
  </w:style>
  <w:style w:type="paragraph" w:styleId="TOC7">
    <w:name w:val="toc 7"/>
    <w:basedOn w:val="a"/>
    <w:next w:val="a"/>
    <w:autoRedefine/>
    <w:semiHidden/>
    <w:unhideWhenUsed/>
    <w:rsid w:val="00636BF5"/>
    <w:pPr>
      <w:spacing w:after="100"/>
      <w:ind w:left="1020"/>
    </w:pPr>
  </w:style>
  <w:style w:type="paragraph" w:styleId="TOC8">
    <w:name w:val="toc 8"/>
    <w:basedOn w:val="a"/>
    <w:next w:val="a"/>
    <w:autoRedefine/>
    <w:semiHidden/>
    <w:unhideWhenUsed/>
    <w:rsid w:val="00636BF5"/>
    <w:pPr>
      <w:spacing w:after="100"/>
      <w:ind w:left="1190"/>
    </w:pPr>
  </w:style>
  <w:style w:type="paragraph" w:styleId="TOC9">
    <w:name w:val="toc 9"/>
    <w:basedOn w:val="a"/>
    <w:next w:val="a"/>
    <w:autoRedefine/>
    <w:semiHidden/>
    <w:unhideWhenUsed/>
    <w:rsid w:val="00636BF5"/>
    <w:pPr>
      <w:spacing w:after="100"/>
      <w:ind w:left="1360"/>
    </w:pPr>
  </w:style>
  <w:style w:type="paragraph" w:customStyle="1" w:styleId="TableHead2">
    <w:name w:val="Table Head2"/>
    <w:basedOn w:val="TableHead"/>
    <w:qFormat/>
    <w:rsid w:val="00636BF5"/>
    <w:pPr>
      <w:outlineLvl w:val="9"/>
    </w:pPr>
  </w:style>
  <w:style w:type="paragraph" w:customStyle="1" w:styleId="TableSideHeading2">
    <w:name w:val="Table SideHeading2"/>
    <w:basedOn w:val="TableSideHeading"/>
    <w:autoRedefine/>
    <w:qFormat/>
    <w:rsid w:val="00636BF5"/>
    <w:pPr>
      <w:keepLines w:val="0"/>
      <w:outlineLvl w:val="9"/>
    </w:pPr>
  </w:style>
  <w:style w:type="paragraph" w:customStyle="1" w:styleId="0">
    <w:name w:val="סגנון שורה ראשונה:  0  ס''מ"/>
    <w:basedOn w:val="2"/>
    <w:rsid w:val="00636BF5"/>
    <w:rPr>
      <w:rFonts w:eastAsia="Times New Roman"/>
    </w:rPr>
  </w:style>
  <w:style w:type="paragraph" w:styleId="af">
    <w:name w:val="List Paragraph"/>
    <w:basedOn w:val="a"/>
    <w:uiPriority w:val="34"/>
    <w:qFormat/>
    <w:rsid w:val="00636BF5"/>
    <w:pPr>
      <w:widowControl/>
      <w:spacing w:line="259" w:lineRule="auto"/>
    </w:pPr>
    <w:rPr>
      <w:rFonts w:asciiTheme="minorHAnsi" w:hAnsiTheme="minorHAnsi"/>
      <w:sz w:val="22"/>
    </w:rPr>
  </w:style>
  <w:style w:type="table" w:styleId="af0">
    <w:name w:val="Table Grid"/>
    <w:basedOn w:val="a1"/>
    <w:rsid w:val="00636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636B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636B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636BF5"/>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636BF5"/>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FEFB858-7D9A-4BDA-847D-76823B0A4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3AF28C-78B4-4627-8772-DFE78B76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316</Words>
  <Characters>1581</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9</cp:revision>
  <cp:lastPrinted>2013-07-04T08:25:00Z</cp:lastPrinted>
  <dcterms:created xsi:type="dcterms:W3CDTF">2015-04-20T09:58:00Z</dcterms:created>
  <dcterms:modified xsi:type="dcterms:W3CDTF">2020-04-19T08:38:00Z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2086248</vt:r8>
  </property>
</Properties>
</file>