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2086231</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יוזמת:</w:t>
      </w:r>
      <w:r>
        <w:tab/>
      </w:r>
      <w:r>
        <w:rPr>
          <w:b/>
          <w:bCs/>
          <w:rtl/>
        </w:rPr>
        <w:t xml:space="preserve">      חברת הכנסת</w:t>
      </w:r>
      <w:bookmarkEnd w:id="2"/>
      <w:r w:rsidR="00B35784" w:rsidRPr="00F67051">
        <w:rPr>
          <w:b/>
          <w:bCs/>
        </w:rPr>
        <w:tab/>
      </w:r>
      <w:bookmarkStart w:id="3" w:name="LGS_PM_Names"/>
      <w:r>
        <w:rPr>
          <w:rFonts w:hint="cs"/>
          <w:b/>
          <w:bCs/>
          <w:rtl/>
        </w:rPr>
        <w:t>עומר ינקלביץ'</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פ/62/23</w:t>
      </w:r>
      <w:bookmarkEnd w:id="6"/>
    </w:p>
    <w:p w14:paraId="7F6961AC" w14:textId="77777777" w:rsidR="00E13C27" w:rsidRDefault="00E13C27" w:rsidP="00E13C27">
      <w:pPr>
        <w:spacing w:before="0" w:line="360" w:lineRule="auto"/>
        <w:ind w:left="2880" w:firstLine="720"/>
        <w:rPr>
          <w:rFonts w:cs="David"/>
          <w:sz w:val="26"/>
          <w:szCs w:val="26"/>
          <w:rtl/>
        </w:rPr>
      </w:pPr>
    </w:p>
    <w:p w14:paraId="7F6961AD" w14:textId="77777777" w:rsidR="00E13C27" w:rsidRPr="00F67051" w:rsidRDefault="00A443CF" w:rsidP="0021633A">
      <w:pPr>
        <w:pStyle w:val="HeadHatzaotHok"/>
        <w:rPr>
          <w:rtl/>
        </w:rPr>
      </w:pPr>
      <w:bookmarkStart w:id="7" w:name="LGS_Subject"/>
      <w:r>
        <w:rPr>
          <w:rFonts w:hint="cs"/>
          <w:rtl/>
        </w:rPr>
        <w:t>הצעת חוק לתיקון פקודת מס הכנסה (פטור ממס לדמי הבראה), התש"ף–2020</w:t>
      </w:r>
      <w:bookmarkEnd w:id="7"/>
    </w:p>
    <w:p w14:paraId="7F6961AE" w14:textId="77777777" w:rsidR="00E13C27" w:rsidRDefault="00E13C27" w:rsidP="0021633A">
      <w:pPr>
        <w:pStyle w:val="HeadDivreiHesber"/>
        <w:spacing w:before="0" w:after="0"/>
        <w:rPr>
          <w:rtl/>
        </w:rPr>
      </w:pPr>
    </w:p>
    <w:tbl>
      <w:tblPr>
        <w:bidiVisual/>
        <w:tblW w:w="9626" w:type="dxa"/>
        <w:tblInd w:w="15" w:type="dxa"/>
        <w:tblLayout w:type="fixed"/>
        <w:tblCellMar>
          <w:top w:w="57" w:type="dxa"/>
          <w:left w:w="0" w:type="dxa"/>
          <w:bottom w:w="57" w:type="dxa"/>
          <w:right w:w="0" w:type="dxa"/>
        </w:tblCellMar>
        <w:tblLook w:val="0000" w:firstRow="0" w:lastRow="0" w:firstColumn="0" w:lastColumn="0" w:noHBand="0" w:noVBand="0"/>
      </w:tblPr>
      <w:tblGrid>
        <w:gridCol w:w="1868"/>
        <w:gridCol w:w="623"/>
        <w:gridCol w:w="7135"/>
      </w:tblGrid>
      <w:tr w:rsidR="00370D17" w14:paraId="3B00C043" w14:textId="77777777" w:rsidTr="00C844C8">
        <w:trPr>
          <w:cantSplit/>
        </w:trPr>
        <w:tc>
          <w:tcPr>
            <w:tcW w:w="1868" w:type="dxa"/>
            <w:tcBorders>
              <w:top w:val="nil"/>
              <w:left w:val="nil"/>
              <w:bottom w:val="nil"/>
              <w:right w:val="nil"/>
            </w:tcBorders>
          </w:tcPr>
          <w:p w14:paraId="7081F115" w14:textId="77777777" w:rsidR="00370D17" w:rsidRDefault="00370D17" w:rsidP="001C5EA4">
            <w:pPr>
              <w:pStyle w:val="TableSideHeading"/>
              <w:ind w:right="0"/>
              <w:rPr>
                <w:sz w:val="26"/>
                <w:rtl/>
              </w:rPr>
            </w:pPr>
            <w:r>
              <w:rPr>
                <w:sz w:val="26"/>
                <w:rtl/>
              </w:rPr>
              <w:t>תיקון סעיף 9</w:t>
            </w:r>
          </w:p>
        </w:tc>
        <w:tc>
          <w:tcPr>
            <w:tcW w:w="623" w:type="dxa"/>
            <w:tcBorders>
              <w:top w:val="nil"/>
              <w:left w:val="nil"/>
              <w:bottom w:val="nil"/>
              <w:right w:val="nil"/>
            </w:tcBorders>
          </w:tcPr>
          <w:p w14:paraId="440A9516" w14:textId="77777777" w:rsidR="00370D17" w:rsidRDefault="00370D17" w:rsidP="001C5EA4">
            <w:pPr>
              <w:pStyle w:val="TableText"/>
              <w:ind w:right="0"/>
              <w:jc w:val="both"/>
              <w:rPr>
                <w:sz w:val="26"/>
                <w:rtl/>
              </w:rPr>
            </w:pPr>
            <w:r>
              <w:rPr>
                <w:sz w:val="26"/>
                <w:rtl/>
              </w:rPr>
              <w:t>1.</w:t>
            </w:r>
          </w:p>
        </w:tc>
        <w:tc>
          <w:tcPr>
            <w:tcW w:w="7135" w:type="dxa"/>
            <w:tcBorders>
              <w:top w:val="nil"/>
              <w:left w:val="nil"/>
              <w:bottom w:val="nil"/>
              <w:right w:val="nil"/>
            </w:tcBorders>
          </w:tcPr>
          <w:p w14:paraId="65063A8B" w14:textId="77777777" w:rsidR="00370D17" w:rsidRDefault="00370D17" w:rsidP="001C5EA4">
            <w:pPr>
              <w:pStyle w:val="TableBlock"/>
              <w:rPr>
                <w:sz w:val="26"/>
                <w:rtl/>
              </w:rPr>
            </w:pPr>
            <w:r>
              <w:rPr>
                <w:sz w:val="26"/>
                <w:rtl/>
              </w:rPr>
              <w:t>בפקודת מס הכנסה</w:t>
            </w:r>
            <w:r>
              <w:rPr>
                <w:rStyle w:val="a6"/>
                <w:sz w:val="26"/>
                <w:rtl/>
              </w:rPr>
              <w:footnoteReference w:id="2"/>
            </w:r>
            <w:r>
              <w:rPr>
                <w:sz w:val="26"/>
                <w:rtl/>
              </w:rPr>
              <w:t>, בסעיף 9, אחרי פסקה (</w:t>
            </w:r>
            <w:r>
              <w:rPr>
                <w:rFonts w:hint="cs"/>
                <w:sz w:val="26"/>
                <w:rtl/>
              </w:rPr>
              <w:t>30</w:t>
            </w:r>
            <w:r>
              <w:rPr>
                <w:sz w:val="26"/>
                <w:rtl/>
              </w:rPr>
              <w:t>) יבוא:</w:t>
            </w:r>
          </w:p>
        </w:tc>
      </w:tr>
      <w:tr w:rsidR="00370D17" w14:paraId="5873179D" w14:textId="77777777" w:rsidTr="00C844C8">
        <w:trPr>
          <w:cantSplit/>
        </w:trPr>
        <w:tc>
          <w:tcPr>
            <w:tcW w:w="1868" w:type="dxa"/>
            <w:tcBorders>
              <w:top w:val="nil"/>
              <w:left w:val="nil"/>
              <w:bottom w:val="nil"/>
              <w:right w:val="nil"/>
            </w:tcBorders>
          </w:tcPr>
          <w:p w14:paraId="26DC950C" w14:textId="77777777" w:rsidR="00370D17" w:rsidRDefault="00370D17" w:rsidP="001C5EA4">
            <w:pPr>
              <w:pStyle w:val="TableSideHeading"/>
              <w:ind w:right="0"/>
              <w:rPr>
                <w:sz w:val="26"/>
                <w:rtl/>
              </w:rPr>
            </w:pPr>
          </w:p>
        </w:tc>
        <w:tc>
          <w:tcPr>
            <w:tcW w:w="623" w:type="dxa"/>
            <w:tcBorders>
              <w:top w:val="nil"/>
              <w:left w:val="nil"/>
              <w:bottom w:val="nil"/>
              <w:right w:val="nil"/>
            </w:tcBorders>
          </w:tcPr>
          <w:p w14:paraId="774EA481" w14:textId="77777777" w:rsidR="00370D17" w:rsidRDefault="00370D17" w:rsidP="001C5EA4">
            <w:pPr>
              <w:pStyle w:val="TableText"/>
              <w:rPr>
                <w:rtl/>
              </w:rPr>
            </w:pPr>
          </w:p>
        </w:tc>
        <w:tc>
          <w:tcPr>
            <w:tcW w:w="7135" w:type="dxa"/>
            <w:tcBorders>
              <w:top w:val="nil"/>
              <w:left w:val="nil"/>
              <w:bottom w:val="nil"/>
              <w:right w:val="nil"/>
            </w:tcBorders>
          </w:tcPr>
          <w:p w14:paraId="1F09DD14" w14:textId="7B2752D3" w:rsidR="00370D17" w:rsidRDefault="00370D17" w:rsidP="00CD5F96">
            <w:pPr>
              <w:pStyle w:val="TableBlock"/>
              <w:rPr>
                <w:sz w:val="26"/>
                <w:rtl/>
              </w:rPr>
            </w:pPr>
            <w:r>
              <w:rPr>
                <w:rFonts w:hint="cs"/>
                <w:sz w:val="26"/>
                <w:rtl/>
              </w:rPr>
              <w:t>"(31)</w:t>
            </w:r>
            <w:r>
              <w:rPr>
                <w:sz w:val="26"/>
                <w:rtl/>
              </w:rPr>
              <w:tab/>
            </w:r>
            <w:r>
              <w:rPr>
                <w:rFonts w:hint="cs"/>
                <w:sz w:val="26"/>
                <w:rtl/>
              </w:rPr>
              <w:t>דמי הבראה ששולמו לעובד מאת מעבידו; לעניין זה</w:t>
            </w:r>
            <w:r w:rsidR="00C844C8">
              <w:rPr>
                <w:rFonts w:hint="cs"/>
                <w:sz w:val="26"/>
                <w:rtl/>
              </w:rPr>
              <w:t xml:space="preserve">, </w:t>
            </w:r>
            <w:r w:rsidR="00C844C8">
              <w:rPr>
                <w:sz w:val="26"/>
                <w:rtl/>
              </w:rPr>
              <w:t xml:space="preserve"> "דמי הבראה" – דמי הבראה שנקבעו בצו הרחבה כמשמעותו בחוק הסכמים קיבוציים, התשי"ז–1957</w:t>
            </w:r>
            <w:r w:rsidR="00C844C8">
              <w:rPr>
                <w:rStyle w:val="a6"/>
                <w:sz w:val="26"/>
                <w:rtl/>
              </w:rPr>
              <w:footnoteReference w:id="3"/>
            </w:r>
            <w:r w:rsidR="00C844C8">
              <w:rPr>
                <w:sz w:val="26"/>
                <w:rtl/>
              </w:rPr>
              <w:t>."</w:t>
            </w:r>
          </w:p>
        </w:tc>
      </w:tr>
    </w:tbl>
    <w:p w14:paraId="7F6961CA" w14:textId="77777777" w:rsidR="002D1EE3" w:rsidRDefault="002D1EE3" w:rsidP="002D1EE3">
      <w:pPr>
        <w:pStyle w:val="HeadDivreiHesber"/>
        <w:rPr>
          <w:rtl/>
        </w:rPr>
      </w:pPr>
      <w:r w:rsidRPr="0027450A">
        <w:rPr>
          <w:rFonts w:hint="cs"/>
          <w:rtl/>
        </w:rPr>
        <w:t>דברי הסבר</w:t>
      </w:r>
    </w:p>
    <w:p w14:paraId="49CAC50A" w14:textId="77777777" w:rsidR="00370D17" w:rsidRPr="00CD5F96" w:rsidRDefault="00370D17" w:rsidP="00582E0D">
      <w:pPr>
        <w:pStyle w:val="Hesber"/>
        <w:rPr>
          <w:rtl/>
        </w:rPr>
      </w:pPr>
      <w:r w:rsidRPr="00582E0D">
        <w:rPr>
          <w:rtl/>
        </w:rPr>
        <w:t>קביעת תשלום דמי הבראה לכל שכיר במשק נועדה, מראשיתה, לאפשר לעובד לצאת לחופשה וזאת, כדי לאפשר לו לנוח מעמלו ולשוב לעבודה בכוחות מחודשים.</w:t>
      </w:r>
    </w:p>
    <w:p w14:paraId="02F5F172" w14:textId="77777777" w:rsidR="00370D17" w:rsidRPr="00187825" w:rsidRDefault="00370D17" w:rsidP="00582E0D">
      <w:pPr>
        <w:pStyle w:val="Hesber"/>
        <w:rPr>
          <w:rtl/>
        </w:rPr>
      </w:pPr>
      <w:r w:rsidRPr="00187825">
        <w:rPr>
          <w:rtl/>
        </w:rPr>
        <w:t>עם זאת, סכום זה מתווסף לשכר ברוטו של העובד, ולפיכך משולם עליו מס הכנסה בגובה שיעור המס שהעובד חייב בו.</w:t>
      </w:r>
    </w:p>
    <w:p w14:paraId="303C499A" w14:textId="392F7B8B" w:rsidR="00370D17" w:rsidRPr="00187825" w:rsidRDefault="00370D17" w:rsidP="00582E0D">
      <w:pPr>
        <w:pStyle w:val="Hesber"/>
        <w:rPr>
          <w:rtl/>
        </w:rPr>
      </w:pPr>
      <w:r w:rsidRPr="00187825">
        <w:rPr>
          <w:rtl/>
        </w:rPr>
        <w:t>מטרת הצעת חוק זו היא לפטור את דמי ההבראה מכל מס וזאת, כדי שתושג מטרתו הרווחתית האמתית של התשלום והעובד יוכל לנצל סכום זה על מנת לצאת לחופש שהוא זקוק לו, ולחזור ולהמשיך לעבוד במרץ – לטובתו ולטובת מ</w:t>
      </w:r>
      <w:r w:rsidRPr="00187825">
        <w:rPr>
          <w:rFonts w:hint="eastAsia"/>
          <w:rtl/>
        </w:rPr>
        <w:t>עביד</w:t>
      </w:r>
      <w:r w:rsidRPr="00187825">
        <w:rPr>
          <w:rtl/>
        </w:rPr>
        <w:t>ו.</w:t>
      </w:r>
    </w:p>
    <w:p w14:paraId="13E072B7" w14:textId="085A70AF" w:rsidR="00370D17" w:rsidRDefault="00370D17" w:rsidP="00CD5F96">
      <w:pPr>
        <w:pStyle w:val="Hesber"/>
        <w:rPr>
          <w:rtl/>
        </w:rPr>
      </w:pPr>
      <w:r w:rsidRPr="00187825">
        <w:rPr>
          <w:rtl/>
        </w:rPr>
        <w:t>הצעות חוק דומות בעיקרן הונחו על שולחן הכנסת השש-עשרה על ידי חבר הכנסת מוחמד ברכה וקבוצת חברי הכנסת (</w:t>
      </w:r>
      <w:r w:rsidRPr="00187825">
        <w:rPr>
          <w:rFonts w:hint="eastAsia"/>
          <w:rtl/>
        </w:rPr>
        <w:t>פ</w:t>
      </w:r>
      <w:r w:rsidRPr="00187825">
        <w:rPr>
          <w:rtl/>
        </w:rPr>
        <w:t>/350), על ידי חבר הכנסת אמנון כהן (</w:t>
      </w:r>
      <w:r w:rsidRPr="00187825">
        <w:rPr>
          <w:rFonts w:hint="eastAsia"/>
          <w:rtl/>
        </w:rPr>
        <w:t>פ</w:t>
      </w:r>
      <w:r w:rsidRPr="00187825">
        <w:rPr>
          <w:rtl/>
        </w:rPr>
        <w:t xml:space="preserve">/376), על ידי חבר הכנסת דוד אזולאי (פ/1216) </w:t>
      </w:r>
      <w:r w:rsidR="00582E0D">
        <w:rPr>
          <w:rFonts w:hint="cs"/>
          <w:rtl/>
        </w:rPr>
        <w:t>ו</w:t>
      </w:r>
      <w:r w:rsidRPr="00187825">
        <w:rPr>
          <w:rtl/>
        </w:rPr>
        <w:t xml:space="preserve">על ידי חבר הכנסת דוד אזולאי וקבוצת חברי הכנסת (פ/1668), על שולחן הכנסת השבע-עשרה על ידי חבר הכנסת מוחמד ברכה וקבוצת חברי הכנסת (פ/141/17), על ידי חבר הכנסת אמנון כהן (פ/927/17), על ידי חבר הכנסת דוד אזולאי (פ/1043/17), </w:t>
      </w:r>
      <w:r w:rsidRPr="00187825">
        <w:rPr>
          <w:rFonts w:hint="eastAsia"/>
          <w:rtl/>
        </w:rPr>
        <w:t>ע</w:t>
      </w:r>
      <w:r w:rsidRPr="00187825">
        <w:rPr>
          <w:rtl/>
        </w:rPr>
        <w:t xml:space="preserve">ל ידי חברת הכנסת שלי יחימוביץ' (פ/1731/17), </w:t>
      </w:r>
      <w:r w:rsidRPr="00187825">
        <w:rPr>
          <w:rFonts w:hint="eastAsia"/>
          <w:rtl/>
        </w:rPr>
        <w:t>על</w:t>
      </w:r>
      <w:r w:rsidRPr="00187825">
        <w:rPr>
          <w:rtl/>
        </w:rPr>
        <w:t xml:space="preserve"> שולחן הכנסת השמונה-עשרה על ידי חבר הכנסת מוחמד ברכה וקבוצת חברי הכנסת (פ/310/18)</w:t>
      </w:r>
      <w:r w:rsidR="00346BC5">
        <w:rPr>
          <w:rFonts w:hint="cs"/>
          <w:rtl/>
        </w:rPr>
        <w:t xml:space="preserve">, </w:t>
      </w:r>
      <w:r w:rsidRPr="00187825">
        <w:rPr>
          <w:rFonts w:hint="eastAsia"/>
          <w:rtl/>
        </w:rPr>
        <w:t>על</w:t>
      </w:r>
      <w:r w:rsidRPr="00187825">
        <w:rPr>
          <w:rtl/>
        </w:rPr>
        <w:t xml:space="preserve"> </w:t>
      </w:r>
      <w:r w:rsidRPr="00187825">
        <w:rPr>
          <w:rFonts w:hint="eastAsia"/>
          <w:rtl/>
        </w:rPr>
        <w:t>ידי</w:t>
      </w:r>
      <w:r w:rsidRPr="00187825">
        <w:rPr>
          <w:rtl/>
        </w:rPr>
        <w:t xml:space="preserve"> </w:t>
      </w:r>
      <w:r w:rsidRPr="00187825">
        <w:rPr>
          <w:rFonts w:hint="eastAsia"/>
          <w:rtl/>
        </w:rPr>
        <w:t>חברת</w:t>
      </w:r>
      <w:r w:rsidRPr="00187825">
        <w:rPr>
          <w:rtl/>
        </w:rPr>
        <w:t xml:space="preserve"> </w:t>
      </w:r>
      <w:r w:rsidRPr="00187825">
        <w:rPr>
          <w:rFonts w:hint="eastAsia"/>
          <w:rtl/>
        </w:rPr>
        <w:t>הכנסת</w:t>
      </w:r>
      <w:r w:rsidRPr="00187825">
        <w:rPr>
          <w:rtl/>
        </w:rPr>
        <w:t xml:space="preserve"> </w:t>
      </w:r>
      <w:r w:rsidRPr="00187825">
        <w:rPr>
          <w:rFonts w:hint="eastAsia"/>
          <w:rtl/>
        </w:rPr>
        <w:t>שלי</w:t>
      </w:r>
      <w:r w:rsidRPr="00187825">
        <w:rPr>
          <w:rtl/>
        </w:rPr>
        <w:t xml:space="preserve"> </w:t>
      </w:r>
      <w:r w:rsidRPr="00187825">
        <w:rPr>
          <w:rFonts w:hint="eastAsia"/>
          <w:rtl/>
        </w:rPr>
        <w:t>יחימוביץ</w:t>
      </w:r>
      <w:r w:rsidRPr="00187825">
        <w:rPr>
          <w:rtl/>
        </w:rPr>
        <w:t>' (פ/1288/18)</w:t>
      </w:r>
      <w:r w:rsidR="008E13B0">
        <w:rPr>
          <w:rFonts w:hint="cs"/>
          <w:rtl/>
        </w:rPr>
        <w:t xml:space="preserve"> ו</w:t>
      </w:r>
      <w:r w:rsidR="00346BC5">
        <w:rPr>
          <w:rFonts w:hint="cs"/>
          <w:rtl/>
        </w:rPr>
        <w:t>על ידי חבר הכנסת דוד אזולאי (פ/1524/18)</w:t>
      </w:r>
      <w:r w:rsidR="008E13B0">
        <w:rPr>
          <w:rFonts w:hint="cs"/>
          <w:rtl/>
        </w:rPr>
        <w:t>, על שולחן הכנסת התשע-עשרה על ידי חבר הכנסת דוד אזולאי (פ/962/19) ועל ידי חבר הכנסת מוחמד ברכה וקבוצת חברי הכנסת (פ/1344/19)</w:t>
      </w:r>
      <w:r w:rsidR="00CD5F96">
        <w:rPr>
          <w:rFonts w:hint="cs"/>
          <w:rtl/>
        </w:rPr>
        <w:t xml:space="preserve"> ועל שולחן הכנסת העשרים על ידי חבר הכנסת עאידה תומא סלימאן וקבוצת חברי הכנסת (פ/724/20).</w:t>
      </w:r>
    </w:p>
    <w:p w14:paraId="0FFFC97A" w14:textId="0F24880A" w:rsidR="00346BC5" w:rsidRPr="00187825" w:rsidRDefault="008E13B0" w:rsidP="00CD5F96">
      <w:pPr>
        <w:pStyle w:val="Hesber"/>
        <w:rPr>
          <w:rtl/>
        </w:rPr>
      </w:pPr>
      <w:r>
        <w:rPr>
          <w:rFonts w:hint="cs"/>
          <w:rtl/>
        </w:rPr>
        <w:lastRenderedPageBreak/>
        <w:t>הצעות</w:t>
      </w:r>
      <w:r w:rsidR="00346BC5">
        <w:rPr>
          <w:rFonts w:hint="cs"/>
          <w:rtl/>
        </w:rPr>
        <w:t xml:space="preserve"> </w:t>
      </w:r>
      <w:r>
        <w:rPr>
          <w:rFonts w:hint="cs"/>
          <w:rtl/>
        </w:rPr>
        <w:t>חוק זהות הונחו</w:t>
      </w:r>
      <w:r w:rsidR="00346BC5">
        <w:rPr>
          <w:rFonts w:hint="cs"/>
          <w:rtl/>
        </w:rPr>
        <w:t xml:space="preserve"> על שולחן הכנסת השמונה-עשרה על ידי חברת הכנסת אורית זוארץ (פ/4270/18)</w:t>
      </w:r>
      <w:r>
        <w:rPr>
          <w:rFonts w:hint="cs"/>
          <w:rtl/>
        </w:rPr>
        <w:t xml:space="preserve">, על שולחן הכנסת התשע-עשרה על ידי חברת הכנסת </w:t>
      </w:r>
      <w:r w:rsidRPr="008E1AC2">
        <w:rPr>
          <w:rFonts w:hint="cs"/>
          <w:rtl/>
        </w:rPr>
        <w:t>שלי יחימוביץ</w:t>
      </w:r>
      <w:r>
        <w:rPr>
          <w:rFonts w:hint="cs"/>
          <w:rtl/>
        </w:rPr>
        <w:t>'</w:t>
      </w:r>
      <w:r w:rsidRPr="008E1AC2">
        <w:rPr>
          <w:rFonts w:hint="cs"/>
          <w:rtl/>
        </w:rPr>
        <w:t xml:space="preserve"> (פ/330/19)</w:t>
      </w:r>
      <w:r>
        <w:rPr>
          <w:rFonts w:hint="cs"/>
          <w:rtl/>
        </w:rPr>
        <w:t>, על שולחן הכנסת העשרים על ידי חברת הכנסת שלי יחימוביץ' (פ/168/20)</w:t>
      </w:r>
      <w:r w:rsidR="00CD5F96">
        <w:rPr>
          <w:rFonts w:hint="cs"/>
          <w:rtl/>
        </w:rPr>
        <w:t xml:space="preserve"> ועל שולחן הכנסת העשרים ושתיים על ידי חברת הכנסת עומר ינקלביץ' (פ/1300/22).</w:t>
      </w:r>
    </w:p>
    <w:p w14:paraId="7F6961CB" w14:textId="776A162A" w:rsidR="00E13C27" w:rsidRDefault="00E13C27" w:rsidP="00E13C27">
      <w:pPr>
        <w:pStyle w:val="Hesber"/>
        <w:rPr>
          <w:rtl/>
        </w:rPr>
      </w:pPr>
    </w:p>
    <w:p w14:paraId="3BE146B0" w14:textId="612FD2BB" w:rsidR="00C844C8" w:rsidRDefault="00C844C8" w:rsidP="00E13C27">
      <w:pPr>
        <w:pStyle w:val="Hesber"/>
        <w:rPr>
          <w:rtl/>
        </w:rPr>
      </w:pPr>
    </w:p>
    <w:p w14:paraId="02B4408E" w14:textId="1FA9DB5A" w:rsidR="007E710D" w:rsidRDefault="007E710D" w:rsidP="00E13C27">
      <w:pPr>
        <w:pStyle w:val="Hesber"/>
        <w:rPr>
          <w:rtl/>
        </w:rPr>
      </w:pPr>
    </w:p>
    <w:p w14:paraId="5250D25A" w14:textId="77777777" w:rsidR="007E710D" w:rsidRDefault="007E710D" w:rsidP="00E13C27">
      <w:pPr>
        <w:pStyle w:val="Hesber"/>
        <w:rPr>
          <w:rtl/>
        </w:rPr>
      </w:pPr>
    </w:p>
    <w:p w14:paraId="4045C613" w14:textId="77777777" w:rsidR="00C844C8" w:rsidRPr="00A83796" w:rsidRDefault="00C844C8" w:rsidP="00A83796">
      <w:pPr>
        <w:pStyle w:val="Hesber"/>
        <w:rPr>
          <w:rtl/>
        </w:rPr>
      </w:pPr>
      <w:r w:rsidRPr="00A83796">
        <w:rPr>
          <w:rtl/>
        </w:rPr>
        <w:t>---------------------------------</w:t>
      </w:r>
    </w:p>
    <w:p w14:paraId="4FCCA0BE" w14:textId="77777777" w:rsidR="00C844C8" w:rsidRPr="00A83796" w:rsidRDefault="00C844C8" w:rsidP="00A83796">
      <w:pPr>
        <w:pStyle w:val="Hesber"/>
        <w:rPr>
          <w:rtl/>
        </w:rPr>
      </w:pPr>
      <w:r w:rsidRPr="00A83796">
        <w:rPr>
          <w:rFonts w:hint="cs"/>
          <w:rtl/>
        </w:rPr>
        <w:t>הוגשה</w:t>
      </w:r>
      <w:r w:rsidRPr="00A83796">
        <w:rPr>
          <w:rtl/>
        </w:rPr>
        <w:t xml:space="preserve"> </w:t>
      </w:r>
      <w:r w:rsidRPr="00A83796">
        <w:rPr>
          <w:rFonts w:hint="cs"/>
          <w:rtl/>
        </w:rPr>
        <w:t>ליו</w:t>
      </w:r>
      <w:r w:rsidRPr="00A83796">
        <w:rPr>
          <w:rtl/>
        </w:rPr>
        <w:t>"</w:t>
      </w:r>
      <w:r w:rsidRPr="00A83796">
        <w:rPr>
          <w:rFonts w:hint="cs"/>
          <w:rtl/>
        </w:rPr>
        <w:t>ר</w:t>
      </w:r>
      <w:r w:rsidRPr="00A83796">
        <w:rPr>
          <w:rtl/>
        </w:rPr>
        <w:t xml:space="preserve"> </w:t>
      </w:r>
      <w:r w:rsidRPr="00A83796">
        <w:rPr>
          <w:rFonts w:hint="cs"/>
          <w:rtl/>
        </w:rPr>
        <w:t>הכנסת</w:t>
      </w:r>
      <w:r w:rsidRPr="00A83796">
        <w:rPr>
          <w:rtl/>
        </w:rPr>
        <w:t xml:space="preserve"> </w:t>
      </w:r>
      <w:r w:rsidRPr="00A83796">
        <w:rPr>
          <w:rFonts w:hint="cs"/>
          <w:rtl/>
        </w:rPr>
        <w:t>והסגנים</w:t>
      </w:r>
    </w:p>
    <w:p w14:paraId="783F6AB1" w14:textId="77777777" w:rsidR="00C844C8" w:rsidRPr="00A83796" w:rsidRDefault="00C844C8" w:rsidP="00A83796">
      <w:pPr>
        <w:pStyle w:val="Hesber"/>
        <w:rPr>
          <w:rtl/>
        </w:rPr>
      </w:pPr>
      <w:r w:rsidRPr="00A83796">
        <w:rPr>
          <w:rFonts w:hint="cs"/>
          <w:rtl/>
        </w:rPr>
        <w:t>והונחה</w:t>
      </w:r>
      <w:r w:rsidRPr="00A83796">
        <w:rPr>
          <w:rtl/>
        </w:rPr>
        <w:t xml:space="preserve"> </w:t>
      </w:r>
      <w:r w:rsidRPr="00A83796">
        <w:rPr>
          <w:rFonts w:hint="cs"/>
          <w:rtl/>
        </w:rPr>
        <w:t>על</w:t>
      </w:r>
      <w:r w:rsidRPr="00A83796">
        <w:rPr>
          <w:rtl/>
        </w:rPr>
        <w:t xml:space="preserve"> </w:t>
      </w:r>
      <w:r w:rsidRPr="00A83796">
        <w:rPr>
          <w:rFonts w:hint="cs"/>
          <w:rtl/>
        </w:rPr>
        <w:t>שולחן</w:t>
      </w:r>
      <w:r w:rsidRPr="00A83796">
        <w:rPr>
          <w:rtl/>
        </w:rPr>
        <w:t xml:space="preserve"> </w:t>
      </w:r>
      <w:r w:rsidRPr="00A83796">
        <w:rPr>
          <w:rFonts w:hint="cs"/>
          <w:rtl/>
        </w:rPr>
        <w:t>הכנסת</w:t>
      </w:r>
      <w:r w:rsidRPr="00A83796">
        <w:rPr>
          <w:rtl/>
        </w:rPr>
        <w:t xml:space="preserve"> </w:t>
      </w:r>
      <w:r w:rsidRPr="00A83796">
        <w:rPr>
          <w:rFonts w:hint="cs"/>
          <w:rtl/>
        </w:rPr>
        <w:t>ביום</w:t>
      </w:r>
    </w:p>
    <w:p w14:paraId="3015D789" w14:textId="44EBCF28" w:rsidR="00C844C8" w:rsidRDefault="00EB7BB4" w:rsidP="00E13C27">
      <w:pPr>
        <w:pStyle w:val="Hesber"/>
        <w:rPr>
          <w:rtl/>
        </w:rPr>
      </w:pPr>
      <w:r>
        <w:rPr>
          <w:rtl/>
        </w:rPr>
        <w:t>כ"ו בניסן התש"ף – 20.4.20</w:t>
      </w:r>
      <w:bookmarkStart w:id="8" w:name="_GoBack"/>
      <w:bookmarkEnd w:id="8"/>
    </w:p>
    <w:sectPr w:rsidR="00C844C8"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7A70DDBB"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EB7BB4">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525DC996" w14:textId="77777777" w:rsidR="00370D17" w:rsidRDefault="00370D17" w:rsidP="00370D17">
      <w:pPr>
        <w:pStyle w:val="a4"/>
      </w:pPr>
      <w:r>
        <w:rPr>
          <w:rStyle w:val="a6"/>
        </w:rPr>
        <w:footnoteRef/>
      </w:r>
      <w:r>
        <w:rPr>
          <w:sz w:val="20"/>
          <w:rtl/>
        </w:rPr>
        <w:t xml:space="preserve"> דיני מדינת ישראל</w:t>
      </w:r>
      <w:r>
        <w:rPr>
          <w:rFonts w:hint="cs"/>
          <w:sz w:val="20"/>
          <w:rtl/>
        </w:rPr>
        <w:t>, נ</w:t>
      </w:r>
      <w:r>
        <w:rPr>
          <w:sz w:val="20"/>
          <w:rtl/>
        </w:rPr>
        <w:t>וסח חדש 6, עמ' 120.</w:t>
      </w:r>
    </w:p>
  </w:footnote>
  <w:footnote w:id="3">
    <w:p w14:paraId="1C1E043B" w14:textId="77777777" w:rsidR="00C844C8" w:rsidRDefault="00C844C8" w:rsidP="00C844C8">
      <w:pPr>
        <w:pStyle w:val="a4"/>
      </w:pPr>
      <w:r>
        <w:rPr>
          <w:rStyle w:val="a6"/>
        </w:rPr>
        <w:footnoteRef/>
      </w:r>
      <w:r>
        <w:rPr>
          <w:sz w:val="20"/>
          <w:rtl/>
        </w:rPr>
        <w:t xml:space="preserve"> ס"ח התשי"ז, עמ' 63.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0F4A87"/>
    <w:rsid w:val="00102B6B"/>
    <w:rsid w:val="001052D4"/>
    <w:rsid w:val="0010644B"/>
    <w:rsid w:val="001207F8"/>
    <w:rsid w:val="00121924"/>
    <w:rsid w:val="001279A8"/>
    <w:rsid w:val="0014195F"/>
    <w:rsid w:val="00152609"/>
    <w:rsid w:val="00153E1B"/>
    <w:rsid w:val="00187825"/>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46BC5"/>
    <w:rsid w:val="0036422C"/>
    <w:rsid w:val="00370D17"/>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82E0D"/>
    <w:rsid w:val="005B064E"/>
    <w:rsid w:val="005D51AE"/>
    <w:rsid w:val="0062674B"/>
    <w:rsid w:val="006363B2"/>
    <w:rsid w:val="00644940"/>
    <w:rsid w:val="006818A9"/>
    <w:rsid w:val="006A2D81"/>
    <w:rsid w:val="006C1D0D"/>
    <w:rsid w:val="0070601E"/>
    <w:rsid w:val="00712C72"/>
    <w:rsid w:val="00735FE9"/>
    <w:rsid w:val="00740178"/>
    <w:rsid w:val="00763CAA"/>
    <w:rsid w:val="00765F66"/>
    <w:rsid w:val="0078664F"/>
    <w:rsid w:val="007A27CE"/>
    <w:rsid w:val="007C3FA6"/>
    <w:rsid w:val="007D585A"/>
    <w:rsid w:val="007D5A12"/>
    <w:rsid w:val="007E59F9"/>
    <w:rsid w:val="007E710D"/>
    <w:rsid w:val="00810BCD"/>
    <w:rsid w:val="00812C98"/>
    <w:rsid w:val="00814D92"/>
    <w:rsid w:val="0083181D"/>
    <w:rsid w:val="00843EB2"/>
    <w:rsid w:val="00865572"/>
    <w:rsid w:val="00874BBC"/>
    <w:rsid w:val="00892135"/>
    <w:rsid w:val="00895449"/>
    <w:rsid w:val="00897879"/>
    <w:rsid w:val="008A6870"/>
    <w:rsid w:val="008C2DDC"/>
    <w:rsid w:val="008C7516"/>
    <w:rsid w:val="008E13B0"/>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844C8"/>
    <w:rsid w:val="00C9176A"/>
    <w:rsid w:val="00CD5F96"/>
    <w:rsid w:val="00CF1AA2"/>
    <w:rsid w:val="00D142D3"/>
    <w:rsid w:val="00D17774"/>
    <w:rsid w:val="00D63620"/>
    <w:rsid w:val="00D8410D"/>
    <w:rsid w:val="00D867D7"/>
    <w:rsid w:val="00DB7060"/>
    <w:rsid w:val="00DE3153"/>
    <w:rsid w:val="00E06736"/>
    <w:rsid w:val="00E11748"/>
    <w:rsid w:val="00E13C27"/>
    <w:rsid w:val="00E33BBD"/>
    <w:rsid w:val="00E374F2"/>
    <w:rsid w:val="00E45103"/>
    <w:rsid w:val="00E55A60"/>
    <w:rsid w:val="00E62778"/>
    <w:rsid w:val="00E635A2"/>
    <w:rsid w:val="00E63D38"/>
    <w:rsid w:val="00E665B9"/>
    <w:rsid w:val="00EA01E6"/>
    <w:rsid w:val="00EA3DE8"/>
    <w:rsid w:val="00EA758F"/>
    <w:rsid w:val="00EB7BB4"/>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F7A79132-B648-4258-9D69-EA9AD1DF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uiPriority w:val="99"/>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uiPriority w:val="99"/>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link w:val="a4"/>
    <w:uiPriority w:val="99"/>
    <w:rsid w:val="00370D17"/>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b2c52f23e7867aea476dda019525fa93">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ADE65-BFC3-47DD-8134-795948E33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4AFE3-9455-419C-8851-785A55F445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38CE0EB0-FBE8-49F0-ACC0-73BEDBB85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361</Words>
  <Characters>1807</Characters>
  <Application>Microsoft Office Word</Application>
  <DocSecurity>0</DocSecurity>
  <Lines>15</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12</cp:revision>
  <cp:lastPrinted>2013-07-04T08:25:00Z</cp:lastPrinted>
  <dcterms:created xsi:type="dcterms:W3CDTF">2015-04-20T09:58:00Z</dcterms:created>
  <dcterms:modified xsi:type="dcterms:W3CDTF">2020-04-18T07:52:00Z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2086231</vt:r8>
  </property>
</Properties>
</file>