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2085864</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יואב קיש</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פ/82/23</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1D14B55" w:rsidR="00E13C27" w:rsidRPr="00F67051" w:rsidRDefault="00A443CF" w:rsidP="00845DB4">
      <w:pPr>
        <w:pStyle w:val="HeadHatzaotHok"/>
        <w:rPr>
          <w:rtl/>
        </w:rPr>
      </w:pPr>
      <w:bookmarkStart w:id="7" w:name="LGS_Subject"/>
      <w:r>
        <w:rPr>
          <w:rFonts w:hint="cs"/>
          <w:rtl/>
        </w:rPr>
        <w:t>הצעת חוק ירושלים ובנותיה, התש"ף–2020</w:t>
      </w:r>
      <w:bookmarkEnd w:id="7"/>
    </w:p>
    <w:p w14:paraId="7F6961AE" w14:textId="77777777" w:rsidR="00E13C27" w:rsidRDefault="00E13C27" w:rsidP="0021633A">
      <w:pPr>
        <w:pStyle w:val="HeadDivreiHesber"/>
        <w:spacing w:before="0" w:after="0"/>
        <w:rPr>
          <w:rtl/>
        </w:rPr>
      </w:pPr>
    </w:p>
    <w:tbl>
      <w:tblPr>
        <w:bidiVisual/>
        <w:tblW w:w="9661" w:type="dxa"/>
        <w:tblLayout w:type="fixed"/>
        <w:tblCellMar>
          <w:top w:w="57" w:type="dxa"/>
          <w:left w:w="0" w:type="dxa"/>
          <w:bottom w:w="57" w:type="dxa"/>
          <w:right w:w="0" w:type="dxa"/>
        </w:tblCellMar>
        <w:tblLook w:val="01E0" w:firstRow="1" w:lastRow="1" w:firstColumn="1" w:lastColumn="1" w:noHBand="0" w:noVBand="0"/>
      </w:tblPr>
      <w:tblGrid>
        <w:gridCol w:w="1892"/>
        <w:gridCol w:w="624"/>
        <w:gridCol w:w="7145"/>
      </w:tblGrid>
      <w:tr w:rsidR="007D561F" w:rsidRPr="000C68E5" w14:paraId="793226AB" w14:textId="77777777" w:rsidTr="007D561F">
        <w:trPr>
          <w:cantSplit/>
        </w:trPr>
        <w:tc>
          <w:tcPr>
            <w:tcW w:w="1892" w:type="dxa"/>
            <w:hideMark/>
          </w:tcPr>
          <w:p w14:paraId="1DCF949D" w14:textId="77777777" w:rsidR="007D561F" w:rsidRPr="0046727A" w:rsidRDefault="007D561F" w:rsidP="00ED7045">
            <w:pPr>
              <w:pStyle w:val="TableSideHeading"/>
              <w:ind w:right="0"/>
            </w:pPr>
            <w:r w:rsidRPr="0046727A">
              <w:rPr>
                <w:rFonts w:hint="cs"/>
                <w:rtl/>
              </w:rPr>
              <w:t>הגדרות</w:t>
            </w:r>
          </w:p>
        </w:tc>
        <w:tc>
          <w:tcPr>
            <w:tcW w:w="624" w:type="dxa"/>
            <w:hideMark/>
          </w:tcPr>
          <w:p w14:paraId="3F850568" w14:textId="77777777" w:rsidR="007D561F" w:rsidRPr="0046727A" w:rsidRDefault="007D561F" w:rsidP="00ED7045">
            <w:pPr>
              <w:pStyle w:val="TableText"/>
              <w:ind w:right="0"/>
              <w:jc w:val="both"/>
              <w:rPr>
                <w:rtl/>
              </w:rPr>
            </w:pPr>
            <w:r w:rsidRPr="0046727A">
              <w:rPr>
                <w:rFonts w:hint="cs"/>
                <w:rtl/>
              </w:rPr>
              <w:t>1.</w:t>
            </w:r>
          </w:p>
        </w:tc>
        <w:tc>
          <w:tcPr>
            <w:tcW w:w="7145" w:type="dxa"/>
            <w:hideMark/>
          </w:tcPr>
          <w:p w14:paraId="6D2D2D5C" w14:textId="77777777" w:rsidR="007D561F" w:rsidRPr="0046727A" w:rsidRDefault="007D561F" w:rsidP="00ED7045">
            <w:pPr>
              <w:pStyle w:val="TableBlock"/>
              <w:rPr>
                <w:rtl/>
              </w:rPr>
            </w:pPr>
            <w:r w:rsidRPr="0046727A">
              <w:rPr>
                <w:rFonts w:hint="cs"/>
                <w:rtl/>
              </w:rPr>
              <w:t xml:space="preserve">בחוק זה </w:t>
            </w:r>
            <w:r>
              <w:rPr>
                <w:rFonts w:hint="eastAsia"/>
                <w:rtl/>
              </w:rPr>
              <w:t>–</w:t>
            </w:r>
          </w:p>
        </w:tc>
      </w:tr>
      <w:tr w:rsidR="007D561F" w:rsidRPr="000C68E5" w14:paraId="39B11B58" w14:textId="77777777" w:rsidTr="007D561F">
        <w:trPr>
          <w:cantSplit/>
        </w:trPr>
        <w:tc>
          <w:tcPr>
            <w:tcW w:w="1892" w:type="dxa"/>
          </w:tcPr>
          <w:p w14:paraId="14025EE4" w14:textId="77777777" w:rsidR="007D561F" w:rsidRPr="0046727A" w:rsidRDefault="007D561F" w:rsidP="00ED7045">
            <w:pPr>
              <w:pStyle w:val="TableSideHeading"/>
              <w:ind w:right="0"/>
              <w:rPr>
                <w:rtl/>
              </w:rPr>
            </w:pPr>
          </w:p>
        </w:tc>
        <w:tc>
          <w:tcPr>
            <w:tcW w:w="624" w:type="dxa"/>
          </w:tcPr>
          <w:p w14:paraId="39FF128A" w14:textId="77777777" w:rsidR="007D561F" w:rsidRPr="0046727A" w:rsidRDefault="007D561F" w:rsidP="00ED7045">
            <w:pPr>
              <w:pStyle w:val="TableText"/>
              <w:ind w:right="0"/>
              <w:jc w:val="both"/>
              <w:rPr>
                <w:rtl/>
              </w:rPr>
            </w:pPr>
          </w:p>
        </w:tc>
        <w:tc>
          <w:tcPr>
            <w:tcW w:w="7145" w:type="dxa"/>
            <w:hideMark/>
          </w:tcPr>
          <w:p w14:paraId="09771D71" w14:textId="77777777" w:rsidR="007D561F" w:rsidRPr="00190FAF" w:rsidRDefault="007D561F" w:rsidP="00ED7045">
            <w:pPr>
              <w:pStyle w:val="TableBlockOutdent"/>
              <w:rPr>
                <w:rtl/>
              </w:rPr>
            </w:pPr>
            <w:r w:rsidRPr="00190FAF">
              <w:rPr>
                <w:rFonts w:hint="cs"/>
                <w:rtl/>
              </w:rPr>
              <w:t>"הרשויות המקומיות המצורפות" – הרשויות המקומיות המנויות בתוספת הראשונה;</w:t>
            </w:r>
          </w:p>
        </w:tc>
      </w:tr>
      <w:tr w:rsidR="007D561F" w:rsidRPr="000C68E5" w14:paraId="47267136" w14:textId="77777777" w:rsidTr="007D561F">
        <w:trPr>
          <w:cantSplit/>
        </w:trPr>
        <w:tc>
          <w:tcPr>
            <w:tcW w:w="1892" w:type="dxa"/>
          </w:tcPr>
          <w:p w14:paraId="5A72C7A6" w14:textId="77777777" w:rsidR="007D561F" w:rsidRPr="0046727A" w:rsidRDefault="007D561F" w:rsidP="00ED7045">
            <w:pPr>
              <w:pStyle w:val="TableSideHeading"/>
              <w:ind w:right="0"/>
              <w:rPr>
                <w:rtl/>
              </w:rPr>
            </w:pPr>
          </w:p>
        </w:tc>
        <w:tc>
          <w:tcPr>
            <w:tcW w:w="624" w:type="dxa"/>
          </w:tcPr>
          <w:p w14:paraId="00620C7E" w14:textId="77777777" w:rsidR="007D561F" w:rsidRPr="0046727A" w:rsidRDefault="007D561F" w:rsidP="00ED7045">
            <w:pPr>
              <w:pStyle w:val="TableText"/>
              <w:ind w:right="0"/>
              <w:jc w:val="both"/>
              <w:rPr>
                <w:rtl/>
              </w:rPr>
            </w:pPr>
          </w:p>
        </w:tc>
        <w:tc>
          <w:tcPr>
            <w:tcW w:w="7145" w:type="dxa"/>
            <w:hideMark/>
          </w:tcPr>
          <w:p w14:paraId="4C85E170" w14:textId="77777777" w:rsidR="007D561F" w:rsidRPr="00190FAF" w:rsidRDefault="007D561F" w:rsidP="00ED7045">
            <w:pPr>
              <w:pStyle w:val="TableBlockOutdent"/>
              <w:rPr>
                <w:rtl/>
              </w:rPr>
            </w:pPr>
            <w:r w:rsidRPr="00190FAF">
              <w:rPr>
                <w:rFonts w:hint="cs"/>
                <w:rtl/>
              </w:rPr>
              <w:t>"השר" – שר הפנים.</w:t>
            </w:r>
          </w:p>
        </w:tc>
      </w:tr>
      <w:tr w:rsidR="007D561F" w:rsidRPr="000C68E5" w14:paraId="18FA4EEE" w14:textId="77777777" w:rsidTr="007D561F">
        <w:trPr>
          <w:cantSplit/>
        </w:trPr>
        <w:tc>
          <w:tcPr>
            <w:tcW w:w="1892" w:type="dxa"/>
            <w:hideMark/>
          </w:tcPr>
          <w:p w14:paraId="28D1FF95" w14:textId="77777777" w:rsidR="007D561F" w:rsidRPr="0046727A" w:rsidRDefault="007D561F" w:rsidP="00ED7045">
            <w:pPr>
              <w:pStyle w:val="TableSideHeading"/>
              <w:ind w:right="0"/>
              <w:rPr>
                <w:rtl/>
              </w:rPr>
            </w:pPr>
            <w:r w:rsidRPr="0046727A">
              <w:rPr>
                <w:rFonts w:hint="cs"/>
                <w:rtl/>
              </w:rPr>
              <w:t>הרחבת תחום השיפוט של ירושלים</w:t>
            </w:r>
          </w:p>
        </w:tc>
        <w:tc>
          <w:tcPr>
            <w:tcW w:w="624" w:type="dxa"/>
            <w:hideMark/>
          </w:tcPr>
          <w:p w14:paraId="1B46BE3D" w14:textId="77777777" w:rsidR="007D561F" w:rsidRPr="0046727A" w:rsidRDefault="007D561F" w:rsidP="00ED7045">
            <w:pPr>
              <w:pStyle w:val="TableText"/>
              <w:ind w:right="0"/>
              <w:jc w:val="both"/>
              <w:rPr>
                <w:rtl/>
              </w:rPr>
            </w:pPr>
            <w:r>
              <w:rPr>
                <w:rFonts w:hint="cs"/>
                <w:rtl/>
              </w:rPr>
              <w:t>2</w:t>
            </w:r>
            <w:r w:rsidRPr="0046727A">
              <w:rPr>
                <w:rFonts w:hint="cs"/>
                <w:rtl/>
              </w:rPr>
              <w:t xml:space="preserve">. </w:t>
            </w:r>
          </w:p>
        </w:tc>
        <w:tc>
          <w:tcPr>
            <w:tcW w:w="7145" w:type="dxa"/>
            <w:hideMark/>
          </w:tcPr>
          <w:p w14:paraId="03FCEC1A" w14:textId="77777777" w:rsidR="007D561F" w:rsidRPr="0046727A" w:rsidRDefault="007D561F" w:rsidP="00ED7045">
            <w:pPr>
              <w:pStyle w:val="TableBlock"/>
              <w:rPr>
                <w:rtl/>
              </w:rPr>
            </w:pPr>
            <w:r w:rsidRPr="0046727A">
              <w:rPr>
                <w:rFonts w:hint="cs"/>
                <w:rtl/>
              </w:rPr>
              <w:t>תחום השיפוט של ירושלים י</w:t>
            </w:r>
            <w:r>
              <w:rPr>
                <w:rFonts w:hint="cs"/>
                <w:rtl/>
              </w:rPr>
              <w:t xml:space="preserve">ורחב ויכלול גם את תחומי השיפוט </w:t>
            </w:r>
            <w:r w:rsidRPr="0046727A">
              <w:rPr>
                <w:rFonts w:hint="cs"/>
                <w:rtl/>
              </w:rPr>
              <w:t>של הרשויות המקומיות המצורפות.</w:t>
            </w:r>
          </w:p>
        </w:tc>
      </w:tr>
      <w:tr w:rsidR="007D561F" w:rsidRPr="000C68E5" w14:paraId="5E1B49D9" w14:textId="77777777" w:rsidTr="007D561F">
        <w:trPr>
          <w:cantSplit/>
        </w:trPr>
        <w:tc>
          <w:tcPr>
            <w:tcW w:w="1892" w:type="dxa"/>
            <w:hideMark/>
          </w:tcPr>
          <w:p w14:paraId="55B2BDC0" w14:textId="77777777" w:rsidR="007D561F" w:rsidRPr="0046727A" w:rsidRDefault="007D561F" w:rsidP="00ED7045">
            <w:pPr>
              <w:pStyle w:val="TableSideHeading"/>
              <w:ind w:right="0"/>
              <w:rPr>
                <w:rtl/>
              </w:rPr>
            </w:pPr>
            <w:r>
              <w:rPr>
                <w:rFonts w:hint="cs"/>
                <w:rtl/>
              </w:rPr>
              <w:t>עיריות בת</w:t>
            </w:r>
          </w:p>
        </w:tc>
        <w:tc>
          <w:tcPr>
            <w:tcW w:w="624" w:type="dxa"/>
            <w:hideMark/>
          </w:tcPr>
          <w:p w14:paraId="45265EEB" w14:textId="77777777" w:rsidR="007D561F" w:rsidRPr="0046727A" w:rsidRDefault="007D561F" w:rsidP="00ED7045">
            <w:pPr>
              <w:pStyle w:val="TableText"/>
              <w:ind w:right="0"/>
              <w:jc w:val="both"/>
              <w:rPr>
                <w:rtl/>
              </w:rPr>
            </w:pPr>
            <w:r>
              <w:rPr>
                <w:rFonts w:hint="cs"/>
                <w:rtl/>
              </w:rPr>
              <w:t>3</w:t>
            </w:r>
            <w:r w:rsidRPr="0046727A">
              <w:rPr>
                <w:rFonts w:hint="cs"/>
                <w:rtl/>
              </w:rPr>
              <w:t>.</w:t>
            </w:r>
          </w:p>
        </w:tc>
        <w:tc>
          <w:tcPr>
            <w:tcW w:w="7145" w:type="dxa"/>
            <w:hideMark/>
          </w:tcPr>
          <w:p w14:paraId="6C1433FC" w14:textId="77777777" w:rsidR="007D561F" w:rsidRPr="0046727A" w:rsidRDefault="007D561F" w:rsidP="00ED7045">
            <w:pPr>
              <w:pStyle w:val="TableBlock"/>
              <w:rPr>
                <w:rtl/>
              </w:rPr>
            </w:pPr>
            <w:r>
              <w:rPr>
                <w:rFonts w:hint="cs"/>
                <w:rtl/>
              </w:rPr>
              <w:t>(א)</w:t>
            </w:r>
            <w:r>
              <w:rPr>
                <w:rtl/>
              </w:rPr>
              <w:tab/>
            </w:r>
            <w:r>
              <w:rPr>
                <w:rFonts w:hint="cs"/>
                <w:rtl/>
              </w:rPr>
              <w:t>ה</w:t>
            </w:r>
            <w:r w:rsidRPr="0046727A">
              <w:rPr>
                <w:rFonts w:hint="cs"/>
                <w:rtl/>
              </w:rPr>
              <w:t>רשויות המקומיות המצורפו</w:t>
            </w:r>
            <w:r>
              <w:rPr>
                <w:rFonts w:hint="cs"/>
                <w:rtl/>
              </w:rPr>
              <w:t>ת וכן שכונות של ירושלים המנויות בתוספת השנייה יהיו עיריות בת של עיריית ירושלים.</w:t>
            </w:r>
          </w:p>
        </w:tc>
      </w:tr>
      <w:tr w:rsidR="007D561F" w:rsidRPr="000C68E5" w14:paraId="5B71CD39" w14:textId="77777777" w:rsidTr="007D561F">
        <w:trPr>
          <w:cantSplit/>
        </w:trPr>
        <w:tc>
          <w:tcPr>
            <w:tcW w:w="1892" w:type="dxa"/>
          </w:tcPr>
          <w:p w14:paraId="57ECFB0C" w14:textId="77777777" w:rsidR="007D561F" w:rsidRPr="0046727A" w:rsidRDefault="007D561F" w:rsidP="00ED7045">
            <w:pPr>
              <w:pStyle w:val="TableSideHeading"/>
              <w:ind w:right="0"/>
              <w:rPr>
                <w:rtl/>
              </w:rPr>
            </w:pPr>
          </w:p>
        </w:tc>
        <w:tc>
          <w:tcPr>
            <w:tcW w:w="624" w:type="dxa"/>
          </w:tcPr>
          <w:p w14:paraId="3967E6CF" w14:textId="77777777" w:rsidR="007D561F" w:rsidRPr="0046727A" w:rsidRDefault="007D561F" w:rsidP="00ED7045">
            <w:pPr>
              <w:pStyle w:val="TableText"/>
              <w:ind w:right="0"/>
              <w:jc w:val="both"/>
              <w:rPr>
                <w:rtl/>
              </w:rPr>
            </w:pPr>
          </w:p>
        </w:tc>
        <w:tc>
          <w:tcPr>
            <w:tcW w:w="7145" w:type="dxa"/>
          </w:tcPr>
          <w:p w14:paraId="620E58CE" w14:textId="77777777" w:rsidR="007D561F" w:rsidRDefault="007D561F" w:rsidP="00ED7045">
            <w:pPr>
              <w:pStyle w:val="TableBlock"/>
              <w:rPr>
                <w:rtl/>
              </w:rPr>
            </w:pPr>
            <w:r>
              <w:rPr>
                <w:rFonts w:hint="cs"/>
                <w:rtl/>
              </w:rPr>
              <w:t>(ב)</w:t>
            </w:r>
            <w:r>
              <w:rPr>
                <w:rtl/>
              </w:rPr>
              <w:tab/>
            </w:r>
            <w:r>
              <w:rPr>
                <w:rFonts w:hint="cs"/>
                <w:rtl/>
              </w:rPr>
              <w:t xml:space="preserve">לעיריות הבת יהיו מועצות שייבחרו בידי תושביהן במועד הבחירות לעיריית ירושלים; למועצות אלה יהיו סמכויות כפי שיקבע </w:t>
            </w:r>
            <w:r w:rsidRPr="0046727A">
              <w:rPr>
                <w:rFonts w:hint="cs"/>
                <w:rtl/>
              </w:rPr>
              <w:t>השר</w:t>
            </w:r>
            <w:r>
              <w:rPr>
                <w:rFonts w:hint="cs"/>
                <w:rtl/>
              </w:rPr>
              <w:t>, באישור ועדת הפנים והגנת הסביבה של הכנסת.</w:t>
            </w:r>
          </w:p>
        </w:tc>
      </w:tr>
      <w:tr w:rsidR="007D561F" w:rsidRPr="000C68E5" w14:paraId="07BBAE87" w14:textId="77777777" w:rsidTr="007D561F">
        <w:trPr>
          <w:cantSplit/>
        </w:trPr>
        <w:tc>
          <w:tcPr>
            <w:tcW w:w="1892" w:type="dxa"/>
            <w:hideMark/>
          </w:tcPr>
          <w:p w14:paraId="37DADD3F" w14:textId="77777777" w:rsidR="007D561F" w:rsidRPr="0046727A" w:rsidRDefault="007D561F" w:rsidP="00ED7045">
            <w:pPr>
              <w:pStyle w:val="TableSideHeading"/>
              <w:ind w:right="0"/>
              <w:rPr>
                <w:rtl/>
              </w:rPr>
            </w:pPr>
            <w:r>
              <w:rPr>
                <w:rFonts w:hint="cs"/>
                <w:rtl/>
              </w:rPr>
              <w:t>ביצוע</w:t>
            </w:r>
          </w:p>
        </w:tc>
        <w:tc>
          <w:tcPr>
            <w:tcW w:w="624" w:type="dxa"/>
            <w:hideMark/>
          </w:tcPr>
          <w:p w14:paraId="6266960C" w14:textId="77777777" w:rsidR="007D561F" w:rsidRPr="0046727A" w:rsidRDefault="007D561F" w:rsidP="00ED7045">
            <w:pPr>
              <w:pStyle w:val="TableText"/>
              <w:ind w:right="0"/>
              <w:jc w:val="both"/>
              <w:rPr>
                <w:rtl/>
              </w:rPr>
            </w:pPr>
            <w:r>
              <w:rPr>
                <w:rFonts w:hint="cs"/>
                <w:rtl/>
              </w:rPr>
              <w:t>4</w:t>
            </w:r>
            <w:r w:rsidRPr="0046727A">
              <w:rPr>
                <w:rFonts w:hint="cs"/>
                <w:rtl/>
              </w:rPr>
              <w:t>.</w:t>
            </w:r>
          </w:p>
        </w:tc>
        <w:tc>
          <w:tcPr>
            <w:tcW w:w="7145" w:type="dxa"/>
            <w:hideMark/>
          </w:tcPr>
          <w:p w14:paraId="1497343C" w14:textId="77777777" w:rsidR="007D561F" w:rsidRPr="0046727A" w:rsidRDefault="007D561F" w:rsidP="00ED7045">
            <w:pPr>
              <w:pStyle w:val="TableBlock"/>
              <w:rPr>
                <w:rtl/>
              </w:rPr>
            </w:pPr>
            <w:r w:rsidRPr="0046727A">
              <w:rPr>
                <w:rFonts w:hint="cs"/>
                <w:rtl/>
              </w:rPr>
              <w:t>השר ממונה על ביצועו של חוק זה.</w:t>
            </w:r>
          </w:p>
        </w:tc>
      </w:tr>
      <w:tr w:rsidR="007D561F" w:rsidRPr="000C68E5" w14:paraId="7F03DA32" w14:textId="77777777" w:rsidTr="007D561F">
        <w:trPr>
          <w:cantSplit/>
        </w:trPr>
        <w:tc>
          <w:tcPr>
            <w:tcW w:w="1892" w:type="dxa"/>
          </w:tcPr>
          <w:p w14:paraId="46232485" w14:textId="77777777" w:rsidR="007D561F" w:rsidRPr="0046727A" w:rsidRDefault="007D561F" w:rsidP="00ED7045">
            <w:pPr>
              <w:pStyle w:val="TableSideHeading"/>
              <w:ind w:right="0"/>
              <w:rPr>
                <w:rtl/>
              </w:rPr>
            </w:pPr>
          </w:p>
        </w:tc>
        <w:tc>
          <w:tcPr>
            <w:tcW w:w="624" w:type="dxa"/>
          </w:tcPr>
          <w:p w14:paraId="4D3CD3FD" w14:textId="77777777" w:rsidR="007D561F" w:rsidRPr="0046727A" w:rsidRDefault="007D561F" w:rsidP="00ED7045">
            <w:pPr>
              <w:pStyle w:val="TableText"/>
              <w:ind w:right="0"/>
              <w:jc w:val="both"/>
              <w:rPr>
                <w:rtl/>
              </w:rPr>
            </w:pPr>
          </w:p>
        </w:tc>
        <w:tc>
          <w:tcPr>
            <w:tcW w:w="7145" w:type="dxa"/>
            <w:hideMark/>
          </w:tcPr>
          <w:p w14:paraId="319D6A4D" w14:textId="77777777" w:rsidR="007D561F" w:rsidRPr="0002398B" w:rsidRDefault="007D561F" w:rsidP="00ED7045">
            <w:pPr>
              <w:pStyle w:val="TableBlock"/>
              <w:jc w:val="center"/>
              <w:rPr>
                <w:rtl/>
              </w:rPr>
            </w:pPr>
            <w:r w:rsidRPr="0002398B">
              <w:rPr>
                <w:rFonts w:hint="cs"/>
                <w:b/>
                <w:bCs/>
                <w:rtl/>
              </w:rPr>
              <w:t>התוספת</w:t>
            </w:r>
            <w:r w:rsidRPr="0002398B">
              <w:rPr>
                <w:b/>
                <w:bCs/>
                <w:rtl/>
              </w:rPr>
              <w:t xml:space="preserve"> </w:t>
            </w:r>
            <w:r w:rsidRPr="0002398B">
              <w:rPr>
                <w:rFonts w:hint="cs"/>
                <w:b/>
                <w:bCs/>
                <w:rtl/>
              </w:rPr>
              <w:t>הראשונה</w:t>
            </w:r>
          </w:p>
        </w:tc>
      </w:tr>
      <w:tr w:rsidR="007D561F" w:rsidRPr="000C68E5" w14:paraId="70DDA134" w14:textId="77777777" w:rsidTr="007D561F">
        <w:trPr>
          <w:cantSplit/>
        </w:trPr>
        <w:tc>
          <w:tcPr>
            <w:tcW w:w="1892" w:type="dxa"/>
          </w:tcPr>
          <w:p w14:paraId="51D6A247" w14:textId="77777777" w:rsidR="007D561F" w:rsidRPr="0046727A" w:rsidRDefault="007D561F" w:rsidP="00ED7045">
            <w:pPr>
              <w:pStyle w:val="TableSideHeading"/>
              <w:ind w:right="0"/>
              <w:rPr>
                <w:rtl/>
              </w:rPr>
            </w:pPr>
          </w:p>
        </w:tc>
        <w:tc>
          <w:tcPr>
            <w:tcW w:w="624" w:type="dxa"/>
          </w:tcPr>
          <w:p w14:paraId="321C7036" w14:textId="77777777" w:rsidR="007D561F" w:rsidRPr="0046727A" w:rsidRDefault="007D561F" w:rsidP="00ED7045">
            <w:pPr>
              <w:pStyle w:val="TableText"/>
              <w:ind w:right="0"/>
              <w:jc w:val="both"/>
              <w:rPr>
                <w:rtl/>
              </w:rPr>
            </w:pPr>
          </w:p>
        </w:tc>
        <w:tc>
          <w:tcPr>
            <w:tcW w:w="7145" w:type="dxa"/>
          </w:tcPr>
          <w:p w14:paraId="0809891C" w14:textId="77777777" w:rsidR="007D561F" w:rsidRPr="0046727A" w:rsidRDefault="007D561F" w:rsidP="00ED7045">
            <w:pPr>
              <w:pStyle w:val="TableBlock"/>
              <w:jc w:val="center"/>
              <w:rPr>
                <w:rtl/>
              </w:rPr>
            </w:pPr>
            <w:r w:rsidRPr="0046727A">
              <w:rPr>
                <w:rFonts w:hint="cs"/>
                <w:rtl/>
              </w:rPr>
              <w:t>(סעי</w:t>
            </w:r>
            <w:r>
              <w:rPr>
                <w:rFonts w:hint="cs"/>
                <w:rtl/>
              </w:rPr>
              <w:t>ף</w:t>
            </w:r>
            <w:r w:rsidRPr="0046727A">
              <w:rPr>
                <w:rFonts w:hint="cs"/>
                <w:rtl/>
              </w:rPr>
              <w:t xml:space="preserve"> 1)</w:t>
            </w:r>
          </w:p>
        </w:tc>
      </w:tr>
      <w:tr w:rsidR="007D561F" w:rsidRPr="000C68E5" w14:paraId="698B7531" w14:textId="77777777" w:rsidTr="007D561F">
        <w:trPr>
          <w:cantSplit/>
        </w:trPr>
        <w:tc>
          <w:tcPr>
            <w:tcW w:w="1892" w:type="dxa"/>
          </w:tcPr>
          <w:p w14:paraId="017E4447" w14:textId="77777777" w:rsidR="007D561F" w:rsidRPr="0046727A" w:rsidRDefault="007D561F" w:rsidP="00ED7045">
            <w:pPr>
              <w:pStyle w:val="TableSideHeading"/>
              <w:ind w:right="0"/>
              <w:rPr>
                <w:rtl/>
              </w:rPr>
            </w:pPr>
          </w:p>
        </w:tc>
        <w:tc>
          <w:tcPr>
            <w:tcW w:w="624" w:type="dxa"/>
          </w:tcPr>
          <w:p w14:paraId="640DF8FC" w14:textId="77777777" w:rsidR="007D561F" w:rsidRPr="0046727A" w:rsidRDefault="007D561F" w:rsidP="00ED7045">
            <w:pPr>
              <w:pStyle w:val="TableText"/>
              <w:ind w:right="0"/>
              <w:jc w:val="both"/>
              <w:rPr>
                <w:rtl/>
              </w:rPr>
            </w:pPr>
          </w:p>
        </w:tc>
        <w:tc>
          <w:tcPr>
            <w:tcW w:w="7145" w:type="dxa"/>
            <w:hideMark/>
          </w:tcPr>
          <w:p w14:paraId="0715C74C" w14:textId="77777777" w:rsidR="007D561F" w:rsidRPr="0046727A" w:rsidRDefault="007D561F" w:rsidP="00ED7045">
            <w:pPr>
              <w:pStyle w:val="TableBlock"/>
              <w:rPr>
                <w:rtl/>
              </w:rPr>
            </w:pPr>
            <w:r>
              <w:rPr>
                <w:rFonts w:hint="cs"/>
                <w:rtl/>
              </w:rPr>
              <w:t>(1)</w:t>
            </w:r>
            <w:r>
              <w:rPr>
                <w:rtl/>
              </w:rPr>
              <w:tab/>
            </w:r>
            <w:r w:rsidRPr="0046727A">
              <w:rPr>
                <w:rFonts w:hint="cs"/>
                <w:rtl/>
              </w:rPr>
              <w:t xml:space="preserve">עיריית ביתר עילית; </w:t>
            </w:r>
          </w:p>
        </w:tc>
      </w:tr>
      <w:tr w:rsidR="007D561F" w:rsidRPr="000C68E5" w14:paraId="578CC3C0" w14:textId="77777777" w:rsidTr="007D561F">
        <w:trPr>
          <w:cantSplit/>
        </w:trPr>
        <w:tc>
          <w:tcPr>
            <w:tcW w:w="1892" w:type="dxa"/>
          </w:tcPr>
          <w:p w14:paraId="261BB6B0" w14:textId="77777777" w:rsidR="007D561F" w:rsidRPr="0046727A" w:rsidRDefault="007D561F" w:rsidP="00ED7045">
            <w:pPr>
              <w:pStyle w:val="TableSideHeading"/>
              <w:ind w:right="0"/>
              <w:rPr>
                <w:rtl/>
              </w:rPr>
            </w:pPr>
          </w:p>
        </w:tc>
        <w:tc>
          <w:tcPr>
            <w:tcW w:w="624" w:type="dxa"/>
          </w:tcPr>
          <w:p w14:paraId="103C4845" w14:textId="77777777" w:rsidR="007D561F" w:rsidRPr="0046727A" w:rsidRDefault="007D561F" w:rsidP="00ED7045">
            <w:pPr>
              <w:pStyle w:val="TableText"/>
              <w:rPr>
                <w:rtl/>
              </w:rPr>
            </w:pPr>
          </w:p>
        </w:tc>
        <w:tc>
          <w:tcPr>
            <w:tcW w:w="7145" w:type="dxa"/>
          </w:tcPr>
          <w:p w14:paraId="73AD39BC" w14:textId="77777777" w:rsidR="007D561F" w:rsidRPr="0046727A" w:rsidRDefault="007D561F" w:rsidP="00ED7045">
            <w:pPr>
              <w:pStyle w:val="TableBlock"/>
              <w:rPr>
                <w:rtl/>
              </w:rPr>
            </w:pPr>
            <w:r>
              <w:rPr>
                <w:rFonts w:hint="cs"/>
                <w:rtl/>
              </w:rPr>
              <w:t>(2)</w:t>
            </w:r>
            <w:r>
              <w:rPr>
                <w:rtl/>
              </w:rPr>
              <w:tab/>
            </w:r>
            <w:r w:rsidRPr="0046727A">
              <w:rPr>
                <w:rFonts w:hint="cs"/>
                <w:rtl/>
              </w:rPr>
              <w:t>עיריית מעלה אדומים;</w:t>
            </w:r>
          </w:p>
        </w:tc>
      </w:tr>
      <w:tr w:rsidR="007D561F" w:rsidRPr="000C68E5" w14:paraId="783D8B1C" w14:textId="77777777" w:rsidTr="007D561F">
        <w:trPr>
          <w:cantSplit/>
        </w:trPr>
        <w:tc>
          <w:tcPr>
            <w:tcW w:w="1892" w:type="dxa"/>
          </w:tcPr>
          <w:p w14:paraId="4E3E90AA" w14:textId="77777777" w:rsidR="007D561F" w:rsidRDefault="007D561F" w:rsidP="00ED7045">
            <w:pPr>
              <w:pStyle w:val="TableSideHeading"/>
              <w:ind w:right="0"/>
              <w:rPr>
                <w:rtl/>
              </w:rPr>
            </w:pPr>
          </w:p>
        </w:tc>
        <w:tc>
          <w:tcPr>
            <w:tcW w:w="624" w:type="dxa"/>
          </w:tcPr>
          <w:p w14:paraId="5140A385" w14:textId="77777777" w:rsidR="007D561F" w:rsidRPr="0046727A" w:rsidRDefault="007D561F" w:rsidP="00ED7045">
            <w:pPr>
              <w:pStyle w:val="TableText"/>
              <w:rPr>
                <w:rtl/>
              </w:rPr>
            </w:pPr>
          </w:p>
        </w:tc>
        <w:tc>
          <w:tcPr>
            <w:tcW w:w="7145" w:type="dxa"/>
          </w:tcPr>
          <w:p w14:paraId="37CE1662" w14:textId="77777777" w:rsidR="007D561F" w:rsidRDefault="007D561F" w:rsidP="00ED7045">
            <w:pPr>
              <w:pStyle w:val="TableBlock"/>
              <w:rPr>
                <w:rtl/>
              </w:rPr>
            </w:pPr>
            <w:r>
              <w:rPr>
                <w:rFonts w:hint="cs"/>
                <w:rtl/>
              </w:rPr>
              <w:t>(3)</w:t>
            </w:r>
            <w:r>
              <w:rPr>
                <w:rtl/>
              </w:rPr>
              <w:tab/>
            </w:r>
            <w:r w:rsidRPr="0046727A">
              <w:rPr>
                <w:rFonts w:hint="cs"/>
                <w:rtl/>
              </w:rPr>
              <w:t>המועצה המקומית גבעת זאב;</w:t>
            </w:r>
          </w:p>
        </w:tc>
      </w:tr>
      <w:tr w:rsidR="007D561F" w:rsidRPr="000C68E5" w14:paraId="7DC0DBCA" w14:textId="77777777" w:rsidTr="007D561F">
        <w:trPr>
          <w:cantSplit/>
        </w:trPr>
        <w:tc>
          <w:tcPr>
            <w:tcW w:w="1892" w:type="dxa"/>
          </w:tcPr>
          <w:p w14:paraId="6C0EA562" w14:textId="77777777" w:rsidR="007D561F" w:rsidRDefault="007D561F" w:rsidP="00ED7045">
            <w:pPr>
              <w:pStyle w:val="TableSideHeading"/>
              <w:ind w:right="0"/>
              <w:rPr>
                <w:rtl/>
              </w:rPr>
            </w:pPr>
          </w:p>
        </w:tc>
        <w:tc>
          <w:tcPr>
            <w:tcW w:w="624" w:type="dxa"/>
          </w:tcPr>
          <w:p w14:paraId="08EB9651" w14:textId="77777777" w:rsidR="007D561F" w:rsidRPr="0046727A" w:rsidRDefault="007D561F" w:rsidP="00ED7045">
            <w:pPr>
              <w:pStyle w:val="TableText"/>
              <w:rPr>
                <w:rtl/>
              </w:rPr>
            </w:pPr>
          </w:p>
        </w:tc>
        <w:tc>
          <w:tcPr>
            <w:tcW w:w="7145" w:type="dxa"/>
          </w:tcPr>
          <w:p w14:paraId="50F262B0" w14:textId="77777777" w:rsidR="007D561F" w:rsidRDefault="007D561F" w:rsidP="00ED7045">
            <w:pPr>
              <w:pStyle w:val="TableBlock"/>
              <w:rPr>
                <w:rtl/>
              </w:rPr>
            </w:pPr>
            <w:r>
              <w:rPr>
                <w:rFonts w:hint="cs"/>
                <w:rtl/>
              </w:rPr>
              <w:t>(4)</w:t>
            </w:r>
            <w:r>
              <w:rPr>
                <w:rtl/>
              </w:rPr>
              <w:tab/>
            </w:r>
            <w:r w:rsidRPr="0046727A">
              <w:rPr>
                <w:rFonts w:hint="cs"/>
                <w:rtl/>
              </w:rPr>
              <w:t>המועצה האזורית גוש עציון;</w:t>
            </w:r>
          </w:p>
        </w:tc>
      </w:tr>
      <w:tr w:rsidR="007D561F" w:rsidRPr="000C68E5" w14:paraId="17D6B38A" w14:textId="77777777" w:rsidTr="007D561F">
        <w:trPr>
          <w:cantSplit/>
        </w:trPr>
        <w:tc>
          <w:tcPr>
            <w:tcW w:w="1892" w:type="dxa"/>
          </w:tcPr>
          <w:p w14:paraId="6ABCDD20" w14:textId="77777777" w:rsidR="007D561F" w:rsidRDefault="007D561F" w:rsidP="00ED7045">
            <w:pPr>
              <w:pStyle w:val="TableSideHeading"/>
              <w:ind w:right="0"/>
              <w:rPr>
                <w:rtl/>
              </w:rPr>
            </w:pPr>
          </w:p>
        </w:tc>
        <w:tc>
          <w:tcPr>
            <w:tcW w:w="624" w:type="dxa"/>
          </w:tcPr>
          <w:p w14:paraId="6A7C017E" w14:textId="77777777" w:rsidR="007D561F" w:rsidRPr="0046727A" w:rsidRDefault="007D561F" w:rsidP="00ED7045">
            <w:pPr>
              <w:pStyle w:val="TableText"/>
              <w:rPr>
                <w:rtl/>
              </w:rPr>
            </w:pPr>
          </w:p>
        </w:tc>
        <w:tc>
          <w:tcPr>
            <w:tcW w:w="7145" w:type="dxa"/>
          </w:tcPr>
          <w:p w14:paraId="32523C0E" w14:textId="77777777" w:rsidR="007D561F" w:rsidRDefault="007D561F" w:rsidP="00ED7045">
            <w:pPr>
              <w:pStyle w:val="TableBlock"/>
              <w:rPr>
                <w:rtl/>
              </w:rPr>
            </w:pPr>
            <w:r>
              <w:rPr>
                <w:rFonts w:hint="cs"/>
                <w:rtl/>
              </w:rPr>
              <w:t>(5)</w:t>
            </w:r>
            <w:r>
              <w:rPr>
                <w:rtl/>
              </w:rPr>
              <w:tab/>
            </w:r>
            <w:r w:rsidRPr="0046727A">
              <w:rPr>
                <w:rFonts w:hint="cs"/>
                <w:rtl/>
              </w:rPr>
              <w:t>המועצה המקומית אפרת.</w:t>
            </w:r>
          </w:p>
        </w:tc>
      </w:tr>
      <w:tr w:rsidR="007D561F" w:rsidRPr="000C68E5" w14:paraId="1A17A91A" w14:textId="77777777" w:rsidTr="007D561F">
        <w:trPr>
          <w:cantSplit/>
        </w:trPr>
        <w:tc>
          <w:tcPr>
            <w:tcW w:w="1892" w:type="dxa"/>
          </w:tcPr>
          <w:p w14:paraId="22B26F6E" w14:textId="77777777" w:rsidR="007D561F" w:rsidRPr="0046727A" w:rsidRDefault="007D561F" w:rsidP="00ED7045">
            <w:pPr>
              <w:pStyle w:val="TableSideHeading"/>
              <w:ind w:right="0"/>
              <w:rPr>
                <w:rtl/>
              </w:rPr>
            </w:pPr>
          </w:p>
        </w:tc>
        <w:tc>
          <w:tcPr>
            <w:tcW w:w="624" w:type="dxa"/>
          </w:tcPr>
          <w:p w14:paraId="32698E94" w14:textId="77777777" w:rsidR="007D561F" w:rsidRPr="0046727A" w:rsidRDefault="007D561F" w:rsidP="00ED7045">
            <w:pPr>
              <w:pStyle w:val="TableText"/>
              <w:rPr>
                <w:rtl/>
              </w:rPr>
            </w:pPr>
          </w:p>
        </w:tc>
        <w:tc>
          <w:tcPr>
            <w:tcW w:w="7145" w:type="dxa"/>
          </w:tcPr>
          <w:p w14:paraId="168F7F69" w14:textId="77777777" w:rsidR="007D561F" w:rsidRPr="001F2B5D" w:rsidRDefault="007D561F" w:rsidP="00ED7045">
            <w:pPr>
              <w:pStyle w:val="TableBlock"/>
              <w:jc w:val="center"/>
              <w:rPr>
                <w:b/>
                <w:bCs/>
                <w:rtl/>
              </w:rPr>
            </w:pPr>
            <w:r w:rsidRPr="001F2B5D">
              <w:rPr>
                <w:rFonts w:hint="cs"/>
                <w:b/>
                <w:bCs/>
                <w:rtl/>
              </w:rPr>
              <w:t>התוספת</w:t>
            </w:r>
            <w:r w:rsidRPr="001F2B5D">
              <w:rPr>
                <w:b/>
                <w:bCs/>
                <w:rtl/>
              </w:rPr>
              <w:t xml:space="preserve"> </w:t>
            </w:r>
            <w:r w:rsidRPr="001F2B5D">
              <w:rPr>
                <w:rFonts w:hint="cs"/>
                <w:b/>
                <w:bCs/>
                <w:rtl/>
              </w:rPr>
              <w:t>השניה</w:t>
            </w:r>
          </w:p>
        </w:tc>
      </w:tr>
      <w:tr w:rsidR="007D561F" w:rsidRPr="000C68E5" w14:paraId="396D5E35" w14:textId="77777777" w:rsidTr="007D561F">
        <w:trPr>
          <w:cantSplit/>
        </w:trPr>
        <w:tc>
          <w:tcPr>
            <w:tcW w:w="1892" w:type="dxa"/>
          </w:tcPr>
          <w:p w14:paraId="18BF08A3" w14:textId="77777777" w:rsidR="007D561F" w:rsidRPr="0046727A" w:rsidRDefault="007D561F" w:rsidP="00ED7045">
            <w:pPr>
              <w:pStyle w:val="TableSideHeading"/>
              <w:ind w:right="0"/>
              <w:rPr>
                <w:rtl/>
              </w:rPr>
            </w:pPr>
          </w:p>
        </w:tc>
        <w:tc>
          <w:tcPr>
            <w:tcW w:w="624" w:type="dxa"/>
          </w:tcPr>
          <w:p w14:paraId="73BB25E9" w14:textId="77777777" w:rsidR="007D561F" w:rsidRPr="0046727A" w:rsidRDefault="007D561F" w:rsidP="00ED7045">
            <w:pPr>
              <w:pStyle w:val="TableText"/>
              <w:rPr>
                <w:rtl/>
              </w:rPr>
            </w:pPr>
          </w:p>
        </w:tc>
        <w:tc>
          <w:tcPr>
            <w:tcW w:w="7145" w:type="dxa"/>
          </w:tcPr>
          <w:p w14:paraId="6DAA4D88" w14:textId="77777777" w:rsidR="007D561F" w:rsidRPr="0046727A" w:rsidRDefault="007D561F" w:rsidP="00ED7045">
            <w:pPr>
              <w:pStyle w:val="TableBlock"/>
              <w:jc w:val="center"/>
              <w:rPr>
                <w:rtl/>
              </w:rPr>
            </w:pPr>
            <w:r w:rsidRPr="0046727A">
              <w:rPr>
                <w:rFonts w:hint="cs"/>
                <w:rtl/>
              </w:rPr>
              <w:t>(סעי</w:t>
            </w:r>
            <w:r>
              <w:rPr>
                <w:rFonts w:hint="cs"/>
                <w:rtl/>
              </w:rPr>
              <w:t>ף</w:t>
            </w:r>
            <w:r w:rsidRPr="0046727A">
              <w:rPr>
                <w:rFonts w:hint="cs"/>
                <w:rtl/>
              </w:rPr>
              <w:t xml:space="preserve"> </w:t>
            </w:r>
            <w:r>
              <w:rPr>
                <w:rFonts w:hint="cs"/>
                <w:rtl/>
              </w:rPr>
              <w:t>3</w:t>
            </w:r>
            <w:r w:rsidRPr="0046727A">
              <w:rPr>
                <w:rFonts w:hint="cs"/>
                <w:rtl/>
              </w:rPr>
              <w:t>)</w:t>
            </w:r>
          </w:p>
        </w:tc>
      </w:tr>
      <w:tr w:rsidR="007D561F" w:rsidRPr="000C68E5" w14:paraId="0504BE0D" w14:textId="77777777" w:rsidTr="007D561F">
        <w:trPr>
          <w:cantSplit/>
        </w:trPr>
        <w:tc>
          <w:tcPr>
            <w:tcW w:w="1892" w:type="dxa"/>
          </w:tcPr>
          <w:p w14:paraId="33C3DE36" w14:textId="77777777" w:rsidR="007D561F" w:rsidRPr="0046727A" w:rsidRDefault="007D561F" w:rsidP="00ED7045">
            <w:pPr>
              <w:pStyle w:val="TableSideHeading"/>
              <w:ind w:right="0"/>
              <w:rPr>
                <w:rtl/>
              </w:rPr>
            </w:pPr>
          </w:p>
        </w:tc>
        <w:tc>
          <w:tcPr>
            <w:tcW w:w="624" w:type="dxa"/>
          </w:tcPr>
          <w:p w14:paraId="7C3097FA" w14:textId="77777777" w:rsidR="007D561F" w:rsidRPr="0046727A" w:rsidRDefault="007D561F" w:rsidP="00ED7045">
            <w:pPr>
              <w:pStyle w:val="TableText"/>
              <w:rPr>
                <w:rtl/>
              </w:rPr>
            </w:pPr>
          </w:p>
        </w:tc>
        <w:tc>
          <w:tcPr>
            <w:tcW w:w="7145" w:type="dxa"/>
          </w:tcPr>
          <w:p w14:paraId="6F435445" w14:textId="77777777" w:rsidR="007D561F" w:rsidRPr="0046727A" w:rsidRDefault="007D561F" w:rsidP="00ED7045">
            <w:pPr>
              <w:pStyle w:val="TableBlock"/>
              <w:rPr>
                <w:rtl/>
              </w:rPr>
            </w:pPr>
            <w:r>
              <w:rPr>
                <w:rFonts w:hint="cs"/>
                <w:rtl/>
              </w:rPr>
              <w:t>(1)</w:t>
            </w:r>
            <w:r>
              <w:rPr>
                <w:rtl/>
              </w:rPr>
              <w:tab/>
            </w:r>
            <w:r>
              <w:rPr>
                <w:rFonts w:hint="cs"/>
                <w:rtl/>
              </w:rPr>
              <w:t>מחנה שועפט;</w:t>
            </w:r>
          </w:p>
        </w:tc>
      </w:tr>
      <w:tr w:rsidR="007D561F" w:rsidRPr="000C68E5" w14:paraId="1AE84B54" w14:textId="77777777" w:rsidTr="007D561F">
        <w:trPr>
          <w:cantSplit/>
        </w:trPr>
        <w:tc>
          <w:tcPr>
            <w:tcW w:w="1892" w:type="dxa"/>
          </w:tcPr>
          <w:p w14:paraId="21FBAA41" w14:textId="77777777" w:rsidR="007D561F" w:rsidRPr="0046727A" w:rsidRDefault="007D561F" w:rsidP="00ED7045">
            <w:pPr>
              <w:pStyle w:val="TableSideHeading"/>
              <w:ind w:right="0"/>
              <w:rPr>
                <w:rtl/>
              </w:rPr>
            </w:pPr>
          </w:p>
        </w:tc>
        <w:tc>
          <w:tcPr>
            <w:tcW w:w="624" w:type="dxa"/>
          </w:tcPr>
          <w:p w14:paraId="4EBF3590" w14:textId="77777777" w:rsidR="007D561F" w:rsidRPr="0046727A" w:rsidRDefault="007D561F" w:rsidP="00ED7045">
            <w:pPr>
              <w:pStyle w:val="TableText"/>
              <w:rPr>
                <w:rtl/>
              </w:rPr>
            </w:pPr>
          </w:p>
        </w:tc>
        <w:tc>
          <w:tcPr>
            <w:tcW w:w="7145" w:type="dxa"/>
          </w:tcPr>
          <w:p w14:paraId="1876A6C3" w14:textId="77777777" w:rsidR="007D561F" w:rsidRPr="0046727A" w:rsidRDefault="007D561F" w:rsidP="00ED7045">
            <w:pPr>
              <w:pStyle w:val="TableBlock"/>
              <w:rPr>
                <w:rtl/>
              </w:rPr>
            </w:pPr>
            <w:r>
              <w:rPr>
                <w:rFonts w:hint="cs"/>
                <w:rtl/>
              </w:rPr>
              <w:t>(2)</w:t>
            </w:r>
            <w:r>
              <w:rPr>
                <w:rtl/>
              </w:rPr>
              <w:tab/>
            </w:r>
            <w:r>
              <w:rPr>
                <w:rFonts w:hint="cs"/>
                <w:rtl/>
              </w:rPr>
              <w:t>כפר עקב;</w:t>
            </w:r>
          </w:p>
        </w:tc>
      </w:tr>
      <w:tr w:rsidR="007D561F" w:rsidRPr="000C68E5" w14:paraId="72A17A96" w14:textId="77777777" w:rsidTr="007D561F">
        <w:trPr>
          <w:cantSplit/>
        </w:trPr>
        <w:tc>
          <w:tcPr>
            <w:tcW w:w="1892" w:type="dxa"/>
          </w:tcPr>
          <w:p w14:paraId="5C9E89BD" w14:textId="77777777" w:rsidR="007D561F" w:rsidRPr="0046727A" w:rsidRDefault="007D561F" w:rsidP="00ED7045">
            <w:pPr>
              <w:pStyle w:val="TableSideHeading"/>
              <w:ind w:right="0"/>
              <w:rPr>
                <w:rtl/>
              </w:rPr>
            </w:pPr>
          </w:p>
        </w:tc>
        <w:tc>
          <w:tcPr>
            <w:tcW w:w="624" w:type="dxa"/>
          </w:tcPr>
          <w:p w14:paraId="491708A7" w14:textId="77777777" w:rsidR="007D561F" w:rsidRPr="0046727A" w:rsidRDefault="007D561F" w:rsidP="00ED7045">
            <w:pPr>
              <w:pStyle w:val="TableText"/>
              <w:rPr>
                <w:rtl/>
              </w:rPr>
            </w:pPr>
          </w:p>
        </w:tc>
        <w:tc>
          <w:tcPr>
            <w:tcW w:w="7145" w:type="dxa"/>
          </w:tcPr>
          <w:p w14:paraId="13B3C537" w14:textId="77777777" w:rsidR="007D561F" w:rsidRDefault="007D561F" w:rsidP="00ED7045">
            <w:pPr>
              <w:pStyle w:val="TableBlock"/>
              <w:rPr>
                <w:rtl/>
              </w:rPr>
            </w:pPr>
            <w:r>
              <w:rPr>
                <w:rFonts w:hint="cs"/>
                <w:rtl/>
              </w:rPr>
              <w:t>(3)</w:t>
            </w:r>
            <w:r>
              <w:rPr>
                <w:rtl/>
              </w:rPr>
              <w:tab/>
            </w:r>
            <w:r>
              <w:rPr>
                <w:rFonts w:hint="cs"/>
                <w:rtl/>
              </w:rPr>
              <w:t>ענאתא.</w:t>
            </w:r>
          </w:p>
        </w:tc>
      </w:tr>
    </w:tbl>
    <w:p w14:paraId="7F6961CA" w14:textId="77777777" w:rsidR="002D1EE3" w:rsidRDefault="002D1EE3" w:rsidP="002D1EE3">
      <w:pPr>
        <w:pStyle w:val="HeadDivreiHesber"/>
        <w:rPr>
          <w:rtl/>
        </w:rPr>
      </w:pPr>
      <w:r w:rsidRPr="0027450A">
        <w:rPr>
          <w:rFonts w:hint="cs"/>
          <w:rtl/>
        </w:rPr>
        <w:t>דברי הסבר</w:t>
      </w:r>
    </w:p>
    <w:p w14:paraId="1CEED2F9" w14:textId="77777777" w:rsidR="007D561F" w:rsidRPr="00117372" w:rsidRDefault="007D561F" w:rsidP="007D561F">
      <w:pPr>
        <w:pStyle w:val="Hesber"/>
      </w:pPr>
      <w:r w:rsidRPr="00117372">
        <w:rPr>
          <w:rFonts w:hint="cs"/>
          <w:rtl/>
        </w:rPr>
        <w:t xml:space="preserve">ירושלים היא בירת ישראל ובירת העם היהודי זה למעלה </w:t>
      </w:r>
      <w:r>
        <w:rPr>
          <w:rFonts w:hint="cs"/>
          <w:rtl/>
        </w:rPr>
        <w:t>משלושת אלפים שנים. לפני חמישים שנים</w:t>
      </w:r>
      <w:r w:rsidRPr="00117372">
        <w:rPr>
          <w:rFonts w:hint="cs"/>
          <w:rtl/>
        </w:rPr>
        <w:t xml:space="preserve"> שוחררה העיר ואוחדה מחדש.</w:t>
      </w:r>
    </w:p>
    <w:p w14:paraId="1120617E" w14:textId="77777777" w:rsidR="007D561F" w:rsidRPr="00117372" w:rsidRDefault="007D561F" w:rsidP="007D561F">
      <w:pPr>
        <w:pStyle w:val="Hesber"/>
        <w:rPr>
          <w:rtl/>
        </w:rPr>
      </w:pPr>
      <w:r w:rsidRPr="00117372">
        <w:rPr>
          <w:rFonts w:hint="cs"/>
          <w:rtl/>
        </w:rPr>
        <w:t>בשנים האחרונות, על רקע התפתחויות דמוגרפיות, תרבותיות, סוציאליות ומדיניות, נחלש מעמדה של ירושלים כעיר החשובה והמובילה בישראל והחלה נטישה של אוכלוסייה חזקה ומובילה לעבר ערי השפלה. המושג ירושלים בירת ישראל הנצחית היטשטש, איבד מסמליותו ונפרט לפרוטות של דמוגרפיה ולריאליזם מדיני עכשווי מול הנחישות הפלסטינית לשלוט בירושלים ובמקומות הקדושים. החוק המוצע יאפשר לשנות את המגמה</w:t>
      </w:r>
      <w:r>
        <w:rPr>
          <w:rFonts w:hint="cs"/>
          <w:rtl/>
        </w:rPr>
        <w:t xml:space="preserve"> האמורה</w:t>
      </w:r>
      <w:r w:rsidRPr="00117372">
        <w:rPr>
          <w:rFonts w:hint="cs"/>
          <w:rtl/>
        </w:rPr>
        <w:t>, להחזיר לירושלים את מעמדה כסמל וכליבו של העם היהודי ולגייס את מיטב הכוחות בקרב ישראל ויהדות העולם לחיזוקה של ירושלים.</w:t>
      </w:r>
    </w:p>
    <w:p w14:paraId="2248D9BF" w14:textId="77777777" w:rsidR="007D561F" w:rsidRDefault="007D561F" w:rsidP="007D561F">
      <w:pPr>
        <w:pStyle w:val="Hesber"/>
        <w:rPr>
          <w:rtl/>
        </w:rPr>
      </w:pPr>
      <w:r>
        <w:rPr>
          <w:rFonts w:hint="cs"/>
          <w:rtl/>
        </w:rPr>
        <w:t xml:space="preserve">מוצע לקבוע כי </w:t>
      </w:r>
      <w:r w:rsidRPr="00117372">
        <w:rPr>
          <w:rFonts w:hint="cs"/>
          <w:rtl/>
        </w:rPr>
        <w:t xml:space="preserve">יישובי סובב ירושלים </w:t>
      </w:r>
      <w:r>
        <w:rPr>
          <w:rFonts w:hint="cs"/>
          <w:rtl/>
        </w:rPr>
        <w:t xml:space="preserve">המנויים בתוספת הראשונה יהיו חלק מירושלים. כך יתווספו </w:t>
      </w:r>
      <w:r w:rsidRPr="00117372">
        <w:rPr>
          <w:rFonts w:hint="cs"/>
          <w:rtl/>
        </w:rPr>
        <w:t xml:space="preserve">לירושלים אוכלוסייה שתאפשר לשמור על איזון דמוגרפי, </w:t>
      </w:r>
      <w:r>
        <w:rPr>
          <w:rFonts w:hint="cs"/>
          <w:rtl/>
        </w:rPr>
        <w:t>ו</w:t>
      </w:r>
      <w:r w:rsidRPr="00117372">
        <w:rPr>
          <w:rFonts w:hint="cs"/>
          <w:rtl/>
        </w:rPr>
        <w:t>שטחים רבים שיאפשרו תוספת בנייה למגורים, מסחר ותיירות תוך שמירה על ריאות ירוקות.</w:t>
      </w:r>
    </w:p>
    <w:p w14:paraId="5FD625FD" w14:textId="77777777" w:rsidR="007D561F" w:rsidRPr="00117372" w:rsidRDefault="007D561F" w:rsidP="007D561F">
      <w:pPr>
        <w:pStyle w:val="Hesber"/>
        <w:rPr>
          <w:rtl/>
        </w:rPr>
      </w:pPr>
      <w:r>
        <w:rPr>
          <w:rFonts w:hint="cs"/>
          <w:rtl/>
        </w:rPr>
        <w:t xml:space="preserve">עם זאת, ליישובים שיצורפו לירושלים תישמר </w:t>
      </w:r>
      <w:r w:rsidRPr="00117372">
        <w:rPr>
          <w:rFonts w:hint="cs"/>
          <w:rtl/>
        </w:rPr>
        <w:t xml:space="preserve">אוטונומיה מוניציפאלית </w:t>
      </w:r>
      <w:r>
        <w:rPr>
          <w:rFonts w:hint="cs"/>
          <w:rtl/>
        </w:rPr>
        <w:t xml:space="preserve">מסוימת, שכן הם ייחשבו עיריות בת של ירושלים ושר הפנים יקבע את חלוקת הסמכויות בין עיריית ירושלים ובין עיריות הבת. </w:t>
      </w:r>
    </w:p>
    <w:p w14:paraId="357C3E31" w14:textId="77777777" w:rsidR="007D561F" w:rsidRDefault="007D561F" w:rsidP="007D561F">
      <w:pPr>
        <w:pStyle w:val="Hesber"/>
        <w:rPr>
          <w:rtl/>
        </w:rPr>
      </w:pPr>
      <w:r>
        <w:rPr>
          <w:rFonts w:hint="cs"/>
          <w:rtl/>
        </w:rPr>
        <w:t>עוד מוצע כי שכונות של ירושלים המופרדות ממנה באמצעות גדר ההפרדה, המנויות בתוספת השנייה, יהוו אף הן עיריות בת של ירושלים כאמור.</w:t>
      </w:r>
    </w:p>
    <w:p w14:paraId="5893C33A" w14:textId="4E7BD812" w:rsidR="00845DB4" w:rsidRPr="00845DB4" w:rsidRDefault="00845DB4" w:rsidP="00845DB4">
      <w:pPr>
        <w:pStyle w:val="Hesber"/>
      </w:pPr>
      <w:r w:rsidRPr="00845DB4">
        <w:rPr>
          <w:rtl/>
        </w:rPr>
        <w:t>הצעות חוק זהות הונחו על שולחן הכנסת העשרים על ידי חבר הכנסת יואב קיש וקבוצת חב</w:t>
      </w:r>
      <w:r>
        <w:rPr>
          <w:rtl/>
        </w:rPr>
        <w:t>רי הכנסת (פ/4109/20; פ/4386/20)</w:t>
      </w:r>
      <w:r>
        <w:rPr>
          <w:rFonts w:hint="cs"/>
          <w:rtl/>
        </w:rPr>
        <w:t xml:space="preserve"> ועל שולחן הכנסת העשרים ושתיים על ידי חבר הכנסת יואב קיש (פ/829/12).</w:t>
      </w:r>
    </w:p>
    <w:p w14:paraId="70BB30B6" w14:textId="77777777" w:rsidR="00845DB4" w:rsidRDefault="00845DB4" w:rsidP="007D561F">
      <w:pPr>
        <w:pStyle w:val="Hesber"/>
        <w:rPr>
          <w:rtl/>
        </w:rPr>
      </w:pPr>
    </w:p>
    <w:p w14:paraId="7A6AAB20" w14:textId="77777777" w:rsidR="007D561F" w:rsidRDefault="007D561F" w:rsidP="007D561F">
      <w:pPr>
        <w:pStyle w:val="Hesber"/>
      </w:pPr>
    </w:p>
    <w:p w14:paraId="1D63D1BB" w14:textId="77777777" w:rsidR="008E2543" w:rsidRPr="00A83796" w:rsidRDefault="008E2543" w:rsidP="00A83796">
      <w:pPr>
        <w:pStyle w:val="Hesber"/>
        <w:rPr>
          <w:rtl/>
        </w:rPr>
      </w:pPr>
      <w:r w:rsidRPr="00A83796">
        <w:rPr>
          <w:rtl/>
        </w:rPr>
        <w:t>---------------------------------</w:t>
      </w:r>
    </w:p>
    <w:p w14:paraId="1971AC08" w14:textId="77777777" w:rsidR="008E2543" w:rsidRPr="00A83796" w:rsidRDefault="008E2543" w:rsidP="00A83796">
      <w:pPr>
        <w:pStyle w:val="Hesber"/>
        <w:rPr>
          <w:rtl/>
        </w:rPr>
      </w:pPr>
      <w:r w:rsidRPr="00A83796">
        <w:rPr>
          <w:rFonts w:hint="cs"/>
          <w:rtl/>
        </w:rPr>
        <w:t>הוגשה</w:t>
      </w:r>
      <w:r w:rsidRPr="00A83796">
        <w:rPr>
          <w:rtl/>
        </w:rPr>
        <w:t xml:space="preserve"> </w:t>
      </w:r>
      <w:r w:rsidRPr="00A83796">
        <w:rPr>
          <w:rFonts w:hint="cs"/>
          <w:rtl/>
        </w:rPr>
        <w:t>ליו</w:t>
      </w:r>
      <w:r w:rsidRPr="00A83796">
        <w:rPr>
          <w:rtl/>
        </w:rPr>
        <w:t>"</w:t>
      </w:r>
      <w:r w:rsidRPr="00A83796">
        <w:rPr>
          <w:rFonts w:hint="cs"/>
          <w:rtl/>
        </w:rPr>
        <w:t>ר</w:t>
      </w:r>
      <w:r w:rsidRPr="00A83796">
        <w:rPr>
          <w:rtl/>
        </w:rPr>
        <w:t xml:space="preserve"> </w:t>
      </w:r>
      <w:r w:rsidRPr="00A83796">
        <w:rPr>
          <w:rFonts w:hint="cs"/>
          <w:rtl/>
        </w:rPr>
        <w:t>הכנסת</w:t>
      </w:r>
      <w:r w:rsidRPr="00A83796">
        <w:rPr>
          <w:rtl/>
        </w:rPr>
        <w:t xml:space="preserve"> </w:t>
      </w:r>
      <w:r w:rsidRPr="00A83796">
        <w:rPr>
          <w:rFonts w:hint="cs"/>
          <w:rtl/>
        </w:rPr>
        <w:t>והסגנים</w:t>
      </w:r>
    </w:p>
    <w:p w14:paraId="38E1721E" w14:textId="77777777" w:rsidR="008E2543" w:rsidRPr="00A83796" w:rsidRDefault="008E2543" w:rsidP="00A83796">
      <w:pPr>
        <w:pStyle w:val="Hesber"/>
        <w:rPr>
          <w:rtl/>
        </w:rPr>
      </w:pPr>
      <w:r w:rsidRPr="00A83796">
        <w:rPr>
          <w:rFonts w:hint="cs"/>
          <w:rtl/>
        </w:rPr>
        <w:t>והונחה</w:t>
      </w:r>
      <w:r w:rsidRPr="00A83796">
        <w:rPr>
          <w:rtl/>
        </w:rPr>
        <w:t xml:space="preserve"> </w:t>
      </w:r>
      <w:r w:rsidRPr="00A83796">
        <w:rPr>
          <w:rFonts w:hint="cs"/>
          <w:rtl/>
        </w:rPr>
        <w:t>על</w:t>
      </w:r>
      <w:r w:rsidRPr="00A83796">
        <w:rPr>
          <w:rtl/>
        </w:rPr>
        <w:t xml:space="preserve"> </w:t>
      </w:r>
      <w:r w:rsidRPr="00A83796">
        <w:rPr>
          <w:rFonts w:hint="cs"/>
          <w:rtl/>
        </w:rPr>
        <w:t>שולחן</w:t>
      </w:r>
      <w:r w:rsidRPr="00A83796">
        <w:rPr>
          <w:rtl/>
        </w:rPr>
        <w:t xml:space="preserve"> </w:t>
      </w:r>
      <w:r w:rsidRPr="00A83796">
        <w:rPr>
          <w:rFonts w:hint="cs"/>
          <w:rtl/>
        </w:rPr>
        <w:t>הכנסת</w:t>
      </w:r>
      <w:r w:rsidRPr="00A83796">
        <w:rPr>
          <w:rtl/>
        </w:rPr>
        <w:t xml:space="preserve"> </w:t>
      </w:r>
      <w:r w:rsidRPr="00A83796">
        <w:rPr>
          <w:rFonts w:hint="cs"/>
          <w:rtl/>
        </w:rPr>
        <w:t>ביום</w:t>
      </w:r>
    </w:p>
    <w:p w14:paraId="7F6961CB" w14:textId="72047A28" w:rsidR="00E13C27" w:rsidRPr="007D561F" w:rsidRDefault="00EB535F" w:rsidP="00EB535F">
      <w:pPr>
        <w:pStyle w:val="Hesber"/>
        <w:rPr>
          <w:rtl/>
        </w:rPr>
      </w:pPr>
      <w:r>
        <w:rPr>
          <w:rtl/>
        </w:rPr>
        <w:t>כ"ו בניסן התש"ף – 20.4.20</w:t>
      </w:r>
      <w:bookmarkStart w:id="8" w:name="_GoBack"/>
      <w:bookmarkEnd w:id="8"/>
    </w:p>
    <w:sectPr w:rsidR="00E13C27" w:rsidRPr="007D561F"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32DEB813"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EB535F">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29C2"/>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61F"/>
    <w:rsid w:val="007D585A"/>
    <w:rsid w:val="007D5A12"/>
    <w:rsid w:val="007E59F9"/>
    <w:rsid w:val="00810BCD"/>
    <w:rsid w:val="00812C98"/>
    <w:rsid w:val="00814D92"/>
    <w:rsid w:val="0083181D"/>
    <w:rsid w:val="00843EB2"/>
    <w:rsid w:val="00845DB4"/>
    <w:rsid w:val="00865572"/>
    <w:rsid w:val="00874BBC"/>
    <w:rsid w:val="00892135"/>
    <w:rsid w:val="00895449"/>
    <w:rsid w:val="00897879"/>
    <w:rsid w:val="008A6870"/>
    <w:rsid w:val="008C2DDC"/>
    <w:rsid w:val="008C7516"/>
    <w:rsid w:val="008E2543"/>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B535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DB39CD1-014B-4374-AB37-413393C4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17859">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868AFE9-2B52-4A57-AF32-CD5C92451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0962174B-5CEE-4523-BD05-C9391093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411</Words>
  <Characters>2059</Characters>
  <Application>Microsoft Office Word</Application>
  <DocSecurity>0</DocSecurity>
  <Lines>17</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8</cp:revision>
  <cp:lastPrinted>2020-03-16T14:53:00Z</cp:lastPrinted>
  <dcterms:created xsi:type="dcterms:W3CDTF">2015-04-20T09:58:00Z</dcterms:created>
  <dcterms:modified xsi:type="dcterms:W3CDTF">2020-04-18T17:38:00Z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2085864</vt:r8>
  </property>
</Properties>
</file>