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FF9B1" w14:textId="77777777" w:rsidR="008525E2" w:rsidRDefault="00C7276B" w:rsidP="008525E2">
      <w:pPr>
        <w:jc w:val="center"/>
        <w:rPr>
          <w:b/>
          <w:bCs/>
          <w:sz w:val="28"/>
          <w:szCs w:val="28"/>
          <w:rtl/>
        </w:rPr>
      </w:pPr>
      <w:bookmarkStart w:id="0" w:name="_GoBack"/>
      <w:bookmarkEnd w:id="0"/>
      <w:r>
        <w:rPr>
          <w:noProof/>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2BEAC615" w14:textId="77777777" w:rsidR="008525E2" w:rsidRDefault="008525E2" w:rsidP="008525E2">
      <w:pPr>
        <w:jc w:val="center"/>
        <w:rPr>
          <w:b/>
          <w:bCs/>
          <w:sz w:val="28"/>
          <w:szCs w:val="28"/>
          <w:rtl/>
        </w:rPr>
      </w:pPr>
    </w:p>
    <w:p w14:paraId="68BDD1BE" w14:textId="6BA2721B" w:rsidR="008525E2" w:rsidRDefault="00220CAF" w:rsidP="006513D2">
      <w:pPr>
        <w:jc w:val="center"/>
        <w:rPr>
          <w:b/>
          <w:bCs/>
          <w:sz w:val="28"/>
          <w:szCs w:val="28"/>
          <w:rtl/>
        </w:rPr>
      </w:pPr>
      <w:bookmarkStart w:id="1" w:name="LGSName"/>
      <w:r>
        <w:rPr>
          <w:rStyle w:val="HeadHatzaotHok0"/>
          <w:rFonts w:hint="cs"/>
          <w:rtl/>
        </w:rPr>
        <w:t xml:space="preserve">חוק סמכויות מיוחדות להתמודדות עם נגיף הקורונה החדש (הוראת שעה) (תיקון מס' 2), </w:t>
      </w:r>
      <w:proofErr w:type="spellStart"/>
      <w:r>
        <w:rPr>
          <w:rStyle w:val="HeadHatzaotHok0"/>
          <w:rFonts w:hint="cs"/>
          <w:rtl/>
        </w:rPr>
        <w:t>התשפ"א</w:t>
      </w:r>
      <w:proofErr w:type="spellEnd"/>
      <w:r w:rsidR="006513D2">
        <w:rPr>
          <w:rStyle w:val="HeadHatzaotHok0"/>
          <w:rFonts w:hint="eastAsia"/>
          <w:rtl/>
        </w:rPr>
        <w:t>–</w:t>
      </w:r>
      <w:r>
        <w:rPr>
          <w:rStyle w:val="HeadHatzaotHok0"/>
          <w:rFonts w:hint="cs"/>
          <w:rtl/>
        </w:rPr>
        <w:t>2020</w:t>
      </w:r>
      <w:bookmarkEnd w:id="1"/>
      <w:r w:rsidR="008525E2">
        <w:rPr>
          <w:rStyle w:val="a8"/>
          <w:b/>
          <w:bCs/>
          <w:sz w:val="28"/>
          <w:szCs w:val="28"/>
          <w:rtl/>
        </w:rPr>
        <w:footnoteReference w:customMarkFollows="1" w:id="1"/>
        <w:t>*</w:t>
      </w:r>
    </w:p>
    <w:p w14:paraId="5904B3EB" w14:textId="77777777" w:rsidR="008525E2" w:rsidRDefault="008525E2" w:rsidP="008525E2">
      <w:pPr>
        <w:rPr>
          <w:sz w:val="26"/>
          <w:szCs w:val="26"/>
          <w:rtl/>
        </w:rPr>
      </w:pPr>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624"/>
        <w:gridCol w:w="4023"/>
      </w:tblGrid>
      <w:tr w:rsidR="003103A0" w:rsidRPr="009B75C6" w14:paraId="037BC2EF" w14:textId="77777777" w:rsidTr="00EF2C4E">
        <w:trPr>
          <w:cantSplit/>
        </w:trPr>
        <w:tc>
          <w:tcPr>
            <w:tcW w:w="1869" w:type="dxa"/>
            <w:shd w:val="clear" w:color="auto" w:fill="auto"/>
          </w:tcPr>
          <w:p w14:paraId="0F2DEAB2" w14:textId="77777777" w:rsidR="003103A0" w:rsidRPr="009B75C6" w:rsidRDefault="003103A0" w:rsidP="003103A0">
            <w:pPr>
              <w:pStyle w:val="TableSideHeading"/>
              <w:keepLines w:val="0"/>
              <w:ind w:right="-28"/>
              <w:rPr>
                <w:rtl/>
              </w:rPr>
            </w:pPr>
            <w:r>
              <w:rPr>
                <w:rFonts w:hint="cs"/>
                <w:rtl/>
              </w:rPr>
              <w:t>החלפת</w:t>
            </w:r>
            <w:r w:rsidRPr="009B75C6">
              <w:rPr>
                <w:rtl/>
              </w:rPr>
              <w:t xml:space="preserve"> כותרת </w:t>
            </w:r>
            <w:r>
              <w:rPr>
                <w:rtl/>
              </w:rPr>
              <w:br/>
            </w:r>
            <w:r w:rsidRPr="009B75C6">
              <w:rPr>
                <w:rtl/>
              </w:rPr>
              <w:t xml:space="preserve">פרק ב' </w:t>
            </w:r>
          </w:p>
        </w:tc>
        <w:tc>
          <w:tcPr>
            <w:tcW w:w="624" w:type="dxa"/>
            <w:shd w:val="clear" w:color="auto" w:fill="auto"/>
          </w:tcPr>
          <w:p w14:paraId="6F9176E4" w14:textId="77777777" w:rsidR="003103A0" w:rsidRPr="009B75C6" w:rsidRDefault="003103A0" w:rsidP="003103A0">
            <w:pPr>
              <w:pStyle w:val="TableText"/>
              <w:keepLines w:val="0"/>
              <w:ind w:right="-28"/>
              <w:rPr>
                <w:rtl/>
              </w:rPr>
            </w:pPr>
            <w:r w:rsidRPr="009B75C6">
              <w:rPr>
                <w:rtl/>
              </w:rPr>
              <w:t>1.</w:t>
            </w:r>
          </w:p>
        </w:tc>
        <w:tc>
          <w:tcPr>
            <w:tcW w:w="7143" w:type="dxa"/>
            <w:gridSpan w:val="6"/>
            <w:shd w:val="clear" w:color="auto" w:fill="auto"/>
          </w:tcPr>
          <w:p w14:paraId="3A8B0CED" w14:textId="77777777" w:rsidR="003103A0" w:rsidRPr="00921B56" w:rsidRDefault="003103A0" w:rsidP="00EF2C4E">
            <w:pPr>
              <w:pStyle w:val="TableBlock"/>
              <w:rPr>
                <w:rtl/>
              </w:rPr>
            </w:pPr>
            <w:r w:rsidRPr="00921B56">
              <w:rPr>
                <w:rtl/>
              </w:rPr>
              <w:t xml:space="preserve">בחוק סמכויות מיוחדות להתמודדות עם נגיף הקורונה החדש (הוראת שעה), </w:t>
            </w:r>
            <w:proofErr w:type="spellStart"/>
            <w:r w:rsidRPr="00921B56">
              <w:rPr>
                <w:rtl/>
              </w:rPr>
              <w:t>התש"ף</w:t>
            </w:r>
            <w:proofErr w:type="spellEnd"/>
            <w:r w:rsidRPr="00921B56">
              <w:rPr>
                <w:rtl/>
              </w:rPr>
              <w:t>–2020‏</w:t>
            </w:r>
            <w:r w:rsidRPr="00EF2C4E">
              <w:rPr>
                <w:rStyle w:val="a8"/>
                <w:rFonts w:ascii="David" w:hAnsi="David"/>
                <w:sz w:val="26"/>
                <w:rtl/>
              </w:rPr>
              <w:footnoteReference w:id="2"/>
            </w:r>
            <w:r w:rsidRPr="00921B56">
              <w:rPr>
                <w:rtl/>
              </w:rPr>
              <w:t xml:space="preserve"> (להלן – החוק העיקרי), במקום כותרת פרק ב' יבוא:</w:t>
            </w:r>
          </w:p>
        </w:tc>
      </w:tr>
      <w:tr w:rsidR="003103A0" w:rsidRPr="009B75C6" w14:paraId="118B9FEB" w14:textId="77777777" w:rsidTr="00EF2C4E">
        <w:trPr>
          <w:cantSplit/>
        </w:trPr>
        <w:tc>
          <w:tcPr>
            <w:tcW w:w="1869" w:type="dxa"/>
            <w:shd w:val="clear" w:color="auto" w:fill="auto"/>
          </w:tcPr>
          <w:p w14:paraId="3DF1EE57" w14:textId="77777777" w:rsidR="003103A0" w:rsidRPr="009B75C6" w:rsidRDefault="003103A0" w:rsidP="003103A0">
            <w:pPr>
              <w:pStyle w:val="TableSideHeading"/>
              <w:keepLines w:val="0"/>
              <w:ind w:right="-28"/>
              <w:rPr>
                <w:rtl/>
              </w:rPr>
            </w:pPr>
          </w:p>
        </w:tc>
        <w:tc>
          <w:tcPr>
            <w:tcW w:w="624" w:type="dxa"/>
            <w:shd w:val="clear" w:color="auto" w:fill="auto"/>
          </w:tcPr>
          <w:p w14:paraId="05515D32" w14:textId="77777777" w:rsidR="003103A0" w:rsidRPr="009B75C6" w:rsidRDefault="003103A0" w:rsidP="003103A0">
            <w:pPr>
              <w:pStyle w:val="TableText"/>
              <w:keepLines w:val="0"/>
              <w:ind w:right="-28"/>
              <w:rPr>
                <w:rtl/>
              </w:rPr>
            </w:pPr>
          </w:p>
        </w:tc>
        <w:tc>
          <w:tcPr>
            <w:tcW w:w="7143" w:type="dxa"/>
            <w:gridSpan w:val="6"/>
            <w:shd w:val="clear" w:color="auto" w:fill="auto"/>
          </w:tcPr>
          <w:p w14:paraId="1D70F59F" w14:textId="77777777" w:rsidR="003103A0" w:rsidRPr="009B75C6" w:rsidRDefault="003103A0" w:rsidP="00EF2C4E">
            <w:pPr>
              <w:pStyle w:val="TableHead"/>
              <w:outlineLvl w:val="9"/>
              <w:rPr>
                <w:rtl/>
              </w:rPr>
            </w:pPr>
            <w:r w:rsidRPr="009B75C6">
              <w:rPr>
                <w:rtl/>
              </w:rPr>
              <w:t>"פרק ב': הכרזה על מצב חירום או מצב חירום מיוחד בשל נגיף הקורונה".</w:t>
            </w:r>
          </w:p>
        </w:tc>
      </w:tr>
      <w:tr w:rsidR="003103A0" w:rsidRPr="009B75C6" w14:paraId="23B8EC1A" w14:textId="77777777" w:rsidTr="00EF2C4E">
        <w:trPr>
          <w:cantSplit/>
        </w:trPr>
        <w:tc>
          <w:tcPr>
            <w:tcW w:w="1869" w:type="dxa"/>
            <w:shd w:val="clear" w:color="auto" w:fill="auto"/>
          </w:tcPr>
          <w:p w14:paraId="3482B4F7" w14:textId="77777777" w:rsidR="003103A0" w:rsidRPr="009B75C6" w:rsidRDefault="003103A0" w:rsidP="003103A0">
            <w:pPr>
              <w:pStyle w:val="TableSideHeading"/>
              <w:keepLines w:val="0"/>
              <w:ind w:right="-28"/>
              <w:rPr>
                <w:rtl/>
              </w:rPr>
            </w:pPr>
            <w:r w:rsidRPr="009B75C6">
              <w:rPr>
                <w:rtl/>
              </w:rPr>
              <w:t>הוספת סעיף 3א</w:t>
            </w:r>
          </w:p>
        </w:tc>
        <w:tc>
          <w:tcPr>
            <w:tcW w:w="624" w:type="dxa"/>
            <w:shd w:val="clear" w:color="auto" w:fill="auto"/>
          </w:tcPr>
          <w:p w14:paraId="15654339" w14:textId="77777777" w:rsidR="003103A0" w:rsidRPr="009B75C6" w:rsidRDefault="003103A0" w:rsidP="003103A0">
            <w:pPr>
              <w:pStyle w:val="TableText"/>
              <w:keepLines w:val="0"/>
              <w:ind w:right="-28"/>
              <w:rPr>
                <w:rtl/>
              </w:rPr>
            </w:pPr>
            <w:r w:rsidRPr="009B75C6">
              <w:rPr>
                <w:rtl/>
              </w:rPr>
              <w:t>2.</w:t>
            </w:r>
          </w:p>
        </w:tc>
        <w:tc>
          <w:tcPr>
            <w:tcW w:w="7143" w:type="dxa"/>
            <w:gridSpan w:val="6"/>
            <w:shd w:val="clear" w:color="auto" w:fill="auto"/>
          </w:tcPr>
          <w:p w14:paraId="68D08CDD" w14:textId="77777777" w:rsidR="003103A0" w:rsidRPr="009B75C6" w:rsidRDefault="003103A0" w:rsidP="00EF2C4E">
            <w:pPr>
              <w:pStyle w:val="TableBlock"/>
              <w:rPr>
                <w:rtl/>
              </w:rPr>
            </w:pPr>
            <w:r w:rsidRPr="009B75C6">
              <w:rPr>
                <w:rtl/>
              </w:rPr>
              <w:t>אחרי סעיף 3 לחוק העיקרי יבוא:</w:t>
            </w:r>
          </w:p>
        </w:tc>
      </w:tr>
      <w:tr w:rsidR="003103A0" w:rsidRPr="00DD55BD" w14:paraId="63C9F0CC"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084677EB"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12731704" w14:textId="77777777" w:rsidR="003103A0" w:rsidRPr="00DD55BD" w:rsidRDefault="003103A0" w:rsidP="003103A0">
            <w:pPr>
              <w:pStyle w:val="TableText"/>
              <w:rPr>
                <w:rFonts w:ascii="David" w:hAnsi="David"/>
                <w:sz w:val="26"/>
                <w:rtl/>
              </w:rPr>
            </w:pPr>
          </w:p>
        </w:tc>
        <w:tc>
          <w:tcPr>
            <w:tcW w:w="1872" w:type="dxa"/>
            <w:gridSpan w:val="3"/>
            <w:shd w:val="clear" w:color="auto" w:fill="auto"/>
            <w:tcMar>
              <w:top w:w="91" w:type="dxa"/>
              <w:left w:w="0" w:type="dxa"/>
              <w:bottom w:w="91" w:type="dxa"/>
              <w:right w:w="0" w:type="dxa"/>
            </w:tcMar>
          </w:tcPr>
          <w:p w14:paraId="6446A11C" w14:textId="77777777" w:rsidR="003103A0" w:rsidRPr="00DD55BD" w:rsidRDefault="003103A0" w:rsidP="003103A0">
            <w:pPr>
              <w:pStyle w:val="TableInnerSideHeading"/>
              <w:rPr>
                <w:rtl/>
              </w:rPr>
            </w:pPr>
            <w:r w:rsidRPr="00DD55BD">
              <w:rPr>
                <w:rtl/>
              </w:rPr>
              <w:t>"הכרזה על מצב חירום מיוחד בשל נגיף הקורונה</w:t>
            </w:r>
          </w:p>
        </w:tc>
        <w:tc>
          <w:tcPr>
            <w:tcW w:w="624" w:type="dxa"/>
            <w:shd w:val="clear" w:color="auto" w:fill="auto"/>
            <w:tcMar>
              <w:top w:w="91" w:type="dxa"/>
              <w:left w:w="0" w:type="dxa"/>
              <w:bottom w:w="91" w:type="dxa"/>
              <w:right w:w="0" w:type="dxa"/>
            </w:tcMar>
          </w:tcPr>
          <w:p w14:paraId="049F92E8" w14:textId="77777777" w:rsidR="003103A0" w:rsidRPr="00DD55BD" w:rsidRDefault="003103A0" w:rsidP="003103A0">
            <w:pPr>
              <w:pStyle w:val="TableText"/>
              <w:rPr>
                <w:rFonts w:ascii="David" w:hAnsi="David"/>
                <w:sz w:val="26"/>
                <w:rtl/>
              </w:rPr>
            </w:pPr>
            <w:r w:rsidRPr="00DD55BD">
              <w:rPr>
                <w:rFonts w:ascii="David" w:hAnsi="David"/>
                <w:sz w:val="26"/>
                <w:rtl/>
              </w:rPr>
              <w:t>3א.</w:t>
            </w:r>
          </w:p>
        </w:tc>
        <w:tc>
          <w:tcPr>
            <w:tcW w:w="4647" w:type="dxa"/>
            <w:gridSpan w:val="2"/>
            <w:shd w:val="clear" w:color="auto" w:fill="auto"/>
            <w:tcMar>
              <w:top w:w="91" w:type="dxa"/>
              <w:left w:w="0" w:type="dxa"/>
              <w:bottom w:w="91" w:type="dxa"/>
              <w:right w:w="0" w:type="dxa"/>
            </w:tcMar>
          </w:tcPr>
          <w:p w14:paraId="78D378B0" w14:textId="77777777" w:rsidR="003103A0" w:rsidRPr="00DD55BD" w:rsidRDefault="003103A0" w:rsidP="00EF2C4E">
            <w:pPr>
              <w:pStyle w:val="TableBlock"/>
              <w:rPr>
                <w:rFonts w:ascii="David" w:hAnsi="David"/>
                <w:sz w:val="26"/>
                <w:rtl/>
              </w:rPr>
            </w:pPr>
            <w:r w:rsidRPr="00DD55BD">
              <w:rPr>
                <w:rFonts w:ascii="David" w:hAnsi="David"/>
                <w:sz w:val="26"/>
                <w:rtl/>
              </w:rPr>
              <w:t>(א)</w:t>
            </w:r>
            <w:r w:rsidRPr="00DD55BD">
              <w:rPr>
                <w:rFonts w:ascii="David" w:hAnsi="David"/>
                <w:sz w:val="26"/>
                <w:rtl/>
              </w:rPr>
              <w:tab/>
              <w:t xml:space="preserve">שוכנעה הממשלה, בתקופת תוקפה של הכרזה על מצב חירום בשל נגיף הקורונה, כי </w:t>
            </w:r>
            <w:r>
              <w:rPr>
                <w:rFonts w:ascii="David" w:hAnsi="David" w:hint="cs"/>
                <w:sz w:val="26"/>
                <w:rtl/>
              </w:rPr>
              <w:t>יש</w:t>
            </w:r>
            <w:r w:rsidRPr="00DD55BD">
              <w:rPr>
                <w:rFonts w:ascii="David" w:hAnsi="David"/>
                <w:sz w:val="26"/>
                <w:rtl/>
              </w:rPr>
              <w:t xml:space="preserve"> התפשטות רחבה של נגיף הקורונה הגורמת לפגיעה חמורה בבריאות הציבור ועומדות בתוקפן תקנות לפי חוק זה הקובעות </w:t>
            </w:r>
            <w:r>
              <w:rPr>
                <w:rFonts w:hint="cs"/>
                <w:rtl/>
              </w:rPr>
              <w:t xml:space="preserve">מגבלות מלאות </w:t>
            </w:r>
            <w:r w:rsidRPr="00DD55BD">
              <w:rPr>
                <w:rFonts w:ascii="David" w:hAnsi="David"/>
                <w:sz w:val="26"/>
                <w:rtl/>
              </w:rPr>
              <w:t xml:space="preserve">בתקופת תוקפה של הכרזה כאמור וכי </w:t>
            </w:r>
            <w:r>
              <w:rPr>
                <w:rFonts w:ascii="David" w:hAnsi="David" w:hint="cs"/>
                <w:sz w:val="26"/>
                <w:rtl/>
              </w:rPr>
              <w:t>יש</w:t>
            </w:r>
            <w:r w:rsidRPr="00DD55BD">
              <w:rPr>
                <w:rFonts w:ascii="David" w:hAnsi="David"/>
                <w:sz w:val="26"/>
                <w:rtl/>
              </w:rPr>
              <w:t xml:space="preserve"> הכרח בקביעת מגבלות נוספות כאמור בסעיף 7(ב) כדי להפחית את חומרת הפגיעה בבריאות הציבור, רשאית היא להכריז על מצב חירום מיוחד בשל נגיף הקורונה (בסעיף זה </w:t>
            </w:r>
            <w:r>
              <w:rPr>
                <w:rFonts w:ascii="David" w:hAnsi="David"/>
                <w:sz w:val="26"/>
                <w:rtl/>
              </w:rPr>
              <w:t>–</w:t>
            </w:r>
            <w:r w:rsidRPr="00DD55BD">
              <w:rPr>
                <w:rFonts w:ascii="David" w:hAnsi="David"/>
                <w:sz w:val="26"/>
                <w:rtl/>
              </w:rPr>
              <w:t xml:space="preserve"> הכרזה על מצב חירום מיוחד בשל נגיף הקורונה).</w:t>
            </w:r>
          </w:p>
        </w:tc>
      </w:tr>
      <w:tr w:rsidR="003103A0" w:rsidRPr="00DD55BD" w14:paraId="3B5F0F60"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55279B7F"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6B854BB9"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3B6EA52"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4B483E34"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D8738D1"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79B814B" w14:textId="77777777" w:rsidR="003103A0" w:rsidRPr="00DD55BD" w:rsidRDefault="003103A0" w:rsidP="003103A0">
            <w:pPr>
              <w:pStyle w:val="TableText"/>
              <w:rPr>
                <w:rFonts w:ascii="David" w:hAnsi="David"/>
                <w:sz w:val="26"/>
                <w:rtl/>
              </w:rPr>
            </w:pPr>
          </w:p>
        </w:tc>
        <w:tc>
          <w:tcPr>
            <w:tcW w:w="4647" w:type="dxa"/>
            <w:gridSpan w:val="2"/>
            <w:shd w:val="clear" w:color="auto" w:fill="auto"/>
            <w:tcMar>
              <w:top w:w="91" w:type="dxa"/>
              <w:left w:w="0" w:type="dxa"/>
              <w:bottom w:w="91" w:type="dxa"/>
              <w:right w:w="0" w:type="dxa"/>
            </w:tcMar>
          </w:tcPr>
          <w:p w14:paraId="63BBEC24" w14:textId="77777777" w:rsidR="003103A0" w:rsidRPr="00DD55BD" w:rsidRDefault="003103A0" w:rsidP="00EF2C4E">
            <w:pPr>
              <w:pStyle w:val="TableBlock"/>
              <w:rPr>
                <w:rFonts w:ascii="David" w:hAnsi="David"/>
                <w:sz w:val="26"/>
                <w:rtl/>
              </w:rPr>
            </w:pPr>
            <w:r w:rsidRPr="00DD55BD">
              <w:rPr>
                <w:rFonts w:ascii="David" w:hAnsi="David"/>
                <w:sz w:val="26"/>
                <w:rtl/>
              </w:rPr>
              <w:t>(ב)</w:t>
            </w:r>
            <w:r w:rsidRPr="00DD55BD">
              <w:rPr>
                <w:rFonts w:ascii="David" w:hAnsi="David"/>
                <w:sz w:val="26"/>
                <w:rtl/>
              </w:rPr>
              <w:tab/>
            </w:r>
            <w:r w:rsidRPr="00124011">
              <w:rPr>
                <w:rFonts w:hint="cs"/>
                <w:rtl/>
              </w:rPr>
              <w:t>מגבלות</w:t>
            </w:r>
            <w:r w:rsidRPr="00124011">
              <w:rPr>
                <w:rtl/>
              </w:rPr>
              <w:t xml:space="preserve"> </w:t>
            </w:r>
            <w:r w:rsidRPr="00124011">
              <w:rPr>
                <w:rFonts w:hint="cs"/>
                <w:rtl/>
              </w:rPr>
              <w:t>מלאות</w:t>
            </w:r>
            <w:r>
              <w:rPr>
                <w:rFonts w:hint="cs"/>
                <w:rtl/>
              </w:rPr>
              <w:t xml:space="preserve"> </w:t>
            </w:r>
            <w:r w:rsidRPr="00124011">
              <w:rPr>
                <w:rFonts w:hint="cs"/>
                <w:rtl/>
              </w:rPr>
              <w:t>כאמור</w:t>
            </w:r>
            <w:r w:rsidRPr="00124011">
              <w:rPr>
                <w:rtl/>
              </w:rPr>
              <w:t xml:space="preserve"> </w:t>
            </w:r>
            <w:r w:rsidRPr="00124011">
              <w:rPr>
                <w:rFonts w:hint="cs"/>
                <w:rtl/>
              </w:rPr>
              <w:t>בסעיף</w:t>
            </w:r>
            <w:r w:rsidRPr="00124011">
              <w:rPr>
                <w:rtl/>
              </w:rPr>
              <w:t xml:space="preserve"> </w:t>
            </w:r>
            <w:r w:rsidRPr="00124011">
              <w:rPr>
                <w:rFonts w:hint="cs"/>
                <w:rtl/>
              </w:rPr>
              <w:t>קטן</w:t>
            </w:r>
            <w:r w:rsidRPr="00124011">
              <w:rPr>
                <w:rtl/>
              </w:rPr>
              <w:t xml:space="preserve"> (א) הן כל אלה</w:t>
            </w:r>
            <w:r w:rsidRPr="00DD55BD">
              <w:rPr>
                <w:rFonts w:ascii="David" w:hAnsi="David"/>
                <w:sz w:val="26"/>
                <w:rtl/>
              </w:rPr>
              <w:t>:</w:t>
            </w:r>
          </w:p>
        </w:tc>
      </w:tr>
      <w:tr w:rsidR="003103A0" w:rsidRPr="00DD55BD" w14:paraId="63C69948"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48DD97BD"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7812FA89"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0B22418C"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C39615D"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00590DE5"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376CD40"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FACFFE5" w14:textId="77777777" w:rsidR="003103A0" w:rsidRPr="00DD55BD" w:rsidRDefault="003103A0" w:rsidP="003103A0">
            <w:pPr>
              <w:pStyle w:val="TableText"/>
              <w:rPr>
                <w:rFonts w:ascii="David" w:hAnsi="David"/>
                <w:sz w:val="26"/>
                <w:rtl/>
              </w:rPr>
            </w:pPr>
          </w:p>
        </w:tc>
        <w:tc>
          <w:tcPr>
            <w:tcW w:w="4023" w:type="dxa"/>
            <w:shd w:val="clear" w:color="auto" w:fill="auto"/>
            <w:tcMar>
              <w:top w:w="91" w:type="dxa"/>
              <w:left w:w="0" w:type="dxa"/>
              <w:bottom w:w="91" w:type="dxa"/>
              <w:right w:w="0" w:type="dxa"/>
            </w:tcMar>
          </w:tcPr>
          <w:p w14:paraId="1AE1CEC8" w14:textId="77777777" w:rsidR="003103A0" w:rsidRPr="00DD55BD" w:rsidRDefault="003103A0" w:rsidP="00EF2C4E">
            <w:pPr>
              <w:pStyle w:val="TableBlock"/>
              <w:rPr>
                <w:rFonts w:ascii="David" w:hAnsi="David"/>
                <w:sz w:val="26"/>
              </w:rPr>
            </w:pPr>
            <w:r w:rsidRPr="00DD55BD">
              <w:rPr>
                <w:rFonts w:ascii="David" w:hAnsi="David"/>
                <w:sz w:val="26"/>
                <w:rtl/>
              </w:rPr>
              <w:t>(1)</w:t>
            </w:r>
            <w:r w:rsidRPr="00DD55BD">
              <w:rPr>
                <w:rFonts w:ascii="David" w:hAnsi="David"/>
                <w:sz w:val="26"/>
                <w:rtl/>
              </w:rPr>
              <w:tab/>
              <w:t>תקנות לפי פסקה (1) בסעיף 7(א), המגבילות יציאה ממקום המגורים, והקובעות סייגים המבטיחים את קיום הפעולות המפורטות בפסקאות משנה (א) עד (</w:t>
            </w:r>
            <w:proofErr w:type="spellStart"/>
            <w:r>
              <w:rPr>
                <w:rFonts w:ascii="David" w:hAnsi="David" w:hint="cs"/>
                <w:sz w:val="26"/>
                <w:rtl/>
              </w:rPr>
              <w:t>יט</w:t>
            </w:r>
            <w:proofErr w:type="spellEnd"/>
            <w:r w:rsidRPr="00DD55BD">
              <w:rPr>
                <w:rFonts w:ascii="David" w:hAnsi="David"/>
                <w:sz w:val="26"/>
                <w:rtl/>
              </w:rPr>
              <w:t>) של אותה פסקה רק בתחום היי</w:t>
            </w:r>
            <w:r>
              <w:rPr>
                <w:rFonts w:ascii="David" w:hAnsi="David"/>
                <w:sz w:val="26"/>
                <w:rtl/>
              </w:rPr>
              <w:t>שוב שבו נמצא מקום מגוריו של אדם</w:t>
            </w:r>
            <w:r>
              <w:rPr>
                <w:rFonts w:hint="cs"/>
                <w:rtl/>
              </w:rPr>
              <w:t>; על אף האמור, בתקנות כאמור ניתן לקבוע לגבי הפעולות האמורות או חלק מהן כי ניתן לקיימן מחוץ ליישוב אם מקום ביצוען הוא מחוץ ליישוב או ש</w:t>
            </w:r>
            <w:r w:rsidRPr="00437DED">
              <w:rPr>
                <w:rFonts w:hint="cs"/>
                <w:rtl/>
              </w:rPr>
              <w:t xml:space="preserve">לא ניתן </w:t>
            </w:r>
            <w:r w:rsidRPr="00437DED">
              <w:rPr>
                <w:rtl/>
              </w:rPr>
              <w:t>לקיי</w:t>
            </w:r>
            <w:r>
              <w:rPr>
                <w:rFonts w:hint="cs"/>
                <w:rtl/>
              </w:rPr>
              <w:t xml:space="preserve">מן </w:t>
            </w:r>
            <w:r w:rsidRPr="00C50395">
              <w:rPr>
                <w:rFonts w:hint="cs"/>
                <w:rtl/>
              </w:rPr>
              <w:t>בתחום</w:t>
            </w:r>
            <w:r w:rsidRPr="006343F7">
              <w:rPr>
                <w:rFonts w:hint="cs"/>
                <w:rtl/>
              </w:rPr>
              <w:t xml:space="preserve"> אותו יישוב;</w:t>
            </w:r>
          </w:p>
        </w:tc>
      </w:tr>
      <w:tr w:rsidR="003103A0" w:rsidRPr="00981B40" w14:paraId="40297825"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54F35C10"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171FA3C9"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3DB24EC"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9242F79"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C3E2891"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7A74D5D"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84FF161" w14:textId="77777777" w:rsidR="003103A0" w:rsidRPr="00981B40" w:rsidRDefault="003103A0" w:rsidP="003103A0">
            <w:pPr>
              <w:pStyle w:val="TableText"/>
              <w:rPr>
                <w:rFonts w:ascii="David" w:hAnsi="David"/>
                <w:sz w:val="26"/>
                <w:rtl/>
              </w:rPr>
            </w:pPr>
          </w:p>
        </w:tc>
        <w:tc>
          <w:tcPr>
            <w:tcW w:w="4023" w:type="dxa"/>
            <w:shd w:val="clear" w:color="auto" w:fill="auto"/>
            <w:tcMar>
              <w:top w:w="91" w:type="dxa"/>
              <w:left w:w="0" w:type="dxa"/>
              <w:bottom w:w="91" w:type="dxa"/>
              <w:right w:w="0" w:type="dxa"/>
            </w:tcMar>
          </w:tcPr>
          <w:p w14:paraId="5DEBF52C" w14:textId="77777777" w:rsidR="003103A0" w:rsidRPr="00981B40" w:rsidRDefault="003103A0" w:rsidP="00EF2C4E">
            <w:pPr>
              <w:pStyle w:val="TableBlock"/>
              <w:rPr>
                <w:rFonts w:ascii="David" w:hAnsi="David"/>
                <w:sz w:val="26"/>
                <w:rtl/>
              </w:rPr>
            </w:pPr>
            <w:r w:rsidRPr="00981B40">
              <w:rPr>
                <w:rFonts w:ascii="David" w:hAnsi="David"/>
                <w:sz w:val="26"/>
                <w:rtl/>
              </w:rPr>
              <w:t>(2)</w:t>
            </w:r>
            <w:r w:rsidRPr="00981B40">
              <w:rPr>
                <w:rFonts w:ascii="David" w:hAnsi="David"/>
                <w:sz w:val="26"/>
                <w:rtl/>
              </w:rPr>
              <w:tab/>
              <w:t>תקנות לפי פסקה (2) בסעיף 7(</w:t>
            </w:r>
            <w:r w:rsidRPr="00981B40">
              <w:rPr>
                <w:rFonts w:ascii="David" w:hAnsi="David" w:hint="cs"/>
                <w:sz w:val="26"/>
                <w:rtl/>
              </w:rPr>
              <w:t>א</w:t>
            </w:r>
            <w:r w:rsidRPr="00981B40">
              <w:rPr>
                <w:rFonts w:ascii="David" w:hAnsi="David"/>
                <w:sz w:val="26"/>
                <w:rtl/>
              </w:rPr>
              <w:t>),</w:t>
            </w:r>
            <w:r w:rsidRPr="00981B40">
              <w:rPr>
                <w:rFonts w:ascii="David" w:hAnsi="David" w:hint="cs"/>
                <w:sz w:val="26"/>
                <w:rtl/>
              </w:rPr>
              <w:t xml:space="preserve"> </w:t>
            </w:r>
            <w:r w:rsidRPr="00981B40">
              <w:rPr>
                <w:rFonts w:ascii="David" w:hAnsi="David"/>
                <w:sz w:val="26"/>
                <w:rtl/>
              </w:rPr>
              <w:t xml:space="preserve"> המגבילות שמירת מרחק במרחב הציבורי של עד 2 מטרים, ככל האפשר, והמגבילות התקהלות במרחב הציבורי</w:t>
            </w:r>
            <w:r w:rsidRPr="00981B40">
              <w:rPr>
                <w:rFonts w:hint="cs"/>
                <w:rtl/>
              </w:rPr>
              <w:t xml:space="preserve"> של לא יותר מ-20 אנשים</w:t>
            </w:r>
            <w:r w:rsidRPr="00981B40">
              <w:rPr>
                <w:rtl/>
              </w:rPr>
              <w:t xml:space="preserve"> </w:t>
            </w:r>
            <w:r w:rsidRPr="00981B40">
              <w:rPr>
                <w:rFonts w:hint="cs"/>
                <w:rtl/>
              </w:rPr>
              <w:t>בשטח</w:t>
            </w:r>
            <w:r w:rsidRPr="00981B40">
              <w:rPr>
                <w:rtl/>
              </w:rPr>
              <w:t xml:space="preserve"> </w:t>
            </w:r>
            <w:r w:rsidRPr="00981B40">
              <w:rPr>
                <w:rFonts w:hint="cs"/>
                <w:rtl/>
              </w:rPr>
              <w:t xml:space="preserve">פתוח, ובמבנה </w:t>
            </w:r>
            <w:r w:rsidRPr="00981B40">
              <w:rPr>
                <w:rtl/>
              </w:rPr>
              <w:t>–</w:t>
            </w:r>
            <w:r w:rsidRPr="00981B40">
              <w:rPr>
                <w:rFonts w:hint="cs"/>
                <w:rtl/>
              </w:rPr>
              <w:t xml:space="preserve"> של לא יותר מ-10 אנשים; אולם</w:t>
            </w:r>
            <w:r w:rsidRPr="00981B40">
              <w:rPr>
                <w:rFonts w:ascii="David" w:hAnsi="David" w:hint="cs"/>
                <w:sz w:val="26"/>
                <w:rtl/>
              </w:rPr>
              <w:t xml:space="preserve"> בטיפול קבוצתי במסגרת רווחה ישתתפו לא יותר מ-15 אנשים במבנה</w:t>
            </w:r>
            <w:r w:rsidRPr="00981B40">
              <w:rPr>
                <w:rFonts w:ascii="David" w:hAnsi="David"/>
                <w:sz w:val="26"/>
                <w:rtl/>
              </w:rPr>
              <w:t xml:space="preserve"> </w:t>
            </w:r>
            <w:r w:rsidRPr="00981B40">
              <w:rPr>
                <w:rFonts w:ascii="David" w:hAnsi="David" w:hint="cs"/>
                <w:sz w:val="26"/>
                <w:rtl/>
              </w:rPr>
              <w:t>ולא</w:t>
            </w:r>
            <w:r w:rsidRPr="00981B40">
              <w:rPr>
                <w:rFonts w:ascii="David" w:hAnsi="David"/>
                <w:sz w:val="26"/>
                <w:rtl/>
              </w:rPr>
              <w:t xml:space="preserve"> </w:t>
            </w:r>
            <w:r w:rsidRPr="00981B40">
              <w:rPr>
                <w:rFonts w:ascii="David" w:hAnsi="David" w:hint="cs"/>
                <w:sz w:val="26"/>
                <w:rtl/>
              </w:rPr>
              <w:t>יותר</w:t>
            </w:r>
            <w:r w:rsidRPr="00981B40">
              <w:rPr>
                <w:rFonts w:ascii="David" w:hAnsi="David"/>
                <w:sz w:val="26"/>
                <w:rtl/>
              </w:rPr>
              <w:t xml:space="preserve"> </w:t>
            </w:r>
            <w:r w:rsidRPr="00981B40">
              <w:rPr>
                <w:rFonts w:ascii="David" w:hAnsi="David" w:hint="cs"/>
                <w:sz w:val="26"/>
                <w:rtl/>
              </w:rPr>
              <w:t>מ</w:t>
            </w:r>
            <w:r w:rsidRPr="00981B40">
              <w:rPr>
                <w:rFonts w:ascii="David" w:hAnsi="David"/>
                <w:sz w:val="26"/>
                <w:rtl/>
              </w:rPr>
              <w:t xml:space="preserve">-20 </w:t>
            </w:r>
            <w:r w:rsidRPr="00981B40">
              <w:rPr>
                <w:rFonts w:ascii="David" w:hAnsi="David" w:hint="cs"/>
                <w:sz w:val="26"/>
                <w:rtl/>
              </w:rPr>
              <w:t>אנשים</w:t>
            </w:r>
            <w:r w:rsidRPr="00981B40">
              <w:rPr>
                <w:rFonts w:ascii="David" w:hAnsi="David"/>
                <w:sz w:val="26"/>
                <w:rtl/>
              </w:rPr>
              <w:t xml:space="preserve"> </w:t>
            </w:r>
            <w:r w:rsidRPr="00981B40">
              <w:rPr>
                <w:rFonts w:ascii="David" w:hAnsi="David" w:hint="cs"/>
                <w:sz w:val="26"/>
                <w:rtl/>
              </w:rPr>
              <w:t>בשטח</w:t>
            </w:r>
            <w:r w:rsidRPr="00981B40">
              <w:rPr>
                <w:rFonts w:ascii="David" w:hAnsi="David"/>
                <w:sz w:val="26"/>
                <w:rtl/>
              </w:rPr>
              <w:t xml:space="preserve"> </w:t>
            </w:r>
            <w:r w:rsidRPr="00981B40">
              <w:rPr>
                <w:rFonts w:ascii="David" w:hAnsi="David" w:hint="cs"/>
                <w:sz w:val="26"/>
                <w:rtl/>
              </w:rPr>
              <w:t>פתוח;</w:t>
            </w:r>
          </w:p>
        </w:tc>
      </w:tr>
      <w:tr w:rsidR="003103A0" w:rsidRPr="00981B40" w14:paraId="18CF639C"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11F2F125"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3019D9C8"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AC4901E"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11D9AD29"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6D4C4B3"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0B8AF9D2"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D9EAB41" w14:textId="77777777" w:rsidR="003103A0" w:rsidRPr="00981B40" w:rsidRDefault="003103A0" w:rsidP="003103A0">
            <w:pPr>
              <w:pStyle w:val="TableText"/>
              <w:rPr>
                <w:rFonts w:ascii="David" w:hAnsi="David"/>
                <w:sz w:val="26"/>
                <w:rtl/>
              </w:rPr>
            </w:pPr>
          </w:p>
        </w:tc>
        <w:tc>
          <w:tcPr>
            <w:tcW w:w="4023" w:type="dxa"/>
            <w:shd w:val="clear" w:color="auto" w:fill="auto"/>
            <w:tcMar>
              <w:top w:w="91" w:type="dxa"/>
              <w:left w:w="0" w:type="dxa"/>
              <w:bottom w:w="91" w:type="dxa"/>
              <w:right w:w="0" w:type="dxa"/>
            </w:tcMar>
          </w:tcPr>
          <w:p w14:paraId="7B1CBEC4" w14:textId="77777777" w:rsidR="003103A0" w:rsidRPr="00981B40" w:rsidRDefault="003103A0" w:rsidP="00EF2C4E">
            <w:pPr>
              <w:pStyle w:val="TableBlock"/>
              <w:rPr>
                <w:rFonts w:ascii="David" w:hAnsi="David"/>
                <w:sz w:val="26"/>
                <w:rtl/>
              </w:rPr>
            </w:pPr>
            <w:r w:rsidRPr="00981B40">
              <w:rPr>
                <w:rtl/>
              </w:rPr>
              <w:t>(3)</w:t>
            </w:r>
            <w:r w:rsidRPr="00981B40">
              <w:rPr>
                <w:rtl/>
              </w:rPr>
              <w:tab/>
            </w:r>
            <w:r w:rsidRPr="00981B40">
              <w:rPr>
                <w:rFonts w:hint="eastAsia"/>
                <w:rtl/>
              </w:rPr>
              <w:t>תקנות</w:t>
            </w:r>
            <w:r w:rsidRPr="00981B40">
              <w:rPr>
                <w:rtl/>
              </w:rPr>
              <w:t xml:space="preserve"> </w:t>
            </w:r>
            <w:r w:rsidRPr="00981B40">
              <w:rPr>
                <w:rFonts w:hint="eastAsia"/>
                <w:rtl/>
              </w:rPr>
              <w:t>לפי</w:t>
            </w:r>
            <w:r w:rsidRPr="00981B40">
              <w:rPr>
                <w:rtl/>
              </w:rPr>
              <w:t xml:space="preserve"> </w:t>
            </w:r>
            <w:r w:rsidRPr="00981B40">
              <w:rPr>
                <w:rFonts w:hint="eastAsia"/>
                <w:rtl/>
              </w:rPr>
              <w:t>סעיף</w:t>
            </w:r>
            <w:r w:rsidRPr="00981B40">
              <w:rPr>
                <w:rtl/>
              </w:rPr>
              <w:t xml:space="preserve"> 8</w:t>
            </w:r>
            <w:r w:rsidRPr="00981B40">
              <w:rPr>
                <w:rFonts w:hint="cs"/>
                <w:rtl/>
              </w:rPr>
              <w:t>,</w:t>
            </w:r>
            <w:r w:rsidRPr="00981B40">
              <w:rPr>
                <w:rtl/>
              </w:rPr>
              <w:t xml:space="preserve"> </w:t>
            </w:r>
            <w:r w:rsidRPr="00981B40">
              <w:rPr>
                <w:rFonts w:hint="eastAsia"/>
                <w:rtl/>
              </w:rPr>
              <w:t>האוסרות</w:t>
            </w:r>
            <w:r w:rsidRPr="00981B40">
              <w:rPr>
                <w:rtl/>
              </w:rPr>
              <w:t xml:space="preserve"> </w:t>
            </w:r>
            <w:r w:rsidRPr="00981B40">
              <w:rPr>
                <w:rFonts w:hint="eastAsia"/>
                <w:rtl/>
              </w:rPr>
              <w:t>פתיחה</w:t>
            </w:r>
            <w:r w:rsidRPr="00981B40">
              <w:rPr>
                <w:rtl/>
              </w:rPr>
              <w:t xml:space="preserve"> </w:t>
            </w:r>
            <w:r w:rsidRPr="00981B40">
              <w:rPr>
                <w:rFonts w:hint="eastAsia"/>
                <w:rtl/>
              </w:rPr>
              <w:t>או</w:t>
            </w:r>
            <w:r w:rsidRPr="00981B40">
              <w:rPr>
                <w:rtl/>
              </w:rPr>
              <w:t xml:space="preserve"> </w:t>
            </w:r>
            <w:r w:rsidRPr="00981B40">
              <w:rPr>
                <w:rFonts w:hint="eastAsia"/>
                <w:rtl/>
              </w:rPr>
              <w:t>הפעלה</w:t>
            </w:r>
            <w:r w:rsidRPr="00981B40">
              <w:rPr>
                <w:rtl/>
              </w:rPr>
              <w:t xml:space="preserve"> </w:t>
            </w:r>
            <w:r w:rsidRPr="00981B40">
              <w:rPr>
                <w:rFonts w:hint="eastAsia"/>
                <w:rtl/>
              </w:rPr>
              <w:t>של</w:t>
            </w:r>
            <w:r w:rsidRPr="00981B40">
              <w:rPr>
                <w:rtl/>
              </w:rPr>
              <w:t xml:space="preserve"> </w:t>
            </w:r>
            <w:r w:rsidRPr="00981B40">
              <w:rPr>
                <w:rFonts w:hint="eastAsia"/>
                <w:rtl/>
              </w:rPr>
              <w:t>עסקים</w:t>
            </w:r>
            <w:r w:rsidRPr="00981B40">
              <w:rPr>
                <w:rtl/>
              </w:rPr>
              <w:t xml:space="preserve"> או של שהיית עובדים במקומות עבודה, למעט </w:t>
            </w:r>
            <w:r w:rsidRPr="00981B40">
              <w:rPr>
                <w:rFonts w:hint="cs"/>
                <w:rtl/>
              </w:rPr>
              <w:t>עסקים</w:t>
            </w:r>
            <w:r w:rsidRPr="00981B40">
              <w:rPr>
                <w:rtl/>
              </w:rPr>
              <w:t xml:space="preserve"> </w:t>
            </w:r>
            <w:r w:rsidRPr="00981B40">
              <w:rPr>
                <w:rFonts w:hint="cs"/>
                <w:rtl/>
              </w:rPr>
              <w:t>או</w:t>
            </w:r>
            <w:r w:rsidRPr="00981B40">
              <w:rPr>
                <w:rtl/>
              </w:rPr>
              <w:t xml:space="preserve"> מקומות </w:t>
            </w:r>
            <w:r w:rsidRPr="00981B40">
              <w:rPr>
                <w:rFonts w:hint="cs"/>
                <w:rtl/>
              </w:rPr>
              <w:t>עבודה חיוניים</w:t>
            </w:r>
            <w:r w:rsidRPr="00981B40">
              <w:rPr>
                <w:rtl/>
              </w:rPr>
              <w:t>; בפסקת משנה זו, "</w:t>
            </w:r>
            <w:r w:rsidRPr="00981B40">
              <w:rPr>
                <w:rFonts w:hint="eastAsia"/>
                <w:rtl/>
              </w:rPr>
              <w:t>עסקים</w:t>
            </w:r>
            <w:r w:rsidRPr="00981B40">
              <w:rPr>
                <w:rtl/>
              </w:rPr>
              <w:t xml:space="preserve"> </w:t>
            </w:r>
            <w:r w:rsidRPr="00981B40">
              <w:rPr>
                <w:rFonts w:hint="cs"/>
                <w:rtl/>
              </w:rPr>
              <w:t xml:space="preserve">או </w:t>
            </w:r>
            <w:r w:rsidRPr="00981B40">
              <w:rPr>
                <w:rFonts w:hint="eastAsia"/>
                <w:rtl/>
              </w:rPr>
              <w:t>מקומות</w:t>
            </w:r>
            <w:r w:rsidRPr="00981B40">
              <w:rPr>
                <w:rtl/>
              </w:rPr>
              <w:t xml:space="preserve"> עבודה חיוניים" –</w:t>
            </w:r>
            <w:r w:rsidRPr="00981B40">
              <w:rPr>
                <w:rFonts w:hint="cs"/>
                <w:rtl/>
              </w:rPr>
              <w:t xml:space="preserve"> </w:t>
            </w:r>
            <w:r w:rsidRPr="00981B40">
              <w:rPr>
                <w:rtl/>
              </w:rPr>
              <w:t xml:space="preserve"> </w:t>
            </w:r>
            <w:r w:rsidRPr="00981B40">
              <w:rPr>
                <w:rFonts w:hint="cs"/>
                <w:rtl/>
              </w:rPr>
              <w:t xml:space="preserve">סוגי העסקים או מקומות </w:t>
            </w:r>
            <w:r w:rsidRPr="00981B40">
              <w:rPr>
                <w:rtl/>
              </w:rPr>
              <w:t xml:space="preserve">העבודה </w:t>
            </w:r>
            <w:r w:rsidRPr="00981B40">
              <w:rPr>
                <w:rFonts w:hint="cs"/>
                <w:rtl/>
              </w:rPr>
              <w:t>המפורטים</w:t>
            </w:r>
            <w:r w:rsidRPr="00981B40">
              <w:rPr>
                <w:rtl/>
              </w:rPr>
              <w:t xml:space="preserve"> </w:t>
            </w:r>
            <w:r w:rsidRPr="00981B40">
              <w:rPr>
                <w:rFonts w:hint="eastAsia"/>
                <w:rtl/>
              </w:rPr>
              <w:t>בתקנות</w:t>
            </w:r>
            <w:r w:rsidRPr="00981B40">
              <w:rPr>
                <w:rtl/>
              </w:rPr>
              <w:t xml:space="preserve"> לפי סעיף 8, </w:t>
            </w:r>
            <w:r w:rsidRPr="00981B40">
              <w:rPr>
                <w:rFonts w:hint="eastAsia"/>
                <w:rtl/>
              </w:rPr>
              <w:t>כנוסחן</w:t>
            </w:r>
            <w:r w:rsidRPr="00981B40">
              <w:rPr>
                <w:rtl/>
              </w:rPr>
              <w:t xml:space="preserve"> </w:t>
            </w:r>
            <w:r w:rsidRPr="00981B40">
              <w:rPr>
                <w:rFonts w:hint="eastAsia"/>
                <w:rtl/>
              </w:rPr>
              <w:t>ביום</w:t>
            </w:r>
            <w:r w:rsidRPr="00981B40">
              <w:rPr>
                <w:rtl/>
              </w:rPr>
              <w:t xml:space="preserve"> תחילתו של חוק סמכויות מיוחדות להתמודדות עם נגיף הקורונה החדש (הוראת שעה) (תיקון מס' 2), </w:t>
            </w:r>
            <w:proofErr w:type="spellStart"/>
            <w:r w:rsidRPr="00981B40">
              <w:rPr>
                <w:rtl/>
              </w:rPr>
              <w:t>התשפ"א</w:t>
            </w:r>
            <w:proofErr w:type="spellEnd"/>
            <w:r w:rsidRPr="00981B40">
              <w:rPr>
                <w:rtl/>
              </w:rPr>
              <w:t>–2020,</w:t>
            </w:r>
            <w:r w:rsidRPr="00981B40">
              <w:rPr>
                <w:rFonts w:hint="cs"/>
                <w:rtl/>
              </w:rPr>
              <w:t xml:space="preserve"> ועסקים</w:t>
            </w:r>
            <w:r w:rsidRPr="00981B40">
              <w:rPr>
                <w:rtl/>
              </w:rPr>
              <w:t xml:space="preserve"> או מקומות עבודה </w:t>
            </w:r>
            <w:r w:rsidRPr="00981B40">
              <w:rPr>
                <w:rFonts w:hint="eastAsia"/>
                <w:rtl/>
              </w:rPr>
              <w:t>נוספים</w:t>
            </w:r>
            <w:r w:rsidRPr="00981B40">
              <w:rPr>
                <w:rtl/>
              </w:rPr>
              <w:t xml:space="preserve"> </w:t>
            </w:r>
            <w:r w:rsidRPr="00981B40">
              <w:rPr>
                <w:rFonts w:hint="cs"/>
                <w:rtl/>
              </w:rPr>
              <w:t>שנקבעו</w:t>
            </w:r>
            <w:r w:rsidRPr="00981B40">
              <w:rPr>
                <w:rtl/>
              </w:rPr>
              <w:t xml:space="preserve"> </w:t>
            </w:r>
            <w:r w:rsidRPr="00981B40">
              <w:rPr>
                <w:rFonts w:hint="eastAsia"/>
                <w:rtl/>
              </w:rPr>
              <w:t>בתקנות</w:t>
            </w:r>
            <w:r w:rsidRPr="00981B40">
              <w:rPr>
                <w:rtl/>
              </w:rPr>
              <w:t xml:space="preserve"> </w:t>
            </w:r>
            <w:r w:rsidRPr="00981B40">
              <w:rPr>
                <w:rFonts w:hint="eastAsia"/>
                <w:rtl/>
              </w:rPr>
              <w:t>כאמור</w:t>
            </w:r>
            <w:r w:rsidRPr="00981B40">
              <w:rPr>
                <w:rtl/>
              </w:rPr>
              <w:t xml:space="preserve"> </w:t>
            </w:r>
            <w:r w:rsidRPr="00981B40">
              <w:rPr>
                <w:rFonts w:hint="eastAsia"/>
                <w:rtl/>
              </w:rPr>
              <w:t>לאחר</w:t>
            </w:r>
            <w:r w:rsidRPr="00981B40">
              <w:rPr>
                <w:rtl/>
              </w:rPr>
              <w:t xml:space="preserve"> </w:t>
            </w:r>
            <w:r w:rsidRPr="00981B40">
              <w:rPr>
                <w:rFonts w:hint="eastAsia"/>
                <w:rtl/>
              </w:rPr>
              <w:t>אותו</w:t>
            </w:r>
            <w:r w:rsidRPr="00981B40">
              <w:rPr>
                <w:rtl/>
              </w:rPr>
              <w:t xml:space="preserve"> </w:t>
            </w:r>
            <w:r w:rsidRPr="00981B40">
              <w:rPr>
                <w:rFonts w:hint="eastAsia"/>
                <w:rtl/>
              </w:rPr>
              <w:t>מועד</w:t>
            </w:r>
            <w:r w:rsidRPr="00981B40">
              <w:rPr>
                <w:rFonts w:hint="cs"/>
                <w:rtl/>
              </w:rPr>
              <w:t>,</w:t>
            </w:r>
            <w:r w:rsidRPr="00981B40">
              <w:rPr>
                <w:rtl/>
              </w:rPr>
              <w:t xml:space="preserve"> </w:t>
            </w:r>
            <w:r w:rsidRPr="00981B40">
              <w:rPr>
                <w:rFonts w:hint="eastAsia"/>
                <w:rtl/>
              </w:rPr>
              <w:t>ובלבד</w:t>
            </w:r>
            <w:r w:rsidRPr="00981B40">
              <w:rPr>
                <w:rtl/>
              </w:rPr>
              <w:t xml:space="preserve"> </w:t>
            </w:r>
            <w:r w:rsidRPr="00981B40">
              <w:rPr>
                <w:rFonts w:hint="eastAsia"/>
                <w:rtl/>
              </w:rPr>
              <w:t>שהעסקים</w:t>
            </w:r>
            <w:r w:rsidRPr="00981B40">
              <w:rPr>
                <w:rtl/>
              </w:rPr>
              <w:t xml:space="preserve"> או מקומות העבודה </w:t>
            </w:r>
            <w:r w:rsidRPr="00981B40">
              <w:rPr>
                <w:rFonts w:hint="eastAsia"/>
                <w:rtl/>
              </w:rPr>
              <w:t>הנוספים</w:t>
            </w:r>
            <w:r w:rsidRPr="00981B40">
              <w:rPr>
                <w:rtl/>
              </w:rPr>
              <w:t xml:space="preserve"> </w:t>
            </w:r>
            <w:r w:rsidRPr="00981B40">
              <w:rPr>
                <w:rFonts w:hint="eastAsia"/>
                <w:rtl/>
              </w:rPr>
              <w:t>כאמור</w:t>
            </w:r>
            <w:r w:rsidRPr="00981B40">
              <w:rPr>
                <w:rtl/>
              </w:rPr>
              <w:t xml:space="preserve"> </w:t>
            </w:r>
            <w:r w:rsidRPr="00981B40">
              <w:rPr>
                <w:rFonts w:hint="eastAsia"/>
                <w:rtl/>
              </w:rPr>
              <w:t>מספקים</w:t>
            </w:r>
            <w:r w:rsidRPr="00981B40">
              <w:rPr>
                <w:rtl/>
              </w:rPr>
              <w:t xml:space="preserve"> </w:t>
            </w:r>
            <w:r w:rsidRPr="00981B40">
              <w:rPr>
                <w:rFonts w:hint="eastAsia"/>
                <w:rtl/>
              </w:rPr>
              <w:t>שירותים</w:t>
            </w:r>
            <w:r w:rsidRPr="00981B40">
              <w:rPr>
                <w:rtl/>
              </w:rPr>
              <w:t xml:space="preserve"> </w:t>
            </w:r>
            <w:r w:rsidRPr="00981B40">
              <w:rPr>
                <w:rFonts w:hint="eastAsia"/>
                <w:rtl/>
              </w:rPr>
              <w:t>או</w:t>
            </w:r>
            <w:r w:rsidRPr="00981B40">
              <w:rPr>
                <w:rtl/>
              </w:rPr>
              <w:t xml:space="preserve"> </w:t>
            </w:r>
            <w:r w:rsidRPr="00981B40">
              <w:rPr>
                <w:rFonts w:hint="eastAsia"/>
                <w:rtl/>
              </w:rPr>
              <w:t>מוצרים</w:t>
            </w:r>
            <w:r w:rsidRPr="00981B40">
              <w:rPr>
                <w:rtl/>
              </w:rPr>
              <w:t xml:space="preserve"> </w:t>
            </w:r>
            <w:r w:rsidRPr="00981B40">
              <w:rPr>
                <w:rFonts w:hint="eastAsia"/>
                <w:rtl/>
              </w:rPr>
              <w:t>חיוניים</w:t>
            </w:r>
            <w:r w:rsidRPr="00981B40">
              <w:rPr>
                <w:rtl/>
              </w:rPr>
              <w:t xml:space="preserve"> או </w:t>
            </w:r>
            <w:r w:rsidRPr="00981B40">
              <w:rPr>
                <w:rFonts w:hint="eastAsia"/>
                <w:rtl/>
              </w:rPr>
              <w:t>שהם</w:t>
            </w:r>
            <w:r w:rsidRPr="00981B40">
              <w:rPr>
                <w:rtl/>
              </w:rPr>
              <w:t xml:space="preserve"> </w:t>
            </w:r>
            <w:r w:rsidRPr="00981B40">
              <w:rPr>
                <w:rFonts w:hint="eastAsia"/>
                <w:rtl/>
              </w:rPr>
              <w:t>בעלי</w:t>
            </w:r>
            <w:r w:rsidRPr="00981B40">
              <w:rPr>
                <w:rtl/>
              </w:rPr>
              <w:t xml:space="preserve"> מאפיינים </w:t>
            </w:r>
            <w:r w:rsidRPr="00981B40">
              <w:rPr>
                <w:rFonts w:hint="eastAsia"/>
                <w:rtl/>
              </w:rPr>
              <w:t>דומים</w:t>
            </w:r>
            <w:r w:rsidRPr="00981B40">
              <w:rPr>
                <w:rtl/>
              </w:rPr>
              <w:t xml:space="preserve"> למאפייני העסקים </w:t>
            </w:r>
            <w:r w:rsidRPr="00981B40">
              <w:rPr>
                <w:rFonts w:hint="eastAsia"/>
                <w:rtl/>
              </w:rPr>
              <w:t>או</w:t>
            </w:r>
            <w:r w:rsidRPr="00981B40">
              <w:rPr>
                <w:rtl/>
              </w:rPr>
              <w:t xml:space="preserve"> מקומות העבודה שנקבעו </w:t>
            </w:r>
            <w:r w:rsidRPr="00981B40">
              <w:rPr>
                <w:rFonts w:hint="eastAsia"/>
                <w:rtl/>
              </w:rPr>
              <w:t>בתקנות</w:t>
            </w:r>
            <w:r w:rsidRPr="00981B40">
              <w:rPr>
                <w:rtl/>
              </w:rPr>
              <w:t xml:space="preserve"> </w:t>
            </w:r>
            <w:r w:rsidRPr="00981B40">
              <w:rPr>
                <w:rFonts w:hint="eastAsia"/>
                <w:rtl/>
              </w:rPr>
              <w:t>במועד</w:t>
            </w:r>
            <w:r w:rsidRPr="00981B40">
              <w:rPr>
                <w:rtl/>
              </w:rPr>
              <w:t xml:space="preserve"> </w:t>
            </w:r>
            <w:r w:rsidRPr="00981B40">
              <w:rPr>
                <w:rFonts w:hint="cs"/>
                <w:rtl/>
              </w:rPr>
              <w:t>האמור</w:t>
            </w:r>
            <w:r w:rsidRPr="00981B40">
              <w:rPr>
                <w:rtl/>
              </w:rPr>
              <w:t>;</w:t>
            </w:r>
          </w:p>
        </w:tc>
      </w:tr>
      <w:tr w:rsidR="003103A0" w:rsidRPr="00DD55BD" w14:paraId="3CD252D8"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672D1BA1"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4889E606"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D4A5BA7"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8AB0FF3"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58FC7E7" w14:textId="77777777" w:rsidR="003103A0" w:rsidRPr="00981B40"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7F4AE99"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0DB20F0" w14:textId="77777777" w:rsidR="003103A0" w:rsidRPr="00DD55BD" w:rsidRDefault="003103A0" w:rsidP="003103A0">
            <w:pPr>
              <w:pStyle w:val="TableText"/>
              <w:rPr>
                <w:rFonts w:ascii="David" w:hAnsi="David"/>
                <w:sz w:val="26"/>
                <w:rtl/>
              </w:rPr>
            </w:pPr>
          </w:p>
        </w:tc>
        <w:tc>
          <w:tcPr>
            <w:tcW w:w="4023" w:type="dxa"/>
            <w:shd w:val="clear" w:color="auto" w:fill="auto"/>
            <w:tcMar>
              <w:top w:w="91" w:type="dxa"/>
              <w:left w:w="0" w:type="dxa"/>
              <w:bottom w:w="91" w:type="dxa"/>
              <w:right w:w="0" w:type="dxa"/>
            </w:tcMar>
          </w:tcPr>
          <w:p w14:paraId="618B6C9B" w14:textId="77777777" w:rsidR="003103A0" w:rsidRPr="00DD55BD" w:rsidRDefault="003103A0" w:rsidP="00EF2C4E">
            <w:pPr>
              <w:pStyle w:val="TableBlock"/>
              <w:rPr>
                <w:rFonts w:ascii="David" w:hAnsi="David"/>
                <w:sz w:val="26"/>
                <w:rtl/>
              </w:rPr>
            </w:pPr>
            <w:r w:rsidRPr="00DD55BD">
              <w:rPr>
                <w:rFonts w:ascii="David" w:hAnsi="David"/>
                <w:sz w:val="26"/>
                <w:rtl/>
              </w:rPr>
              <w:t>(4)</w:t>
            </w:r>
            <w:r w:rsidRPr="00DD55BD">
              <w:rPr>
                <w:rFonts w:ascii="David" w:hAnsi="David"/>
                <w:sz w:val="26"/>
                <w:rtl/>
              </w:rPr>
              <w:tab/>
              <w:t xml:space="preserve">תקנות </w:t>
            </w:r>
            <w:r w:rsidRPr="004258F3">
              <w:rPr>
                <w:rFonts w:hint="cs"/>
                <w:rtl/>
              </w:rPr>
              <w:t>המ</w:t>
            </w:r>
            <w:r w:rsidRPr="00C66D0C">
              <w:rPr>
                <w:rFonts w:hint="eastAsia"/>
                <w:rtl/>
              </w:rPr>
              <w:t>גבילות</w:t>
            </w:r>
            <w:r w:rsidRPr="00C66D0C">
              <w:rPr>
                <w:rtl/>
              </w:rPr>
              <w:t xml:space="preserve"> </w:t>
            </w:r>
            <w:r w:rsidRPr="00C66D0C">
              <w:rPr>
                <w:rFonts w:hint="eastAsia"/>
                <w:rtl/>
              </w:rPr>
              <w:t>הפעלת</w:t>
            </w:r>
            <w:r w:rsidRPr="00C66D0C">
              <w:rPr>
                <w:rtl/>
              </w:rPr>
              <w:t xml:space="preserve"> </w:t>
            </w:r>
            <w:r w:rsidRPr="00C66D0C">
              <w:rPr>
                <w:rFonts w:hint="eastAsia"/>
                <w:rtl/>
              </w:rPr>
              <w:t>מוסדות</w:t>
            </w:r>
            <w:r w:rsidRPr="00C66D0C">
              <w:rPr>
                <w:rtl/>
              </w:rPr>
              <w:t xml:space="preserve"> </w:t>
            </w:r>
            <w:r>
              <w:rPr>
                <w:rFonts w:hint="cs"/>
                <w:rtl/>
              </w:rPr>
              <w:t>ש</w:t>
            </w:r>
            <w:r w:rsidRPr="00C66D0C">
              <w:rPr>
                <w:rFonts w:hint="eastAsia"/>
                <w:rtl/>
              </w:rPr>
              <w:t>מקיימים</w:t>
            </w:r>
            <w:r w:rsidRPr="00C66D0C">
              <w:rPr>
                <w:rtl/>
              </w:rPr>
              <w:t xml:space="preserve"> פעילות חינוך </w:t>
            </w:r>
            <w:r>
              <w:rPr>
                <w:rFonts w:hint="cs"/>
                <w:rtl/>
              </w:rPr>
              <w:t>שלפיהן נאסרת</w:t>
            </w:r>
            <w:r w:rsidRPr="00C66D0C">
              <w:rPr>
                <w:rtl/>
              </w:rPr>
              <w:t xml:space="preserve"> </w:t>
            </w:r>
            <w:r w:rsidRPr="00C66D0C">
              <w:rPr>
                <w:rFonts w:hint="eastAsia"/>
                <w:rtl/>
              </w:rPr>
              <w:t>פתיחת</w:t>
            </w:r>
            <w:r w:rsidRPr="00C66D0C">
              <w:rPr>
                <w:rtl/>
              </w:rPr>
              <w:t xml:space="preserve"> </w:t>
            </w:r>
            <w:r w:rsidRPr="00C66D0C">
              <w:rPr>
                <w:rFonts w:hint="eastAsia"/>
                <w:rtl/>
              </w:rPr>
              <w:t>מוסדות</w:t>
            </w:r>
            <w:r w:rsidRPr="00C66D0C">
              <w:rPr>
                <w:rtl/>
              </w:rPr>
              <w:t xml:space="preserve"> </w:t>
            </w:r>
            <w:r w:rsidRPr="00C66D0C">
              <w:rPr>
                <w:rFonts w:hint="eastAsia"/>
                <w:rtl/>
              </w:rPr>
              <w:t>כאמור</w:t>
            </w:r>
            <w:r w:rsidRPr="00C66D0C">
              <w:rPr>
                <w:rtl/>
              </w:rPr>
              <w:t xml:space="preserve"> </w:t>
            </w:r>
            <w:r w:rsidRPr="00C66D0C">
              <w:rPr>
                <w:rFonts w:hint="eastAsia"/>
                <w:rtl/>
              </w:rPr>
              <w:t>לתלמידים</w:t>
            </w:r>
            <w:r w:rsidRPr="00C66D0C">
              <w:rPr>
                <w:rtl/>
              </w:rPr>
              <w:t xml:space="preserve">, </w:t>
            </w:r>
            <w:r w:rsidRPr="00C66D0C">
              <w:rPr>
                <w:rFonts w:hint="eastAsia"/>
                <w:rtl/>
              </w:rPr>
              <w:t>למעט</w:t>
            </w:r>
            <w:r w:rsidRPr="00C66D0C">
              <w:rPr>
                <w:rtl/>
              </w:rPr>
              <w:t xml:space="preserve"> </w:t>
            </w:r>
            <w:r w:rsidRPr="00C66D0C">
              <w:rPr>
                <w:rFonts w:hint="eastAsia"/>
                <w:rtl/>
              </w:rPr>
              <w:t>הפעלת</w:t>
            </w:r>
            <w:r w:rsidRPr="00C66D0C">
              <w:rPr>
                <w:rtl/>
              </w:rPr>
              <w:t xml:space="preserve"> </w:t>
            </w:r>
            <w:r w:rsidRPr="00C66D0C">
              <w:rPr>
                <w:rFonts w:hint="eastAsia"/>
                <w:rtl/>
              </w:rPr>
              <w:t>גופים</w:t>
            </w:r>
            <w:r w:rsidRPr="00C66D0C">
              <w:rPr>
                <w:rtl/>
              </w:rPr>
              <w:t xml:space="preserve"> </w:t>
            </w:r>
            <w:r w:rsidRPr="00C66D0C">
              <w:rPr>
                <w:rFonts w:hint="eastAsia"/>
                <w:rtl/>
              </w:rPr>
              <w:t>או</w:t>
            </w:r>
            <w:r w:rsidRPr="00C66D0C">
              <w:rPr>
                <w:rtl/>
              </w:rPr>
              <w:t xml:space="preserve"> </w:t>
            </w:r>
            <w:r w:rsidRPr="00C66D0C">
              <w:rPr>
                <w:rFonts w:hint="eastAsia"/>
                <w:rtl/>
              </w:rPr>
              <w:t>מוסדות</w:t>
            </w:r>
            <w:r w:rsidRPr="00C66D0C">
              <w:rPr>
                <w:rtl/>
              </w:rPr>
              <w:t xml:space="preserve"> </w:t>
            </w:r>
            <w:r w:rsidRPr="00C66D0C">
              <w:rPr>
                <w:rFonts w:hint="eastAsia"/>
                <w:rtl/>
              </w:rPr>
              <w:t>כמפורט</w:t>
            </w:r>
            <w:r w:rsidRPr="00C66D0C">
              <w:rPr>
                <w:rtl/>
              </w:rPr>
              <w:t xml:space="preserve"> </w:t>
            </w:r>
            <w:r w:rsidRPr="00C66D0C">
              <w:rPr>
                <w:rFonts w:hint="eastAsia"/>
                <w:rtl/>
              </w:rPr>
              <w:t>בסעיף</w:t>
            </w:r>
            <w:r w:rsidRPr="00C66D0C">
              <w:rPr>
                <w:rtl/>
              </w:rPr>
              <w:t xml:space="preserve"> 10(ג)</w:t>
            </w:r>
            <w:r>
              <w:rPr>
                <w:rFonts w:hint="cs"/>
                <w:rtl/>
              </w:rPr>
              <w:t xml:space="preserve"> ולמעט </w:t>
            </w:r>
            <w:r w:rsidRPr="00981B40">
              <w:rPr>
                <w:rFonts w:hint="cs"/>
                <w:rtl/>
              </w:rPr>
              <w:t xml:space="preserve">פנימיות </w:t>
            </w:r>
            <w:r w:rsidRPr="00981B40">
              <w:rPr>
                <w:rFonts w:hint="eastAsia"/>
                <w:rtl/>
              </w:rPr>
              <w:t>ובחינות</w:t>
            </w:r>
            <w:r w:rsidRPr="00981B40">
              <w:rPr>
                <w:rtl/>
              </w:rPr>
              <w:t xml:space="preserve"> כאמור בסעיף</w:t>
            </w:r>
            <w:r w:rsidRPr="00067DF7">
              <w:rPr>
                <w:rtl/>
              </w:rPr>
              <w:t xml:space="preserve"> 10(ד)(1) עד (</w:t>
            </w:r>
            <w:r>
              <w:rPr>
                <w:rFonts w:hint="cs"/>
                <w:rtl/>
              </w:rPr>
              <w:t>3</w:t>
            </w:r>
            <w:r w:rsidRPr="00067DF7">
              <w:rPr>
                <w:rtl/>
              </w:rPr>
              <w:t>)</w:t>
            </w:r>
            <w:r w:rsidRPr="006343F7">
              <w:rPr>
                <w:rFonts w:hint="cs"/>
                <w:rtl/>
              </w:rPr>
              <w:t>;</w:t>
            </w:r>
            <w:r>
              <w:rPr>
                <w:rFonts w:ascii="David" w:hAnsi="David" w:hint="cs"/>
                <w:sz w:val="26"/>
                <w:rtl/>
              </w:rPr>
              <w:t xml:space="preserve"> לעניין פסקה זו, </w:t>
            </w:r>
            <w:r w:rsidRPr="004D5357">
              <w:rPr>
                <w:rtl/>
              </w:rPr>
              <w:t>"</w:t>
            </w:r>
            <w:r w:rsidRPr="00067DF7">
              <w:rPr>
                <w:rFonts w:hint="eastAsia"/>
                <w:rtl/>
              </w:rPr>
              <w:t>פנימייה</w:t>
            </w:r>
            <w:r w:rsidRPr="004D5357">
              <w:rPr>
                <w:rtl/>
              </w:rPr>
              <w:t xml:space="preserve">" – </w:t>
            </w:r>
            <w:r w:rsidRPr="00067DF7">
              <w:rPr>
                <w:rtl/>
              </w:rPr>
              <w:t xml:space="preserve">מסגרת </w:t>
            </w:r>
            <w:r w:rsidRPr="00067DF7">
              <w:rPr>
                <w:rFonts w:hint="eastAsia"/>
                <w:rtl/>
              </w:rPr>
              <w:t>ש</w:t>
            </w:r>
            <w:r w:rsidRPr="00067DF7">
              <w:rPr>
                <w:rtl/>
              </w:rPr>
              <w:t xml:space="preserve">מתגוררים </w:t>
            </w:r>
            <w:r w:rsidRPr="00067DF7">
              <w:rPr>
                <w:rFonts w:hint="eastAsia"/>
                <w:rtl/>
              </w:rPr>
              <w:t>בה</w:t>
            </w:r>
            <w:r w:rsidRPr="00067DF7">
              <w:rPr>
                <w:rtl/>
              </w:rPr>
              <w:t xml:space="preserve"> תלמידים, המספקת לתלמידים מגורים ומעטפת חינוכית, חברתית או טיפולית </w:t>
            </w:r>
            <w:r w:rsidRPr="00067DF7">
              <w:rPr>
                <w:rFonts w:hint="eastAsia"/>
                <w:rtl/>
              </w:rPr>
              <w:t>ב</w:t>
            </w:r>
            <w:r w:rsidRPr="00067DF7">
              <w:rPr>
                <w:rtl/>
              </w:rPr>
              <w:t>כל שעות היממה, לרבות מוסד תורני המקיים פעילות כאמור ופנימייה כאמור בסעיף 10(ג)(5), ולמעט מסגרת חוץ-ביתית;</w:t>
            </w:r>
            <w:r>
              <w:rPr>
                <w:rFonts w:ascii="David" w:hAnsi="David" w:hint="cs"/>
                <w:sz w:val="26"/>
                <w:rtl/>
              </w:rPr>
              <w:t xml:space="preserve"> </w:t>
            </w:r>
          </w:p>
        </w:tc>
      </w:tr>
      <w:tr w:rsidR="003103A0" w:rsidRPr="00DD55BD" w14:paraId="4DD1D8C7"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6BC10ED2"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68626CC6"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2F3C3B8"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CA830DF"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B67E2B5"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B7111CC"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BC482FE" w14:textId="77777777" w:rsidR="003103A0" w:rsidRPr="00DD55BD" w:rsidRDefault="003103A0" w:rsidP="003103A0">
            <w:pPr>
              <w:pStyle w:val="TableText"/>
              <w:rPr>
                <w:rFonts w:ascii="David" w:hAnsi="David"/>
                <w:sz w:val="26"/>
                <w:rtl/>
              </w:rPr>
            </w:pPr>
          </w:p>
        </w:tc>
        <w:tc>
          <w:tcPr>
            <w:tcW w:w="4023" w:type="dxa"/>
            <w:shd w:val="clear" w:color="auto" w:fill="auto"/>
            <w:tcMar>
              <w:top w:w="91" w:type="dxa"/>
              <w:left w:w="0" w:type="dxa"/>
              <w:bottom w:w="91" w:type="dxa"/>
              <w:right w:w="0" w:type="dxa"/>
            </w:tcMar>
          </w:tcPr>
          <w:p w14:paraId="3CE239D8" w14:textId="77777777" w:rsidR="003103A0" w:rsidRPr="00DD55BD" w:rsidRDefault="003103A0" w:rsidP="00EF2C4E">
            <w:pPr>
              <w:pStyle w:val="TableBlock"/>
              <w:rPr>
                <w:rFonts w:ascii="David" w:hAnsi="David"/>
                <w:sz w:val="26"/>
                <w:rtl/>
              </w:rPr>
            </w:pPr>
            <w:r w:rsidRPr="00DD55BD">
              <w:rPr>
                <w:rFonts w:ascii="David" w:hAnsi="David"/>
                <w:sz w:val="26"/>
                <w:rtl/>
              </w:rPr>
              <w:t>(5)</w:t>
            </w:r>
            <w:r w:rsidRPr="00DD55BD">
              <w:rPr>
                <w:rFonts w:ascii="David" w:hAnsi="David"/>
                <w:sz w:val="26"/>
                <w:rtl/>
              </w:rPr>
              <w:tab/>
              <w:t xml:space="preserve">תקנות </w:t>
            </w:r>
            <w:r>
              <w:rPr>
                <w:rFonts w:hint="cs"/>
                <w:rtl/>
              </w:rPr>
              <w:t xml:space="preserve">או הוראות שניתנו לפיהן </w:t>
            </w:r>
            <w:r w:rsidRPr="00DD55BD">
              <w:rPr>
                <w:rFonts w:ascii="David" w:hAnsi="David"/>
                <w:sz w:val="26"/>
                <w:rtl/>
              </w:rPr>
              <w:t>המאפשרות הפעלה של תחבורה ציבורית במידה המזערית הנדרשת, בלבד, לצורך נגישות למקומות שפתיחתם והפעלתם התאפשרה כאמור בפסקאות (3) ו</w:t>
            </w:r>
            <w:r>
              <w:rPr>
                <w:rFonts w:ascii="David" w:hAnsi="David" w:hint="cs"/>
                <w:sz w:val="26"/>
                <w:rtl/>
              </w:rPr>
              <w:t>-</w:t>
            </w:r>
            <w:r w:rsidRPr="00DD55BD">
              <w:rPr>
                <w:rFonts w:ascii="David" w:hAnsi="David"/>
                <w:sz w:val="26"/>
                <w:rtl/>
              </w:rPr>
              <w:t>(4)</w:t>
            </w:r>
            <w:r>
              <w:rPr>
                <w:rFonts w:ascii="David" w:hAnsi="David" w:hint="cs"/>
                <w:sz w:val="26"/>
                <w:rtl/>
              </w:rPr>
              <w:t>;</w:t>
            </w:r>
          </w:p>
        </w:tc>
      </w:tr>
      <w:tr w:rsidR="003103A0" w:rsidRPr="00DD55BD" w14:paraId="34FD31B2"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067624CF"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7D6EDCDB" w14:textId="77777777" w:rsidR="003103A0" w:rsidRPr="00DD55BD" w:rsidRDefault="003103A0" w:rsidP="003103A0">
            <w:pPr>
              <w:pStyle w:val="TableText"/>
              <w:rPr>
                <w:rtl/>
              </w:rPr>
            </w:pPr>
          </w:p>
        </w:tc>
        <w:tc>
          <w:tcPr>
            <w:tcW w:w="624" w:type="dxa"/>
            <w:shd w:val="clear" w:color="auto" w:fill="auto"/>
            <w:tcMar>
              <w:top w:w="91" w:type="dxa"/>
              <w:left w:w="0" w:type="dxa"/>
              <w:bottom w:w="91" w:type="dxa"/>
              <w:right w:w="0" w:type="dxa"/>
            </w:tcMar>
          </w:tcPr>
          <w:p w14:paraId="211BBE96"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406B523D"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03ECE84"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4858E6C"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02B59171" w14:textId="77777777" w:rsidR="003103A0" w:rsidRPr="00DD55BD" w:rsidRDefault="003103A0" w:rsidP="003103A0">
            <w:pPr>
              <w:pStyle w:val="TableText"/>
              <w:rPr>
                <w:rFonts w:ascii="David" w:hAnsi="David"/>
                <w:sz w:val="26"/>
                <w:rtl/>
              </w:rPr>
            </w:pPr>
          </w:p>
        </w:tc>
        <w:tc>
          <w:tcPr>
            <w:tcW w:w="4023" w:type="dxa"/>
            <w:shd w:val="clear" w:color="auto" w:fill="auto"/>
            <w:tcMar>
              <w:top w:w="91" w:type="dxa"/>
              <w:left w:w="0" w:type="dxa"/>
              <w:bottom w:w="91" w:type="dxa"/>
              <w:right w:w="0" w:type="dxa"/>
            </w:tcMar>
          </w:tcPr>
          <w:p w14:paraId="0A99451D" w14:textId="77777777" w:rsidR="003103A0" w:rsidRPr="00DD55BD" w:rsidRDefault="003103A0" w:rsidP="00EF2C4E">
            <w:pPr>
              <w:pStyle w:val="TableBlock"/>
              <w:rPr>
                <w:rFonts w:ascii="David" w:hAnsi="David"/>
                <w:sz w:val="26"/>
                <w:rtl/>
              </w:rPr>
            </w:pPr>
            <w:r>
              <w:rPr>
                <w:rtl/>
              </w:rPr>
              <w:t>(6)</w:t>
            </w:r>
            <w:r>
              <w:rPr>
                <w:rtl/>
              </w:rPr>
              <w:tab/>
            </w:r>
            <w:r>
              <w:rPr>
                <w:rFonts w:hint="cs"/>
                <w:rtl/>
              </w:rPr>
              <w:t>תקנות המגבילות נסיעה ברכב שאינו תחבורה יבשתית בהתאם להוראות סעיף 6.</w:t>
            </w:r>
          </w:p>
        </w:tc>
      </w:tr>
      <w:tr w:rsidR="003103A0" w:rsidRPr="00DD55BD" w14:paraId="3D941B8F"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7068410F"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6A94D15F"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A3127EA"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AD52641"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E297B2E"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8677F61" w14:textId="77777777" w:rsidR="003103A0" w:rsidRPr="00DD55BD" w:rsidRDefault="003103A0" w:rsidP="003103A0">
            <w:pPr>
              <w:pStyle w:val="TableText"/>
              <w:rPr>
                <w:rFonts w:ascii="David" w:hAnsi="David"/>
                <w:sz w:val="26"/>
                <w:rtl/>
              </w:rPr>
            </w:pPr>
          </w:p>
        </w:tc>
        <w:tc>
          <w:tcPr>
            <w:tcW w:w="4647" w:type="dxa"/>
            <w:gridSpan w:val="2"/>
            <w:shd w:val="clear" w:color="auto" w:fill="auto"/>
            <w:tcMar>
              <w:top w:w="91" w:type="dxa"/>
              <w:left w:w="0" w:type="dxa"/>
              <w:bottom w:w="91" w:type="dxa"/>
              <w:right w:w="0" w:type="dxa"/>
            </w:tcMar>
          </w:tcPr>
          <w:p w14:paraId="358EAD1E" w14:textId="77777777" w:rsidR="003103A0" w:rsidRPr="00DD55BD" w:rsidRDefault="003103A0" w:rsidP="00EF2C4E">
            <w:pPr>
              <w:pStyle w:val="TableBlock"/>
              <w:rPr>
                <w:rFonts w:ascii="David" w:hAnsi="David"/>
                <w:sz w:val="26"/>
                <w:rtl/>
              </w:rPr>
            </w:pPr>
            <w:r>
              <w:rPr>
                <w:rFonts w:hint="cs"/>
                <w:rtl/>
              </w:rPr>
              <w:t>(ג)</w:t>
            </w:r>
            <w:r>
              <w:rPr>
                <w:rtl/>
              </w:rPr>
              <w:tab/>
            </w:r>
            <w:r w:rsidRPr="00124011">
              <w:rPr>
                <w:rFonts w:hint="cs"/>
                <w:rtl/>
              </w:rPr>
              <w:t>אין</w:t>
            </w:r>
            <w:r w:rsidRPr="00124011">
              <w:rPr>
                <w:rtl/>
              </w:rPr>
              <w:t xml:space="preserve"> </w:t>
            </w:r>
            <w:r>
              <w:rPr>
                <w:rFonts w:hint="cs"/>
                <w:rtl/>
              </w:rPr>
              <w:t xml:space="preserve">בהוראות </w:t>
            </w:r>
            <w:r w:rsidRPr="00124011">
              <w:rPr>
                <w:rtl/>
              </w:rPr>
              <w:t xml:space="preserve">סעיף קטן (ב) </w:t>
            </w:r>
            <w:r>
              <w:rPr>
                <w:rFonts w:hint="cs"/>
                <w:rtl/>
              </w:rPr>
              <w:t xml:space="preserve">כדי </w:t>
            </w:r>
            <w:r w:rsidRPr="00124011">
              <w:rPr>
                <w:rtl/>
              </w:rPr>
              <w:t>לג</w:t>
            </w:r>
            <w:r>
              <w:rPr>
                <w:rtl/>
              </w:rPr>
              <w:t xml:space="preserve">רוע מסמכות הממשלה לקבוע </w:t>
            </w:r>
            <w:r>
              <w:rPr>
                <w:rFonts w:hint="cs"/>
                <w:rtl/>
              </w:rPr>
              <w:t>ה</w:t>
            </w:r>
            <w:r>
              <w:rPr>
                <w:rtl/>
              </w:rPr>
              <w:t xml:space="preserve">גבלות </w:t>
            </w:r>
            <w:r>
              <w:rPr>
                <w:rFonts w:hint="cs"/>
                <w:rtl/>
              </w:rPr>
              <w:t>נ</w:t>
            </w:r>
            <w:r w:rsidRPr="00124011">
              <w:rPr>
                <w:rtl/>
              </w:rPr>
              <w:t xml:space="preserve">וספות </w:t>
            </w:r>
            <w:r w:rsidRPr="00124011">
              <w:rPr>
                <w:rFonts w:hint="cs"/>
                <w:rtl/>
              </w:rPr>
              <w:t>על</w:t>
            </w:r>
            <w:r w:rsidRPr="00124011">
              <w:rPr>
                <w:rtl/>
              </w:rPr>
              <w:t xml:space="preserve"> </w:t>
            </w:r>
            <w:r>
              <w:rPr>
                <w:rFonts w:hint="cs"/>
                <w:rtl/>
              </w:rPr>
              <w:t xml:space="preserve">הוראות </w:t>
            </w:r>
            <w:r w:rsidRPr="00124011">
              <w:rPr>
                <w:rFonts w:hint="cs"/>
                <w:rtl/>
              </w:rPr>
              <w:t>אותו</w:t>
            </w:r>
            <w:r w:rsidRPr="00124011">
              <w:rPr>
                <w:rtl/>
              </w:rPr>
              <w:t xml:space="preserve"> </w:t>
            </w:r>
            <w:r w:rsidRPr="00124011">
              <w:rPr>
                <w:rFonts w:hint="cs"/>
                <w:rtl/>
              </w:rPr>
              <w:t>סעיף</w:t>
            </w:r>
            <w:r w:rsidRPr="00124011">
              <w:rPr>
                <w:rtl/>
              </w:rPr>
              <w:t xml:space="preserve"> </w:t>
            </w:r>
            <w:r w:rsidRPr="00124011">
              <w:rPr>
                <w:rFonts w:hint="cs"/>
                <w:rtl/>
              </w:rPr>
              <w:t>קטן</w:t>
            </w:r>
            <w:r w:rsidRPr="00124011">
              <w:rPr>
                <w:rtl/>
              </w:rPr>
              <w:t xml:space="preserve"> מכוח סעיפים 6 עד 12</w:t>
            </w:r>
            <w:r>
              <w:rPr>
                <w:rFonts w:hint="cs"/>
                <w:rtl/>
              </w:rPr>
              <w:t>,</w:t>
            </w:r>
            <w:r w:rsidRPr="00124011">
              <w:rPr>
                <w:rtl/>
              </w:rPr>
              <w:t xml:space="preserve"> </w:t>
            </w:r>
            <w:r w:rsidRPr="00124011">
              <w:rPr>
                <w:rFonts w:hint="cs"/>
                <w:rtl/>
              </w:rPr>
              <w:t>בעת</w:t>
            </w:r>
            <w:r w:rsidRPr="00124011">
              <w:rPr>
                <w:rtl/>
              </w:rPr>
              <w:t xml:space="preserve"> </w:t>
            </w:r>
            <w:r w:rsidRPr="00124011">
              <w:rPr>
                <w:rFonts w:hint="cs"/>
                <w:rtl/>
              </w:rPr>
              <w:t>תוקפה</w:t>
            </w:r>
            <w:r w:rsidRPr="00124011">
              <w:rPr>
                <w:rtl/>
              </w:rPr>
              <w:t xml:space="preserve"> </w:t>
            </w:r>
            <w:r w:rsidRPr="00124011">
              <w:rPr>
                <w:rFonts w:hint="cs"/>
                <w:rtl/>
              </w:rPr>
              <w:t>של</w:t>
            </w:r>
            <w:r w:rsidRPr="00124011">
              <w:rPr>
                <w:rtl/>
              </w:rPr>
              <w:t xml:space="preserve"> </w:t>
            </w:r>
            <w:r w:rsidRPr="00124011">
              <w:rPr>
                <w:rFonts w:hint="cs"/>
                <w:rtl/>
              </w:rPr>
              <w:t>הכרזה</w:t>
            </w:r>
            <w:r w:rsidRPr="00124011">
              <w:rPr>
                <w:rtl/>
              </w:rPr>
              <w:t xml:space="preserve"> </w:t>
            </w:r>
            <w:r w:rsidRPr="00124011">
              <w:rPr>
                <w:rFonts w:hint="cs"/>
                <w:rtl/>
              </w:rPr>
              <w:t>על</w:t>
            </w:r>
            <w:r w:rsidRPr="00124011">
              <w:rPr>
                <w:rtl/>
              </w:rPr>
              <w:t xml:space="preserve"> </w:t>
            </w:r>
            <w:r w:rsidRPr="00124011">
              <w:rPr>
                <w:rFonts w:hint="cs"/>
                <w:rtl/>
              </w:rPr>
              <w:t>מצב</w:t>
            </w:r>
            <w:r w:rsidRPr="00124011">
              <w:rPr>
                <w:rtl/>
              </w:rPr>
              <w:t xml:space="preserve"> </w:t>
            </w:r>
            <w:r w:rsidRPr="00124011">
              <w:rPr>
                <w:rFonts w:hint="cs"/>
                <w:rtl/>
              </w:rPr>
              <w:t>חירום</w:t>
            </w:r>
            <w:r w:rsidRPr="00124011">
              <w:rPr>
                <w:rtl/>
              </w:rPr>
              <w:t xml:space="preserve"> בשל נגיף הקורונה או בעת תוקפה של הכרזה על מצב חירום מיוחד</w:t>
            </w:r>
            <w:r>
              <w:rPr>
                <w:rFonts w:hint="cs"/>
                <w:rtl/>
              </w:rPr>
              <w:t xml:space="preserve"> בשל נגיף הקורונה</w:t>
            </w:r>
            <w:r w:rsidRPr="00124011">
              <w:rPr>
                <w:rtl/>
              </w:rPr>
              <w:t>.</w:t>
            </w:r>
          </w:p>
        </w:tc>
      </w:tr>
      <w:tr w:rsidR="003103A0" w:rsidRPr="00DD55BD" w14:paraId="7CE71309"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75F2179C"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6380B3A1"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B782059"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A7DCFA6"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793DA90"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E349630" w14:textId="77777777" w:rsidR="003103A0" w:rsidRPr="00DD55BD" w:rsidRDefault="003103A0" w:rsidP="003103A0">
            <w:pPr>
              <w:pStyle w:val="TableText"/>
              <w:rPr>
                <w:rFonts w:ascii="David" w:hAnsi="David"/>
                <w:sz w:val="26"/>
                <w:rtl/>
              </w:rPr>
            </w:pPr>
          </w:p>
        </w:tc>
        <w:tc>
          <w:tcPr>
            <w:tcW w:w="4647" w:type="dxa"/>
            <w:gridSpan w:val="2"/>
            <w:shd w:val="clear" w:color="auto" w:fill="auto"/>
            <w:tcMar>
              <w:top w:w="91" w:type="dxa"/>
              <w:left w:w="0" w:type="dxa"/>
              <w:bottom w:w="91" w:type="dxa"/>
              <w:right w:w="0" w:type="dxa"/>
            </w:tcMar>
          </w:tcPr>
          <w:p w14:paraId="02727B0B" w14:textId="77777777" w:rsidR="003103A0" w:rsidRPr="00DD55BD" w:rsidRDefault="003103A0" w:rsidP="00EF2C4E">
            <w:pPr>
              <w:pStyle w:val="TableBlock"/>
              <w:rPr>
                <w:rFonts w:ascii="David" w:hAnsi="David"/>
                <w:sz w:val="26"/>
                <w:rtl/>
              </w:rPr>
            </w:pPr>
            <w:r w:rsidRPr="00DD55BD">
              <w:rPr>
                <w:rFonts w:ascii="David" w:hAnsi="David"/>
                <w:sz w:val="26"/>
                <w:rtl/>
              </w:rPr>
              <w:t>(</w:t>
            </w:r>
            <w:r>
              <w:rPr>
                <w:rFonts w:ascii="David" w:hAnsi="David" w:hint="cs"/>
                <w:sz w:val="26"/>
                <w:rtl/>
              </w:rPr>
              <w:t>ד</w:t>
            </w:r>
            <w:r w:rsidRPr="00DD55BD">
              <w:rPr>
                <w:rFonts w:ascii="David" w:hAnsi="David"/>
                <w:sz w:val="26"/>
                <w:rtl/>
              </w:rPr>
              <w:t>)</w:t>
            </w:r>
            <w:r w:rsidRPr="00DD55BD">
              <w:rPr>
                <w:rFonts w:ascii="David" w:hAnsi="David"/>
                <w:sz w:val="26"/>
                <w:rtl/>
              </w:rPr>
              <w:tab/>
              <w:t>לא תכריז הממשלה על מצב חירום מיוחד בשל נגיף הקורונה אלא לאחר שהובאו לפניה עמדת שר הבריאות וחוות דעת מקצועית מטעם משרד הבריאות המבססת את קיומו של המצב הבריאותי החמור; הוראות סעיף 2(ב) ו</w:t>
            </w:r>
            <w:r>
              <w:rPr>
                <w:rFonts w:ascii="David" w:hAnsi="David"/>
                <w:sz w:val="26"/>
                <w:rtl/>
              </w:rPr>
              <w:t>-</w:t>
            </w:r>
            <w:r w:rsidRPr="00DD55BD">
              <w:rPr>
                <w:rFonts w:ascii="David" w:hAnsi="David"/>
                <w:sz w:val="26"/>
                <w:rtl/>
              </w:rPr>
              <w:t>(ג) יחולו על הכרזה על מצב חירום מיוחד בשל נגיף הקורונה, בשינויים המחויבים.</w:t>
            </w:r>
          </w:p>
        </w:tc>
      </w:tr>
      <w:tr w:rsidR="003103A0" w:rsidRPr="00DD55BD" w14:paraId="089E114F"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47D22965"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648AF276"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418492DA"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160283F3"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98CB114"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5724820" w14:textId="77777777" w:rsidR="003103A0" w:rsidRPr="00DD55BD" w:rsidRDefault="003103A0" w:rsidP="003103A0">
            <w:pPr>
              <w:pStyle w:val="TableText"/>
              <w:rPr>
                <w:rFonts w:ascii="David" w:hAnsi="David"/>
                <w:sz w:val="26"/>
                <w:rtl/>
              </w:rPr>
            </w:pPr>
          </w:p>
        </w:tc>
        <w:tc>
          <w:tcPr>
            <w:tcW w:w="4647" w:type="dxa"/>
            <w:gridSpan w:val="2"/>
            <w:shd w:val="clear" w:color="auto" w:fill="auto"/>
            <w:tcMar>
              <w:top w:w="91" w:type="dxa"/>
              <w:left w:w="0" w:type="dxa"/>
              <w:bottom w:w="91" w:type="dxa"/>
              <w:right w:w="0" w:type="dxa"/>
            </w:tcMar>
          </w:tcPr>
          <w:p w14:paraId="2C45B0D8" w14:textId="77777777" w:rsidR="003103A0" w:rsidRPr="00DD55BD" w:rsidRDefault="003103A0" w:rsidP="00EF2C4E">
            <w:pPr>
              <w:pStyle w:val="TableBlock"/>
              <w:rPr>
                <w:rFonts w:ascii="David" w:hAnsi="David"/>
                <w:sz w:val="26"/>
                <w:rtl/>
              </w:rPr>
            </w:pPr>
            <w:r w:rsidRPr="00DD55BD">
              <w:rPr>
                <w:rFonts w:ascii="David" w:hAnsi="David"/>
                <w:sz w:val="26"/>
                <w:rtl/>
              </w:rPr>
              <w:t>(</w:t>
            </w:r>
            <w:r>
              <w:rPr>
                <w:rFonts w:ascii="David" w:hAnsi="David" w:hint="cs"/>
                <w:sz w:val="26"/>
                <w:rtl/>
              </w:rPr>
              <w:t>ה</w:t>
            </w:r>
            <w:r w:rsidRPr="00DD55BD">
              <w:rPr>
                <w:rFonts w:ascii="David" w:hAnsi="David"/>
                <w:sz w:val="26"/>
                <w:rtl/>
              </w:rPr>
              <w:t>)</w:t>
            </w:r>
            <w:r w:rsidRPr="00DD55BD">
              <w:rPr>
                <w:rFonts w:ascii="David" w:hAnsi="David"/>
                <w:sz w:val="26"/>
                <w:rtl/>
              </w:rPr>
              <w:tab/>
              <w:t>הכרזה על מצב חירום מיוחד בשל נגיף הקורונה תעמוד בתוקפה לתקופה שתיקבע בה בהתחשב בחומרת המצב</w:t>
            </w:r>
            <w:r>
              <w:rPr>
                <w:rFonts w:ascii="David" w:hAnsi="David" w:hint="cs"/>
                <w:sz w:val="26"/>
                <w:rtl/>
              </w:rPr>
              <w:t xml:space="preserve"> הבריאותי</w:t>
            </w:r>
            <w:r w:rsidRPr="00DD55BD">
              <w:rPr>
                <w:rFonts w:ascii="David" w:hAnsi="David"/>
                <w:sz w:val="26"/>
                <w:rtl/>
              </w:rPr>
              <w:t xml:space="preserve">, ושלא תעלה על 7 ימים, אך לא יותר מתקופת תוקפה של ההכרזה על מצב חירום בשל נגיף הקורונה, ורשאית הממשלה </w:t>
            </w:r>
            <w:r>
              <w:rPr>
                <w:rFonts w:ascii="David" w:hAnsi="David"/>
                <w:sz w:val="26"/>
                <w:rtl/>
              </w:rPr>
              <w:t>–</w:t>
            </w:r>
            <w:r w:rsidRPr="00DD55BD">
              <w:rPr>
                <w:rFonts w:ascii="David" w:hAnsi="David"/>
                <w:sz w:val="26"/>
                <w:rtl/>
              </w:rPr>
              <w:t xml:space="preserve"> </w:t>
            </w:r>
          </w:p>
        </w:tc>
      </w:tr>
      <w:tr w:rsidR="003103A0" w:rsidRPr="00DD55BD" w14:paraId="5BA20580"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330AB813"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3D448978"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095A8EE6"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228B9E9"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1F710DDE"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4F2DB89E"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8105D5E" w14:textId="77777777" w:rsidR="003103A0" w:rsidRPr="00DD55BD" w:rsidRDefault="003103A0" w:rsidP="003103A0">
            <w:pPr>
              <w:pStyle w:val="TableText"/>
              <w:rPr>
                <w:rFonts w:ascii="David" w:hAnsi="David"/>
                <w:sz w:val="26"/>
                <w:rtl/>
              </w:rPr>
            </w:pPr>
          </w:p>
        </w:tc>
        <w:tc>
          <w:tcPr>
            <w:tcW w:w="4023" w:type="dxa"/>
            <w:shd w:val="clear" w:color="auto" w:fill="auto"/>
            <w:tcMar>
              <w:top w:w="91" w:type="dxa"/>
              <w:left w:w="0" w:type="dxa"/>
              <w:bottom w:w="91" w:type="dxa"/>
              <w:right w:w="0" w:type="dxa"/>
            </w:tcMar>
          </w:tcPr>
          <w:p w14:paraId="16DA9C11" w14:textId="77777777" w:rsidR="003103A0" w:rsidRPr="00DD55BD" w:rsidRDefault="003103A0" w:rsidP="00EF2C4E">
            <w:pPr>
              <w:pStyle w:val="TableBlock"/>
              <w:rPr>
                <w:rFonts w:ascii="David" w:hAnsi="David"/>
                <w:sz w:val="26"/>
                <w:rtl/>
              </w:rPr>
            </w:pPr>
            <w:r w:rsidRPr="00DD55BD">
              <w:rPr>
                <w:rFonts w:ascii="David" w:hAnsi="David"/>
                <w:sz w:val="26"/>
                <w:rtl/>
              </w:rPr>
              <w:t>(1)</w:t>
            </w:r>
            <w:r w:rsidRPr="00DD55BD">
              <w:rPr>
                <w:rFonts w:ascii="David" w:hAnsi="David"/>
                <w:sz w:val="26"/>
                <w:rtl/>
              </w:rPr>
              <w:tab/>
              <w:t>להאריך את תוקפה של ההכרזה לתקופות נוספות שלא יעלו על 7 ימים כל אחת, ובלבד שתקופת ההכרזה הכוללת לא תעלה על 21 ימים;</w:t>
            </w:r>
          </w:p>
        </w:tc>
      </w:tr>
      <w:tr w:rsidR="003103A0" w:rsidRPr="00DD55BD" w14:paraId="6932EDBF"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71B9EAB8"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046E9247"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0EE63F8"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47DE114"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1C30C11E"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156D5153"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1DD5A430" w14:textId="77777777" w:rsidR="003103A0" w:rsidRPr="00DD55BD" w:rsidRDefault="003103A0" w:rsidP="003103A0">
            <w:pPr>
              <w:pStyle w:val="TableText"/>
              <w:rPr>
                <w:rFonts w:ascii="David" w:hAnsi="David"/>
                <w:sz w:val="26"/>
                <w:rtl/>
              </w:rPr>
            </w:pPr>
          </w:p>
        </w:tc>
        <w:tc>
          <w:tcPr>
            <w:tcW w:w="4023" w:type="dxa"/>
            <w:shd w:val="clear" w:color="auto" w:fill="auto"/>
            <w:tcMar>
              <w:top w:w="91" w:type="dxa"/>
              <w:left w:w="0" w:type="dxa"/>
              <w:bottom w:w="91" w:type="dxa"/>
              <w:right w:w="0" w:type="dxa"/>
            </w:tcMar>
          </w:tcPr>
          <w:p w14:paraId="28088068" w14:textId="77777777" w:rsidR="003103A0" w:rsidRPr="00DD55BD" w:rsidRDefault="003103A0" w:rsidP="00EF2C4E">
            <w:pPr>
              <w:pStyle w:val="TableBlock"/>
              <w:rPr>
                <w:rFonts w:ascii="David" w:hAnsi="David"/>
                <w:sz w:val="26"/>
                <w:rtl/>
              </w:rPr>
            </w:pPr>
            <w:r w:rsidRPr="00DD55BD">
              <w:rPr>
                <w:rFonts w:ascii="David" w:hAnsi="David"/>
                <w:sz w:val="26"/>
                <w:rtl/>
              </w:rPr>
              <w:t>(2)</w:t>
            </w:r>
            <w:r w:rsidRPr="00DD55BD">
              <w:rPr>
                <w:rFonts w:ascii="David" w:hAnsi="David"/>
                <w:sz w:val="26"/>
                <w:rtl/>
              </w:rPr>
              <w:tab/>
              <w:t xml:space="preserve">באישור ועדת החוקה </w:t>
            </w:r>
            <w:r>
              <w:rPr>
                <w:rFonts w:ascii="David" w:hAnsi="David"/>
                <w:sz w:val="26"/>
                <w:rtl/>
              </w:rPr>
              <w:t>–</w:t>
            </w:r>
            <w:r w:rsidRPr="00DD55BD">
              <w:rPr>
                <w:rFonts w:ascii="David" w:hAnsi="David"/>
                <w:sz w:val="26"/>
                <w:rtl/>
              </w:rPr>
              <w:t xml:space="preserve"> להאריך את תוקפה </w:t>
            </w:r>
            <w:r>
              <w:rPr>
                <w:rFonts w:ascii="David" w:hAnsi="David" w:hint="cs"/>
                <w:sz w:val="26"/>
                <w:rtl/>
              </w:rPr>
              <w:t xml:space="preserve">של ההכרזה </w:t>
            </w:r>
            <w:r w:rsidRPr="00DD55BD">
              <w:rPr>
                <w:rFonts w:ascii="David" w:hAnsi="David"/>
                <w:sz w:val="26"/>
                <w:rtl/>
              </w:rPr>
              <w:t>לתקופות נוספות שלא יעלו על 14 ימים כל אחת; בקשה להארכת ההכרזה לפי פסקה זו תובא לפני ועדת החוקה שלושה ימים לפחות לפני תום תקופת ההכרזה; לא קיבלה ועדת החוקה החלטה עד תום תקופת ההכרזה, יביא יושב ראש הכנסת את הבקשה האמורה להצבעה בכנסת בהקדם האפשרי, ולכל המאוחר עד תום שלושה ימים מתום תקופת ההכרזה, וההכרזה תוארך עד תום התקופה האמורה או עד למועד ההצבעה בכנסת, לפי המוקדם.</w:t>
            </w:r>
          </w:p>
        </w:tc>
      </w:tr>
      <w:tr w:rsidR="003103A0" w:rsidRPr="00DD55BD" w14:paraId="3F762E7A"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61D79BAA"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277BBC73"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0F94CA3"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06FDE049"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492068B"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0111DAEA" w14:textId="77777777" w:rsidR="003103A0" w:rsidRPr="00DD55BD" w:rsidRDefault="003103A0" w:rsidP="003103A0">
            <w:pPr>
              <w:pStyle w:val="TableText"/>
              <w:rPr>
                <w:rFonts w:ascii="David" w:hAnsi="David"/>
                <w:sz w:val="26"/>
                <w:rtl/>
              </w:rPr>
            </w:pPr>
          </w:p>
        </w:tc>
        <w:tc>
          <w:tcPr>
            <w:tcW w:w="4647" w:type="dxa"/>
            <w:gridSpan w:val="2"/>
            <w:shd w:val="clear" w:color="auto" w:fill="auto"/>
            <w:tcMar>
              <w:top w:w="91" w:type="dxa"/>
              <w:left w:w="0" w:type="dxa"/>
              <w:bottom w:w="91" w:type="dxa"/>
              <w:right w:w="0" w:type="dxa"/>
            </w:tcMar>
          </w:tcPr>
          <w:p w14:paraId="25080360" w14:textId="77777777" w:rsidR="003103A0" w:rsidRPr="00DD55BD" w:rsidRDefault="003103A0" w:rsidP="00EF2C4E">
            <w:pPr>
              <w:pStyle w:val="TableBlock"/>
              <w:rPr>
                <w:rFonts w:ascii="David" w:hAnsi="David"/>
                <w:sz w:val="26"/>
                <w:rtl/>
              </w:rPr>
            </w:pPr>
            <w:r w:rsidRPr="00DD55BD">
              <w:rPr>
                <w:rFonts w:ascii="David" w:hAnsi="David"/>
                <w:sz w:val="26"/>
                <w:rtl/>
              </w:rPr>
              <w:t>(</w:t>
            </w:r>
            <w:r>
              <w:rPr>
                <w:rFonts w:ascii="David" w:hAnsi="David" w:hint="cs"/>
                <w:sz w:val="26"/>
                <w:rtl/>
              </w:rPr>
              <w:t>ו</w:t>
            </w:r>
            <w:r w:rsidRPr="00DD55BD">
              <w:rPr>
                <w:rFonts w:ascii="David" w:hAnsi="David"/>
                <w:sz w:val="26"/>
                <w:rtl/>
              </w:rPr>
              <w:t>)</w:t>
            </w:r>
            <w:r w:rsidRPr="00DD55BD">
              <w:rPr>
                <w:rFonts w:ascii="David" w:hAnsi="David"/>
                <w:sz w:val="26"/>
                <w:rtl/>
              </w:rPr>
              <w:tab/>
              <w:t>הוראות סעיף 3 יחולו, בשינויים המחויבים, על ביטול הכרזה על מצב חירום מיוחד בשל נגיף הקורונה.</w:t>
            </w:r>
          </w:p>
        </w:tc>
      </w:tr>
      <w:tr w:rsidR="003103A0" w:rsidRPr="00DD55BD" w14:paraId="2B6E1823"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33E1D0EE"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79190B15"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0CB0F8D"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192075DB"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0D56200A"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C17CC11" w14:textId="77777777" w:rsidR="003103A0" w:rsidRPr="00DD55BD" w:rsidRDefault="003103A0" w:rsidP="003103A0">
            <w:pPr>
              <w:pStyle w:val="TableText"/>
              <w:rPr>
                <w:rFonts w:ascii="David" w:hAnsi="David"/>
                <w:sz w:val="26"/>
                <w:rtl/>
              </w:rPr>
            </w:pPr>
          </w:p>
        </w:tc>
        <w:tc>
          <w:tcPr>
            <w:tcW w:w="4647" w:type="dxa"/>
            <w:gridSpan w:val="2"/>
            <w:shd w:val="clear" w:color="auto" w:fill="auto"/>
            <w:tcMar>
              <w:top w:w="91" w:type="dxa"/>
              <w:left w:w="0" w:type="dxa"/>
              <w:bottom w:w="91" w:type="dxa"/>
              <w:right w:w="0" w:type="dxa"/>
            </w:tcMar>
          </w:tcPr>
          <w:p w14:paraId="77FC76FF" w14:textId="77777777" w:rsidR="003103A0" w:rsidRPr="00DD55BD" w:rsidRDefault="003103A0" w:rsidP="00EF2C4E">
            <w:pPr>
              <w:pStyle w:val="TableBlock"/>
              <w:rPr>
                <w:rFonts w:ascii="David" w:hAnsi="David"/>
                <w:sz w:val="26"/>
                <w:rtl/>
              </w:rPr>
            </w:pPr>
            <w:r w:rsidRPr="00DD55BD">
              <w:rPr>
                <w:rFonts w:ascii="David" w:hAnsi="David"/>
                <w:sz w:val="26"/>
                <w:rtl/>
              </w:rPr>
              <w:t>(</w:t>
            </w:r>
            <w:r>
              <w:rPr>
                <w:rFonts w:ascii="David" w:hAnsi="David" w:hint="cs"/>
                <w:sz w:val="26"/>
                <w:rtl/>
              </w:rPr>
              <w:t>ז</w:t>
            </w:r>
            <w:r w:rsidRPr="00DD55BD">
              <w:rPr>
                <w:rFonts w:ascii="David" w:hAnsi="David"/>
                <w:sz w:val="26"/>
                <w:rtl/>
              </w:rPr>
              <w:t>)</w:t>
            </w:r>
            <w:r w:rsidRPr="00DD55BD">
              <w:rPr>
                <w:rFonts w:ascii="David" w:hAnsi="David"/>
                <w:sz w:val="26"/>
                <w:rtl/>
              </w:rPr>
              <w:tab/>
              <w:t>אין בהכרזה על מצב חירום מיוחד בשל נגיף הקורונה לפי סעיף זה כדי לגרוע מתוקפה של הכרזה על מצב חירום בשל נגיף הקורונה לפי סעיף 2."</w:t>
            </w:r>
          </w:p>
        </w:tc>
      </w:tr>
      <w:tr w:rsidR="003103A0" w:rsidRPr="00DD55BD" w14:paraId="34E727AA"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39A0C82A" w14:textId="77777777" w:rsidR="003103A0" w:rsidRPr="00DD55BD" w:rsidRDefault="003103A0" w:rsidP="003103A0">
            <w:pPr>
              <w:pStyle w:val="TableSideHeading"/>
              <w:rPr>
                <w:rFonts w:ascii="David" w:hAnsi="David"/>
                <w:sz w:val="26"/>
                <w:rtl/>
              </w:rPr>
            </w:pPr>
            <w:r w:rsidRPr="00DD55BD">
              <w:rPr>
                <w:rFonts w:ascii="David" w:hAnsi="David"/>
                <w:sz w:val="26"/>
                <w:rtl/>
              </w:rPr>
              <w:t>תיקון סעיף 4</w:t>
            </w:r>
          </w:p>
        </w:tc>
        <w:tc>
          <w:tcPr>
            <w:tcW w:w="624" w:type="dxa"/>
            <w:shd w:val="clear" w:color="auto" w:fill="auto"/>
            <w:tcMar>
              <w:top w:w="91" w:type="dxa"/>
              <w:left w:w="0" w:type="dxa"/>
              <w:bottom w:w="91" w:type="dxa"/>
              <w:right w:w="0" w:type="dxa"/>
            </w:tcMar>
          </w:tcPr>
          <w:p w14:paraId="682BB7BD" w14:textId="77777777" w:rsidR="003103A0" w:rsidRPr="00DD55BD" w:rsidRDefault="003103A0" w:rsidP="003103A0">
            <w:pPr>
              <w:pStyle w:val="TableText"/>
              <w:rPr>
                <w:rFonts w:ascii="David" w:hAnsi="David"/>
                <w:sz w:val="26"/>
                <w:rtl/>
              </w:rPr>
            </w:pPr>
            <w:r>
              <w:rPr>
                <w:rFonts w:ascii="David" w:hAnsi="David" w:hint="cs"/>
                <w:sz w:val="26"/>
                <w:rtl/>
              </w:rPr>
              <w:t>3</w:t>
            </w:r>
            <w:r w:rsidRPr="00DD55BD">
              <w:rPr>
                <w:rFonts w:ascii="David" w:hAnsi="David"/>
                <w:sz w:val="26"/>
                <w:rtl/>
              </w:rPr>
              <w:t>.</w:t>
            </w:r>
          </w:p>
        </w:tc>
        <w:tc>
          <w:tcPr>
            <w:tcW w:w="7143" w:type="dxa"/>
            <w:gridSpan w:val="6"/>
            <w:shd w:val="clear" w:color="auto" w:fill="auto"/>
            <w:tcMar>
              <w:top w:w="91" w:type="dxa"/>
              <w:left w:w="0" w:type="dxa"/>
              <w:bottom w:w="91" w:type="dxa"/>
              <w:right w:w="0" w:type="dxa"/>
            </w:tcMar>
          </w:tcPr>
          <w:p w14:paraId="7034CE9C" w14:textId="77777777" w:rsidR="003103A0" w:rsidRPr="00DD55BD" w:rsidRDefault="003103A0" w:rsidP="00EF2C4E">
            <w:pPr>
              <w:pStyle w:val="TableBlock"/>
              <w:rPr>
                <w:rFonts w:ascii="David" w:hAnsi="David"/>
                <w:sz w:val="26"/>
                <w:rtl/>
              </w:rPr>
            </w:pPr>
            <w:r w:rsidRPr="00DD55BD">
              <w:rPr>
                <w:rFonts w:ascii="David" w:hAnsi="David"/>
                <w:sz w:val="26"/>
                <w:rtl/>
              </w:rPr>
              <w:t xml:space="preserve">בסעיף 4(ג) לחוק העיקרי, במקום "בסעיפים 6 </w:t>
            </w:r>
            <w:r>
              <w:rPr>
                <w:rFonts w:ascii="David" w:hAnsi="David" w:hint="cs"/>
                <w:sz w:val="26"/>
                <w:rtl/>
              </w:rPr>
              <w:t xml:space="preserve"> ו-7 </w:t>
            </w:r>
            <w:r w:rsidRPr="00DD55BD">
              <w:rPr>
                <w:rFonts w:ascii="David" w:hAnsi="David"/>
                <w:sz w:val="26"/>
                <w:rtl/>
              </w:rPr>
              <w:t xml:space="preserve"> </w:t>
            </w:r>
            <w:r>
              <w:rPr>
                <w:rFonts w:ascii="David" w:hAnsi="David"/>
                <w:sz w:val="26"/>
                <w:rtl/>
              </w:rPr>
              <w:t>–</w:t>
            </w:r>
            <w:r w:rsidRPr="00DD55BD">
              <w:rPr>
                <w:rFonts w:ascii="David" w:hAnsi="David"/>
                <w:sz w:val="26"/>
                <w:rtl/>
              </w:rPr>
              <w:t xml:space="preserve"> שלא תעלה על 14 ימים" יבוא "בסעיפים 6 ו</w:t>
            </w:r>
            <w:r>
              <w:rPr>
                <w:rFonts w:ascii="David" w:hAnsi="David" w:hint="cs"/>
                <w:sz w:val="26"/>
                <w:rtl/>
              </w:rPr>
              <w:t>-</w:t>
            </w:r>
            <w:r w:rsidRPr="00DD55BD">
              <w:rPr>
                <w:rFonts w:ascii="David" w:hAnsi="David"/>
                <w:sz w:val="26"/>
                <w:rtl/>
              </w:rPr>
              <w:t xml:space="preserve">7(א) </w:t>
            </w:r>
            <w:r>
              <w:rPr>
                <w:rFonts w:ascii="David" w:hAnsi="David"/>
                <w:sz w:val="26"/>
                <w:rtl/>
              </w:rPr>
              <w:t>–</w:t>
            </w:r>
            <w:r w:rsidRPr="00DD55BD">
              <w:rPr>
                <w:rFonts w:ascii="David" w:hAnsi="David"/>
                <w:sz w:val="26"/>
                <w:rtl/>
              </w:rPr>
              <w:t xml:space="preserve"> שלא תעלה על 14 ימים ותקנות לפי סעיף 7(ב) </w:t>
            </w:r>
            <w:r>
              <w:rPr>
                <w:rFonts w:ascii="David" w:hAnsi="David"/>
                <w:sz w:val="26"/>
                <w:rtl/>
              </w:rPr>
              <w:t>–</w:t>
            </w:r>
            <w:r w:rsidRPr="00DD55BD">
              <w:rPr>
                <w:rFonts w:ascii="David" w:hAnsi="David"/>
                <w:sz w:val="26"/>
                <w:rtl/>
              </w:rPr>
              <w:t xml:space="preserve"> שלא תעלה על שבעה ימים", במקום "28 ימים או 14 ימים" יבוא "28 ימים, 14 ימים או 7 ימים" ובסופ</w:t>
            </w:r>
            <w:r>
              <w:rPr>
                <w:rFonts w:ascii="David" w:hAnsi="David" w:hint="cs"/>
                <w:sz w:val="26"/>
                <w:rtl/>
              </w:rPr>
              <w:t>ו</w:t>
            </w:r>
            <w:r w:rsidRPr="00DD55BD">
              <w:rPr>
                <w:rFonts w:ascii="David" w:hAnsi="David"/>
                <w:sz w:val="26"/>
                <w:rtl/>
              </w:rPr>
              <w:t xml:space="preserve"> יבוא "ולעניין תקנות לפי סעיף 7(ב) </w:t>
            </w:r>
            <w:r>
              <w:rPr>
                <w:rFonts w:ascii="David" w:hAnsi="David"/>
                <w:sz w:val="26"/>
                <w:rtl/>
              </w:rPr>
              <w:t>–</w:t>
            </w:r>
            <w:r w:rsidRPr="00DD55BD">
              <w:rPr>
                <w:rFonts w:ascii="David" w:hAnsi="David"/>
                <w:sz w:val="26"/>
                <w:rtl/>
              </w:rPr>
              <w:t xml:space="preserve"> גם לא יאוחר מתום תקופת תוקפה של הכרזה על מצב חירום מיוחד בשל נגיף הקורונה לפי סעיף 3א".</w:t>
            </w:r>
          </w:p>
        </w:tc>
      </w:tr>
      <w:tr w:rsidR="003103A0" w:rsidRPr="00DD55BD" w14:paraId="62A173BD"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22E97B4D" w14:textId="77777777" w:rsidR="003103A0" w:rsidRPr="00DD55BD" w:rsidRDefault="003103A0" w:rsidP="003103A0">
            <w:pPr>
              <w:pStyle w:val="TableSideHeading"/>
              <w:rPr>
                <w:rFonts w:ascii="David" w:hAnsi="David"/>
                <w:sz w:val="26"/>
                <w:rtl/>
              </w:rPr>
            </w:pPr>
            <w:r w:rsidRPr="00DD55BD">
              <w:rPr>
                <w:rFonts w:ascii="David" w:hAnsi="David"/>
                <w:sz w:val="26"/>
                <w:rtl/>
              </w:rPr>
              <w:t>תיקון סעיף 7</w:t>
            </w:r>
          </w:p>
        </w:tc>
        <w:tc>
          <w:tcPr>
            <w:tcW w:w="624" w:type="dxa"/>
            <w:shd w:val="clear" w:color="auto" w:fill="auto"/>
            <w:tcMar>
              <w:top w:w="91" w:type="dxa"/>
              <w:left w:w="0" w:type="dxa"/>
              <w:bottom w:w="91" w:type="dxa"/>
              <w:right w:w="0" w:type="dxa"/>
            </w:tcMar>
          </w:tcPr>
          <w:p w14:paraId="722C0AF1" w14:textId="77777777" w:rsidR="003103A0" w:rsidRPr="00DD55BD" w:rsidRDefault="003103A0" w:rsidP="003103A0">
            <w:pPr>
              <w:pStyle w:val="TableText"/>
              <w:rPr>
                <w:rFonts w:ascii="David" w:hAnsi="David"/>
                <w:sz w:val="26"/>
                <w:rtl/>
              </w:rPr>
            </w:pPr>
            <w:r>
              <w:rPr>
                <w:rFonts w:ascii="David" w:hAnsi="David" w:hint="cs"/>
                <w:sz w:val="26"/>
                <w:rtl/>
              </w:rPr>
              <w:t>4</w:t>
            </w:r>
            <w:r w:rsidRPr="00DD55BD">
              <w:rPr>
                <w:rFonts w:ascii="David" w:hAnsi="David"/>
                <w:sz w:val="26"/>
                <w:rtl/>
              </w:rPr>
              <w:t>.</w:t>
            </w:r>
          </w:p>
        </w:tc>
        <w:tc>
          <w:tcPr>
            <w:tcW w:w="7143" w:type="dxa"/>
            <w:gridSpan w:val="6"/>
            <w:shd w:val="clear" w:color="auto" w:fill="auto"/>
            <w:tcMar>
              <w:top w:w="91" w:type="dxa"/>
              <w:left w:w="0" w:type="dxa"/>
              <w:bottom w:w="91" w:type="dxa"/>
              <w:right w:w="0" w:type="dxa"/>
            </w:tcMar>
          </w:tcPr>
          <w:p w14:paraId="1EACB4D1" w14:textId="77777777" w:rsidR="003103A0" w:rsidRPr="00DD55BD" w:rsidRDefault="003103A0" w:rsidP="00EF2C4E">
            <w:pPr>
              <w:pStyle w:val="TableBlock"/>
              <w:rPr>
                <w:rFonts w:ascii="David" w:hAnsi="David"/>
                <w:sz w:val="26"/>
                <w:rtl/>
              </w:rPr>
            </w:pPr>
            <w:r w:rsidRPr="00DD55BD">
              <w:rPr>
                <w:rFonts w:ascii="David" w:hAnsi="David"/>
                <w:sz w:val="26"/>
                <w:rtl/>
              </w:rPr>
              <w:t xml:space="preserve">בסעיף 7 לחוק העיקרי </w:t>
            </w:r>
            <w:r>
              <w:rPr>
                <w:rFonts w:ascii="David" w:hAnsi="David"/>
                <w:sz w:val="26"/>
                <w:rtl/>
              </w:rPr>
              <w:t>–</w:t>
            </w:r>
          </w:p>
        </w:tc>
      </w:tr>
      <w:tr w:rsidR="003103A0" w:rsidRPr="00DD55BD" w14:paraId="3297E5B6"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66E2143E"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0A2F6EA9" w14:textId="77777777" w:rsidR="003103A0" w:rsidRPr="00DD55BD" w:rsidRDefault="003103A0" w:rsidP="003103A0">
            <w:pPr>
              <w:pStyle w:val="TableText"/>
              <w:rPr>
                <w:rFonts w:ascii="David" w:hAnsi="David"/>
                <w:sz w:val="26"/>
                <w:rtl/>
              </w:rPr>
            </w:pPr>
          </w:p>
        </w:tc>
        <w:tc>
          <w:tcPr>
            <w:tcW w:w="7143" w:type="dxa"/>
            <w:gridSpan w:val="6"/>
            <w:shd w:val="clear" w:color="auto" w:fill="auto"/>
            <w:tcMar>
              <w:top w:w="91" w:type="dxa"/>
              <w:left w:w="0" w:type="dxa"/>
              <w:bottom w:w="91" w:type="dxa"/>
              <w:right w:w="0" w:type="dxa"/>
            </w:tcMar>
          </w:tcPr>
          <w:p w14:paraId="58B4FE98" w14:textId="77777777" w:rsidR="003103A0" w:rsidRPr="00DD55BD" w:rsidRDefault="003103A0" w:rsidP="00EF2C4E">
            <w:pPr>
              <w:pStyle w:val="TableBlock"/>
              <w:rPr>
                <w:rFonts w:ascii="David" w:hAnsi="David"/>
                <w:sz w:val="26"/>
                <w:rtl/>
              </w:rPr>
            </w:pPr>
            <w:r w:rsidRPr="00DD55BD">
              <w:rPr>
                <w:rFonts w:ascii="David" w:hAnsi="David"/>
                <w:sz w:val="26"/>
                <w:rtl/>
              </w:rPr>
              <w:t>(1)</w:t>
            </w:r>
            <w:r w:rsidRPr="00DD55BD">
              <w:rPr>
                <w:rFonts w:ascii="David" w:hAnsi="David"/>
                <w:sz w:val="26"/>
                <w:rtl/>
              </w:rPr>
              <w:tab/>
              <w:t xml:space="preserve">האמור בו יסומן "(א)" ובו, בפסקה (1), במקום </w:t>
            </w:r>
            <w:proofErr w:type="spellStart"/>
            <w:r w:rsidRPr="00DD55BD">
              <w:rPr>
                <w:rFonts w:ascii="David" w:hAnsi="David"/>
                <w:sz w:val="26"/>
                <w:rtl/>
              </w:rPr>
              <w:t>הסיפה</w:t>
            </w:r>
            <w:proofErr w:type="spellEnd"/>
            <w:r w:rsidRPr="00DD55BD">
              <w:rPr>
                <w:rFonts w:ascii="David" w:hAnsi="David"/>
                <w:sz w:val="26"/>
                <w:rtl/>
              </w:rPr>
              <w:t xml:space="preserve"> החל במילים "להגבלה כאמור ייקבעו סייגים" יבוא "להגבלה כאמור ייקבעו סייגים שיבטיחו את קיום הפעולות האלה:</w:t>
            </w:r>
          </w:p>
        </w:tc>
      </w:tr>
      <w:tr w:rsidR="003103A0" w:rsidRPr="00DD55BD" w14:paraId="05AD2D94"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08543E74"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22EC989F"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9A7D33E"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665FD64D" w14:textId="77777777" w:rsidR="003103A0" w:rsidRPr="00DD55BD" w:rsidRDefault="003103A0" w:rsidP="00EF2C4E">
            <w:pPr>
              <w:pStyle w:val="TableBlock"/>
              <w:rPr>
                <w:rFonts w:ascii="David" w:hAnsi="David"/>
                <w:sz w:val="26"/>
                <w:rtl/>
              </w:rPr>
            </w:pPr>
            <w:r w:rsidRPr="00DD55BD">
              <w:rPr>
                <w:rFonts w:ascii="David" w:hAnsi="David"/>
                <w:sz w:val="26"/>
                <w:rtl/>
              </w:rPr>
              <w:t>(א)</w:t>
            </w:r>
            <w:r w:rsidRPr="00DD55BD">
              <w:rPr>
                <w:rFonts w:ascii="David" w:hAnsi="David"/>
                <w:sz w:val="26"/>
                <w:rtl/>
              </w:rPr>
              <w:tab/>
              <w:t>הצטיידות במוצרים חיוניים או קבלת שירותים חיוניים;</w:t>
            </w:r>
          </w:p>
        </w:tc>
      </w:tr>
      <w:tr w:rsidR="003103A0" w:rsidRPr="00DD55BD" w14:paraId="75900AE0"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5FBA45EE"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08199A06"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936947F"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1DEBAE72" w14:textId="77777777" w:rsidR="003103A0" w:rsidRPr="00DD55BD" w:rsidRDefault="003103A0" w:rsidP="00EF2C4E">
            <w:pPr>
              <w:pStyle w:val="TableBlock"/>
              <w:rPr>
                <w:rFonts w:ascii="David" w:hAnsi="David"/>
                <w:sz w:val="26"/>
                <w:rtl/>
              </w:rPr>
            </w:pPr>
            <w:r w:rsidRPr="00DD55BD">
              <w:rPr>
                <w:rFonts w:ascii="David" w:hAnsi="David"/>
                <w:sz w:val="26"/>
                <w:rtl/>
              </w:rPr>
              <w:t>(ב)</w:t>
            </w:r>
            <w:r w:rsidRPr="00DD55BD">
              <w:rPr>
                <w:rFonts w:ascii="David" w:hAnsi="David"/>
                <w:sz w:val="26"/>
                <w:rtl/>
              </w:rPr>
              <w:tab/>
              <w:t>סיוע לאדם שיש לו קושי או מצוקה הדורשים סיוע;</w:t>
            </w:r>
          </w:p>
        </w:tc>
      </w:tr>
      <w:tr w:rsidR="003103A0" w:rsidRPr="00DD55BD" w14:paraId="5C5A8F55"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31FE2DCF"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7F30308B"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6C3363C"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3A0491CF" w14:textId="77777777" w:rsidR="003103A0" w:rsidRPr="00DD55BD" w:rsidRDefault="003103A0" w:rsidP="00EF2C4E">
            <w:pPr>
              <w:pStyle w:val="TableBlock"/>
              <w:rPr>
                <w:rFonts w:ascii="David" w:hAnsi="David"/>
                <w:sz w:val="26"/>
                <w:rtl/>
              </w:rPr>
            </w:pPr>
            <w:r w:rsidRPr="00DD55BD">
              <w:rPr>
                <w:rFonts w:ascii="David" w:hAnsi="David"/>
                <w:sz w:val="26"/>
                <w:rtl/>
              </w:rPr>
              <w:t>(ג)</w:t>
            </w:r>
            <w:r w:rsidRPr="00DD55BD">
              <w:rPr>
                <w:rFonts w:ascii="David" w:hAnsi="David"/>
                <w:sz w:val="26"/>
                <w:rtl/>
              </w:rPr>
              <w:tab/>
            </w:r>
            <w:r w:rsidRPr="00981B40">
              <w:rPr>
                <w:rFonts w:ascii="David" w:hAnsi="David"/>
                <w:sz w:val="26"/>
                <w:rtl/>
              </w:rPr>
              <w:t>קבלת טיפול רפואי או טיפול</w:t>
            </w:r>
            <w:r w:rsidRPr="00DD55BD">
              <w:rPr>
                <w:rFonts w:ascii="David" w:hAnsi="David"/>
                <w:sz w:val="26"/>
                <w:rtl/>
              </w:rPr>
              <w:t xml:space="preserve"> סוציאלי חיוני;</w:t>
            </w:r>
          </w:p>
        </w:tc>
      </w:tr>
      <w:tr w:rsidR="003103A0" w:rsidRPr="00DD55BD" w14:paraId="06667226"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1939A79E"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53E015EA"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6B590B7"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0E7DAD1A" w14:textId="77777777" w:rsidR="003103A0" w:rsidRPr="00DD55BD" w:rsidRDefault="003103A0" w:rsidP="00EF2C4E">
            <w:pPr>
              <w:pStyle w:val="TableBlock"/>
              <w:rPr>
                <w:rFonts w:ascii="David" w:hAnsi="David"/>
                <w:sz w:val="26"/>
                <w:rtl/>
              </w:rPr>
            </w:pPr>
            <w:r w:rsidRPr="00DD55BD">
              <w:rPr>
                <w:rFonts w:ascii="David" w:hAnsi="David"/>
                <w:sz w:val="26"/>
                <w:rtl/>
              </w:rPr>
              <w:t>(ד)</w:t>
            </w:r>
            <w:r w:rsidRPr="00DD55BD">
              <w:rPr>
                <w:rFonts w:ascii="David" w:hAnsi="David"/>
                <w:sz w:val="26"/>
                <w:rtl/>
              </w:rPr>
              <w:tab/>
              <w:t>טבילת אישה במקווה טהרה;</w:t>
            </w:r>
          </w:p>
        </w:tc>
      </w:tr>
      <w:tr w:rsidR="003103A0" w:rsidRPr="00DD55BD" w14:paraId="3977855C"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2335DC05"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644678D7"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E96C5D0"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792FCA79" w14:textId="77777777" w:rsidR="003103A0" w:rsidRPr="00DD55BD" w:rsidRDefault="003103A0" w:rsidP="00EF2C4E">
            <w:pPr>
              <w:pStyle w:val="TableBlock"/>
              <w:rPr>
                <w:rFonts w:ascii="David" w:hAnsi="David"/>
                <w:sz w:val="26"/>
                <w:rtl/>
              </w:rPr>
            </w:pPr>
            <w:r w:rsidRPr="00DD55BD">
              <w:rPr>
                <w:rFonts w:ascii="David" w:hAnsi="David"/>
                <w:sz w:val="26"/>
                <w:rtl/>
              </w:rPr>
              <w:t>(ה)</w:t>
            </w:r>
            <w:r w:rsidRPr="00DD55BD">
              <w:rPr>
                <w:rFonts w:ascii="David" w:hAnsi="David"/>
                <w:sz w:val="26"/>
                <w:rtl/>
              </w:rPr>
              <w:tab/>
              <w:t>העברה של קטין בין הוריו החיים בנפרד;</w:t>
            </w:r>
          </w:p>
        </w:tc>
      </w:tr>
      <w:tr w:rsidR="003103A0" w:rsidRPr="00DD55BD" w14:paraId="1FF550B5"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3943E893"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7D3E142F"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1994589"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000D795B" w14:textId="77777777" w:rsidR="003103A0" w:rsidRPr="00DD55BD" w:rsidRDefault="003103A0" w:rsidP="00EF2C4E">
            <w:pPr>
              <w:pStyle w:val="TableBlock"/>
              <w:rPr>
                <w:rFonts w:ascii="David" w:hAnsi="David"/>
                <w:sz w:val="26"/>
                <w:rtl/>
              </w:rPr>
            </w:pPr>
            <w:r w:rsidRPr="00DD55BD">
              <w:rPr>
                <w:rFonts w:ascii="David" w:hAnsi="David"/>
                <w:sz w:val="26"/>
                <w:rtl/>
              </w:rPr>
              <w:t>(ו)</w:t>
            </w:r>
            <w:r w:rsidRPr="00DD55BD">
              <w:rPr>
                <w:rFonts w:ascii="David" w:hAnsi="David"/>
                <w:sz w:val="26"/>
                <w:rtl/>
              </w:rPr>
              <w:tab/>
              <w:t>העברה של קטין שההורה האחראי עליו נדרש לצאת לצורך חיוני ואין במקום המגורים אחראי שניתן להשאיר את הקטין בהשגחתו;</w:t>
            </w:r>
          </w:p>
        </w:tc>
      </w:tr>
      <w:tr w:rsidR="003103A0" w:rsidRPr="00DD55BD" w14:paraId="12DA8C4A"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2125EF85"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47629888"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C8283BB"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26046D1C" w14:textId="77777777" w:rsidR="003103A0" w:rsidRPr="00DD55BD" w:rsidRDefault="003103A0" w:rsidP="00EF2C4E">
            <w:pPr>
              <w:pStyle w:val="TableBlock"/>
              <w:rPr>
                <w:rFonts w:ascii="David" w:hAnsi="David"/>
                <w:sz w:val="26"/>
                <w:rtl/>
              </w:rPr>
            </w:pPr>
            <w:r w:rsidRPr="00DD55BD">
              <w:rPr>
                <w:rFonts w:ascii="David" w:hAnsi="David"/>
                <w:sz w:val="26"/>
                <w:rtl/>
              </w:rPr>
              <w:t>(ז)</w:t>
            </w:r>
            <w:r w:rsidRPr="00DD55BD">
              <w:rPr>
                <w:rFonts w:ascii="David" w:hAnsi="David"/>
                <w:sz w:val="26"/>
                <w:rtl/>
              </w:rPr>
              <w:tab/>
              <w:t>טיפול חיוני בבעל חיים;</w:t>
            </w:r>
          </w:p>
        </w:tc>
      </w:tr>
      <w:tr w:rsidR="003103A0" w:rsidRPr="00DD55BD" w14:paraId="7A2CADA7"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6544A070"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14CBD350"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A7669BE"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5BC39B61" w14:textId="77777777" w:rsidR="003103A0" w:rsidRPr="00DD55BD" w:rsidRDefault="003103A0" w:rsidP="00EF2C4E">
            <w:pPr>
              <w:pStyle w:val="TableBlock"/>
              <w:rPr>
                <w:rFonts w:ascii="David" w:hAnsi="David"/>
                <w:sz w:val="26"/>
                <w:rtl/>
              </w:rPr>
            </w:pPr>
            <w:r w:rsidRPr="00DD55BD">
              <w:rPr>
                <w:rFonts w:ascii="David" w:hAnsi="David"/>
                <w:sz w:val="26"/>
                <w:rtl/>
              </w:rPr>
              <w:t>(ח)</w:t>
            </w:r>
            <w:r w:rsidRPr="00DD55BD">
              <w:rPr>
                <w:rFonts w:ascii="David" w:hAnsi="David"/>
                <w:sz w:val="26"/>
                <w:rtl/>
              </w:rPr>
              <w:tab/>
              <w:t xml:space="preserve">יציאה </w:t>
            </w:r>
            <w:r>
              <w:rPr>
                <w:rFonts w:ascii="David" w:hAnsi="David" w:hint="cs"/>
                <w:sz w:val="26"/>
                <w:rtl/>
              </w:rPr>
              <w:t xml:space="preserve">של עובד </w:t>
            </w:r>
            <w:r w:rsidRPr="00DD55BD">
              <w:rPr>
                <w:rFonts w:ascii="David" w:hAnsi="David"/>
                <w:sz w:val="26"/>
                <w:rtl/>
              </w:rPr>
              <w:t xml:space="preserve">למקום עבודה </w:t>
            </w:r>
            <w:r>
              <w:rPr>
                <w:rFonts w:hint="cs"/>
                <w:rtl/>
              </w:rPr>
              <w:t>שפעילותו מותרת בחוק זה או בתקנות לפיו</w:t>
            </w:r>
            <w:r w:rsidRPr="00DD55BD">
              <w:rPr>
                <w:rFonts w:ascii="David" w:hAnsi="David"/>
                <w:sz w:val="26"/>
                <w:rtl/>
              </w:rPr>
              <w:t>, לרבות של עיתונאי או עובד מקצועות התקשורת;</w:t>
            </w:r>
          </w:p>
        </w:tc>
      </w:tr>
      <w:tr w:rsidR="003103A0" w:rsidRPr="00DD55BD" w14:paraId="3CD6663E"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1F0EE292"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1916BB1B"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1814B9E7"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6E2C8425" w14:textId="77777777" w:rsidR="003103A0" w:rsidRPr="00DD55BD" w:rsidRDefault="003103A0" w:rsidP="00EF2C4E">
            <w:pPr>
              <w:pStyle w:val="TableBlock"/>
              <w:rPr>
                <w:rFonts w:ascii="David" w:hAnsi="David"/>
                <w:sz w:val="26"/>
                <w:rtl/>
              </w:rPr>
            </w:pPr>
            <w:r w:rsidRPr="00DD55BD">
              <w:rPr>
                <w:rFonts w:ascii="David" w:hAnsi="David"/>
                <w:sz w:val="26"/>
                <w:rtl/>
              </w:rPr>
              <w:t>(ט)</w:t>
            </w:r>
            <w:r w:rsidRPr="00DD55BD">
              <w:rPr>
                <w:rFonts w:ascii="David" w:hAnsi="David"/>
                <w:sz w:val="26"/>
                <w:rtl/>
              </w:rPr>
              <w:tab/>
              <w:t>הגעה למשכן הכנסת;</w:t>
            </w:r>
          </w:p>
        </w:tc>
      </w:tr>
      <w:tr w:rsidR="003103A0" w:rsidRPr="00DD55BD" w14:paraId="7D68B379"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081D3A75"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64585D7D"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D076D16"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10F0B552" w14:textId="77777777" w:rsidR="003103A0" w:rsidRPr="00DD55BD" w:rsidRDefault="003103A0" w:rsidP="00EF2C4E">
            <w:pPr>
              <w:pStyle w:val="TableBlock"/>
              <w:rPr>
                <w:rFonts w:ascii="David" w:hAnsi="David"/>
                <w:sz w:val="26"/>
                <w:rtl/>
              </w:rPr>
            </w:pPr>
            <w:r w:rsidRPr="00DD55BD">
              <w:rPr>
                <w:rFonts w:ascii="David" w:hAnsi="David"/>
                <w:sz w:val="26"/>
                <w:rtl/>
              </w:rPr>
              <w:t>(י)</w:t>
            </w:r>
            <w:r w:rsidRPr="00DD55BD">
              <w:rPr>
                <w:rFonts w:ascii="David" w:hAnsi="David"/>
                <w:sz w:val="26"/>
                <w:rtl/>
              </w:rPr>
              <w:tab/>
              <w:t>השתתפות בהפגנה;</w:t>
            </w:r>
          </w:p>
        </w:tc>
      </w:tr>
      <w:tr w:rsidR="003103A0" w:rsidRPr="00DD55BD" w14:paraId="465907D6"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34BA1B00"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62AA9428"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4502B579"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13F8AEDD" w14:textId="77777777" w:rsidR="003103A0" w:rsidRPr="00DD55BD" w:rsidRDefault="003103A0" w:rsidP="00EF2C4E">
            <w:pPr>
              <w:pStyle w:val="TableBlock"/>
              <w:rPr>
                <w:rFonts w:ascii="David" w:hAnsi="David"/>
                <w:sz w:val="26"/>
                <w:rtl/>
              </w:rPr>
            </w:pPr>
            <w:r w:rsidRPr="00DD55BD">
              <w:rPr>
                <w:rFonts w:ascii="David" w:hAnsi="David"/>
                <w:sz w:val="26"/>
                <w:rtl/>
              </w:rPr>
              <w:t>(יא)</w:t>
            </w:r>
            <w:r w:rsidRPr="00DD55BD">
              <w:rPr>
                <w:rFonts w:ascii="David" w:hAnsi="David"/>
                <w:sz w:val="26"/>
                <w:rtl/>
              </w:rPr>
              <w:tab/>
              <w:t>הגעה להליך משפטי שהיוצא למרחב הציבורי הוא צד לו, בעל מעמד בו או שנדרש להשתתף בו;</w:t>
            </w:r>
          </w:p>
        </w:tc>
      </w:tr>
      <w:tr w:rsidR="003103A0" w:rsidRPr="00DD55BD" w14:paraId="716B9B70"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608E7561"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543A05DE"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1000A9C"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09A3F145" w14:textId="77777777" w:rsidR="003103A0" w:rsidRPr="00DD55BD" w:rsidRDefault="003103A0" w:rsidP="00EF2C4E">
            <w:pPr>
              <w:pStyle w:val="TableBlock"/>
              <w:rPr>
                <w:rFonts w:ascii="David" w:hAnsi="David"/>
                <w:sz w:val="26"/>
                <w:rtl/>
              </w:rPr>
            </w:pPr>
            <w:r w:rsidRPr="00DD55BD">
              <w:rPr>
                <w:rFonts w:ascii="David" w:hAnsi="David"/>
                <w:sz w:val="26"/>
                <w:rtl/>
              </w:rPr>
              <w:t>(</w:t>
            </w:r>
            <w:proofErr w:type="spellStart"/>
            <w:r w:rsidRPr="00DD55BD">
              <w:rPr>
                <w:rFonts w:ascii="David" w:hAnsi="David"/>
                <w:sz w:val="26"/>
                <w:rtl/>
              </w:rPr>
              <w:t>יב</w:t>
            </w:r>
            <w:proofErr w:type="spellEnd"/>
            <w:r w:rsidRPr="00DD55BD">
              <w:rPr>
                <w:rFonts w:ascii="David" w:hAnsi="David"/>
                <w:sz w:val="26"/>
                <w:rtl/>
              </w:rPr>
              <w:t>)</w:t>
            </w:r>
            <w:r w:rsidRPr="00DD55BD">
              <w:rPr>
                <w:rFonts w:ascii="David" w:hAnsi="David"/>
                <w:sz w:val="26"/>
                <w:rtl/>
              </w:rPr>
              <w:tab/>
              <w:t>תרומת דם;</w:t>
            </w:r>
          </w:p>
        </w:tc>
      </w:tr>
      <w:tr w:rsidR="003103A0" w:rsidRPr="00DD55BD" w14:paraId="68199A9D"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4836FA71"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0032AA7B"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32C2D39A"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773C8725" w14:textId="77777777" w:rsidR="003103A0" w:rsidRPr="00DD55BD" w:rsidRDefault="003103A0" w:rsidP="00EF2C4E">
            <w:pPr>
              <w:pStyle w:val="TableBlock"/>
              <w:rPr>
                <w:rFonts w:ascii="David" w:hAnsi="David"/>
                <w:sz w:val="26"/>
                <w:rtl/>
              </w:rPr>
            </w:pPr>
            <w:r w:rsidRPr="00DD55BD">
              <w:rPr>
                <w:rFonts w:ascii="David" w:hAnsi="David"/>
                <w:sz w:val="26"/>
                <w:rtl/>
              </w:rPr>
              <w:t>(</w:t>
            </w:r>
            <w:proofErr w:type="spellStart"/>
            <w:r w:rsidRPr="00DD55BD">
              <w:rPr>
                <w:rFonts w:ascii="David" w:hAnsi="David"/>
                <w:sz w:val="26"/>
                <w:rtl/>
              </w:rPr>
              <w:t>יג</w:t>
            </w:r>
            <w:proofErr w:type="spellEnd"/>
            <w:r w:rsidRPr="00DD55BD">
              <w:rPr>
                <w:rFonts w:ascii="David" w:hAnsi="David"/>
                <w:sz w:val="26"/>
                <w:rtl/>
              </w:rPr>
              <w:t>)</w:t>
            </w:r>
            <w:r w:rsidRPr="00DD55BD">
              <w:rPr>
                <w:rFonts w:ascii="David" w:hAnsi="David"/>
                <w:sz w:val="26"/>
                <w:rtl/>
              </w:rPr>
              <w:tab/>
              <w:t xml:space="preserve">הגעה לפעילות בגופים, במוסדות או במסגרות או לפעילויות, לשירותים או לתכניות שהותרו </w:t>
            </w:r>
            <w:r w:rsidRPr="00124011">
              <w:rPr>
                <w:rFonts w:hint="cs"/>
                <w:rtl/>
              </w:rPr>
              <w:t>בחוק</w:t>
            </w:r>
            <w:r w:rsidRPr="00124011">
              <w:rPr>
                <w:rtl/>
              </w:rPr>
              <w:t xml:space="preserve"> </w:t>
            </w:r>
            <w:r w:rsidRPr="00124011">
              <w:rPr>
                <w:rFonts w:hint="cs"/>
                <w:rtl/>
              </w:rPr>
              <w:t>זה</w:t>
            </w:r>
            <w:r w:rsidRPr="00124011">
              <w:rPr>
                <w:rtl/>
              </w:rPr>
              <w:t xml:space="preserve"> </w:t>
            </w:r>
            <w:r w:rsidRPr="00124011">
              <w:rPr>
                <w:rFonts w:hint="cs"/>
                <w:rtl/>
              </w:rPr>
              <w:t>או</w:t>
            </w:r>
            <w:r w:rsidRPr="00124011">
              <w:rPr>
                <w:rtl/>
              </w:rPr>
              <w:t xml:space="preserve"> </w:t>
            </w:r>
            <w:r w:rsidRPr="00124011">
              <w:rPr>
                <w:rFonts w:hint="cs"/>
                <w:rtl/>
              </w:rPr>
              <w:t>בתקנות</w:t>
            </w:r>
            <w:r w:rsidRPr="00124011">
              <w:rPr>
                <w:rtl/>
              </w:rPr>
              <w:t xml:space="preserve"> </w:t>
            </w:r>
            <w:r w:rsidRPr="00124011">
              <w:rPr>
                <w:rFonts w:hint="cs"/>
                <w:rtl/>
              </w:rPr>
              <w:t>לפיו</w:t>
            </w:r>
            <w:r w:rsidRPr="00DD55BD">
              <w:rPr>
                <w:rFonts w:ascii="David" w:hAnsi="David"/>
                <w:sz w:val="26"/>
                <w:rtl/>
              </w:rPr>
              <w:t>;</w:t>
            </w:r>
          </w:p>
        </w:tc>
      </w:tr>
      <w:tr w:rsidR="003103A0" w:rsidRPr="00DD55BD" w14:paraId="4DFF71CD"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394D62C2"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68D291A1"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7129AF91"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674144F6" w14:textId="77777777" w:rsidR="003103A0" w:rsidRPr="00DD55BD" w:rsidRDefault="003103A0" w:rsidP="00EF2C4E">
            <w:pPr>
              <w:pStyle w:val="TableBlock"/>
              <w:rPr>
                <w:rFonts w:ascii="David" w:hAnsi="David"/>
                <w:sz w:val="26"/>
                <w:rtl/>
              </w:rPr>
            </w:pPr>
            <w:r w:rsidRPr="00DD55BD">
              <w:rPr>
                <w:rFonts w:ascii="David" w:hAnsi="David"/>
                <w:sz w:val="26"/>
                <w:rtl/>
              </w:rPr>
              <w:t>(יד)</w:t>
            </w:r>
            <w:r w:rsidRPr="00DD55BD">
              <w:rPr>
                <w:rFonts w:ascii="David" w:hAnsi="David"/>
                <w:sz w:val="26"/>
                <w:rtl/>
              </w:rPr>
              <w:tab/>
              <w:t xml:space="preserve">השתתפות בהלוויה </w:t>
            </w:r>
            <w:r>
              <w:rPr>
                <w:rFonts w:hint="cs"/>
                <w:rtl/>
              </w:rPr>
              <w:t xml:space="preserve">או בברית </w:t>
            </w:r>
            <w:r w:rsidRPr="00DD55BD">
              <w:rPr>
                <w:rFonts w:ascii="David" w:hAnsi="David"/>
                <w:sz w:val="26"/>
                <w:rtl/>
              </w:rPr>
              <w:t xml:space="preserve">של </w:t>
            </w:r>
            <w:r>
              <w:rPr>
                <w:rFonts w:ascii="David" w:hAnsi="David" w:hint="cs"/>
                <w:sz w:val="26"/>
                <w:rtl/>
              </w:rPr>
              <w:t>קרוב משפחה</w:t>
            </w:r>
            <w:r w:rsidRPr="00DD55BD">
              <w:rPr>
                <w:rFonts w:ascii="David" w:hAnsi="David"/>
                <w:sz w:val="26"/>
                <w:rtl/>
              </w:rPr>
              <w:t>; לעניין זה, "</w:t>
            </w:r>
            <w:r>
              <w:rPr>
                <w:rFonts w:ascii="David" w:hAnsi="David" w:hint="cs"/>
                <w:sz w:val="26"/>
                <w:rtl/>
              </w:rPr>
              <w:t>קרוב משפחה</w:t>
            </w:r>
            <w:r w:rsidRPr="00DD55BD">
              <w:rPr>
                <w:rFonts w:ascii="David" w:hAnsi="David"/>
                <w:sz w:val="26"/>
                <w:rtl/>
              </w:rPr>
              <w:t xml:space="preserve">" </w:t>
            </w:r>
            <w:r>
              <w:rPr>
                <w:rFonts w:ascii="David" w:hAnsi="David"/>
                <w:sz w:val="26"/>
                <w:rtl/>
              </w:rPr>
              <w:t>–</w:t>
            </w:r>
            <w:r w:rsidRPr="00DD55BD">
              <w:rPr>
                <w:rFonts w:ascii="David" w:hAnsi="David"/>
                <w:sz w:val="26"/>
                <w:rtl/>
              </w:rPr>
              <w:t xml:space="preserve"> הורה </w:t>
            </w:r>
            <w:proofErr w:type="spellStart"/>
            <w:r w:rsidRPr="00DD55BD">
              <w:rPr>
                <w:rFonts w:ascii="David" w:hAnsi="David"/>
                <w:sz w:val="26"/>
                <w:rtl/>
              </w:rPr>
              <w:t>הורה</w:t>
            </w:r>
            <w:proofErr w:type="spellEnd"/>
            <w:r w:rsidRPr="00DD55BD">
              <w:rPr>
                <w:rFonts w:ascii="David" w:hAnsi="David"/>
                <w:sz w:val="26"/>
                <w:rtl/>
              </w:rPr>
              <w:t>, הורה, בן זוג או הורה שלו, ילד, נכד, אח או אחות וילדיהם, דוד או דודה;</w:t>
            </w:r>
          </w:p>
        </w:tc>
      </w:tr>
      <w:tr w:rsidR="003103A0" w:rsidRPr="00DD55BD" w14:paraId="5BBA20D6"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5BBD968B"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134540DE"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2D64D7A"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52673070" w14:textId="77777777" w:rsidR="003103A0" w:rsidRPr="00DD55BD" w:rsidRDefault="003103A0" w:rsidP="00EF2C4E">
            <w:pPr>
              <w:pStyle w:val="TableBlock"/>
              <w:rPr>
                <w:rFonts w:ascii="David" w:hAnsi="David"/>
                <w:sz w:val="26"/>
                <w:rtl/>
              </w:rPr>
            </w:pPr>
            <w:r w:rsidRPr="00DD55BD">
              <w:rPr>
                <w:rFonts w:ascii="David" w:hAnsi="David"/>
                <w:sz w:val="26"/>
                <w:rtl/>
              </w:rPr>
              <w:t>(טו)</w:t>
            </w:r>
            <w:r w:rsidRPr="00DD55BD">
              <w:rPr>
                <w:rFonts w:ascii="David" w:hAnsi="David"/>
                <w:sz w:val="26"/>
                <w:rtl/>
              </w:rPr>
              <w:tab/>
              <w:t>יציאה ממקום שהייה קבוע אחד למשנהו;</w:t>
            </w:r>
          </w:p>
        </w:tc>
      </w:tr>
      <w:tr w:rsidR="003103A0" w:rsidRPr="00DD55BD" w14:paraId="514B0AFC"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0E8A9E04"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76DCC4FC"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0E7DE6F8"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0F126F78" w14:textId="77777777" w:rsidR="003103A0" w:rsidRPr="00DD55BD" w:rsidRDefault="003103A0" w:rsidP="00EF2C4E">
            <w:pPr>
              <w:pStyle w:val="TableBlock"/>
              <w:rPr>
                <w:rFonts w:ascii="David" w:hAnsi="David"/>
                <w:sz w:val="26"/>
                <w:rtl/>
              </w:rPr>
            </w:pPr>
            <w:r w:rsidRPr="00DD55BD">
              <w:rPr>
                <w:rFonts w:ascii="David" w:hAnsi="David"/>
                <w:sz w:val="26"/>
                <w:rtl/>
              </w:rPr>
              <w:t>(</w:t>
            </w:r>
            <w:proofErr w:type="spellStart"/>
            <w:r w:rsidRPr="00DD55BD">
              <w:rPr>
                <w:rFonts w:ascii="David" w:hAnsi="David"/>
                <w:sz w:val="26"/>
                <w:rtl/>
              </w:rPr>
              <w:t>טז</w:t>
            </w:r>
            <w:proofErr w:type="spellEnd"/>
            <w:r w:rsidRPr="00DD55BD">
              <w:rPr>
                <w:rFonts w:ascii="David" w:hAnsi="David"/>
                <w:sz w:val="26"/>
                <w:rtl/>
              </w:rPr>
              <w:t>)</w:t>
            </w:r>
            <w:r w:rsidRPr="00DD55BD">
              <w:rPr>
                <w:rFonts w:ascii="David" w:hAnsi="David"/>
                <w:sz w:val="26"/>
                <w:rtl/>
              </w:rPr>
              <w:tab/>
              <w:t xml:space="preserve">יציאה </w:t>
            </w:r>
            <w:r>
              <w:rPr>
                <w:rFonts w:ascii="David" w:hAnsi="David" w:hint="cs"/>
                <w:sz w:val="26"/>
                <w:rtl/>
              </w:rPr>
              <w:t>ל</w:t>
            </w:r>
            <w:r w:rsidRPr="00DD55BD">
              <w:rPr>
                <w:rFonts w:ascii="David" w:hAnsi="David"/>
                <w:sz w:val="26"/>
                <w:rtl/>
              </w:rPr>
              <w:t>פעילות ספורט של יחיד או אנשים הגרים באותו מקום, ממקום המגורים, שלא באמצעות כלי רכב ממונע;</w:t>
            </w:r>
          </w:p>
        </w:tc>
      </w:tr>
      <w:tr w:rsidR="003103A0" w:rsidRPr="00DD55BD" w14:paraId="57173189"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46F14ED2"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3269AFFF" w14:textId="77777777" w:rsidR="003103A0" w:rsidRPr="00DD55BD" w:rsidRDefault="003103A0" w:rsidP="003103A0">
            <w:pPr>
              <w:pStyle w:val="TableText"/>
              <w:rPr>
                <w:rtl/>
              </w:rPr>
            </w:pPr>
          </w:p>
        </w:tc>
        <w:tc>
          <w:tcPr>
            <w:tcW w:w="624" w:type="dxa"/>
            <w:shd w:val="clear" w:color="auto" w:fill="auto"/>
            <w:tcMar>
              <w:top w:w="91" w:type="dxa"/>
              <w:left w:w="0" w:type="dxa"/>
              <w:bottom w:w="91" w:type="dxa"/>
              <w:right w:w="0" w:type="dxa"/>
            </w:tcMar>
          </w:tcPr>
          <w:p w14:paraId="1B919E15"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3C6A5A4E" w14:textId="77777777" w:rsidR="003103A0" w:rsidRPr="00DD55BD" w:rsidRDefault="003103A0" w:rsidP="00EF2C4E">
            <w:pPr>
              <w:pStyle w:val="TableBlock"/>
              <w:rPr>
                <w:rFonts w:ascii="David" w:hAnsi="David"/>
                <w:sz w:val="26"/>
                <w:rtl/>
              </w:rPr>
            </w:pPr>
            <w:r w:rsidRPr="00124011">
              <w:rPr>
                <w:rFonts w:hint="cs"/>
                <w:rtl/>
              </w:rPr>
              <w:t>(</w:t>
            </w:r>
            <w:proofErr w:type="spellStart"/>
            <w:r w:rsidRPr="00124011">
              <w:rPr>
                <w:rFonts w:hint="cs"/>
                <w:rtl/>
              </w:rPr>
              <w:t>יז</w:t>
            </w:r>
            <w:proofErr w:type="spellEnd"/>
            <w:r w:rsidRPr="00124011">
              <w:rPr>
                <w:rFonts w:hint="cs"/>
                <w:rtl/>
              </w:rPr>
              <w:t>)</w:t>
            </w:r>
            <w:r w:rsidRPr="00124011">
              <w:rPr>
                <w:rFonts w:hint="cs"/>
                <w:rtl/>
              </w:rPr>
              <w:tab/>
              <w:t>יציאה ממקום המגורים</w:t>
            </w:r>
            <w:r>
              <w:rPr>
                <w:rFonts w:hint="cs"/>
                <w:rtl/>
              </w:rPr>
              <w:t xml:space="preserve"> להתאווררות</w:t>
            </w:r>
            <w:r w:rsidRPr="00124011">
              <w:rPr>
                <w:rFonts w:hint="cs"/>
                <w:rtl/>
              </w:rPr>
              <w:t xml:space="preserve"> עד למרחק ש</w:t>
            </w:r>
            <w:r>
              <w:rPr>
                <w:rFonts w:hint="cs"/>
                <w:rtl/>
              </w:rPr>
              <w:t>י</w:t>
            </w:r>
            <w:r w:rsidRPr="00124011">
              <w:rPr>
                <w:rFonts w:hint="cs"/>
                <w:rtl/>
              </w:rPr>
              <w:t>יקבע בתקנות</w:t>
            </w:r>
            <w:r>
              <w:rPr>
                <w:rFonts w:hint="cs"/>
                <w:rtl/>
              </w:rPr>
              <w:t>;</w:t>
            </w:r>
          </w:p>
        </w:tc>
      </w:tr>
      <w:tr w:rsidR="003103A0" w:rsidRPr="00124011" w14:paraId="38F259B1"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2FD42E63"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7A0448BA" w14:textId="77777777" w:rsidR="003103A0" w:rsidRPr="00DD55BD" w:rsidRDefault="003103A0" w:rsidP="003103A0">
            <w:pPr>
              <w:pStyle w:val="TableText"/>
              <w:rPr>
                <w:rtl/>
              </w:rPr>
            </w:pPr>
          </w:p>
        </w:tc>
        <w:tc>
          <w:tcPr>
            <w:tcW w:w="624" w:type="dxa"/>
            <w:shd w:val="clear" w:color="auto" w:fill="auto"/>
            <w:tcMar>
              <w:top w:w="91" w:type="dxa"/>
              <w:left w:w="0" w:type="dxa"/>
              <w:bottom w:w="91" w:type="dxa"/>
              <w:right w:w="0" w:type="dxa"/>
            </w:tcMar>
          </w:tcPr>
          <w:p w14:paraId="116713B0"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3A6B1430" w14:textId="77777777" w:rsidR="003103A0" w:rsidRPr="00124011" w:rsidRDefault="003103A0" w:rsidP="00EF2C4E">
            <w:pPr>
              <w:pStyle w:val="TableBlock"/>
              <w:rPr>
                <w:rtl/>
              </w:rPr>
            </w:pPr>
            <w:r>
              <w:rPr>
                <w:rFonts w:hint="cs"/>
                <w:rtl/>
              </w:rPr>
              <w:t>(</w:t>
            </w:r>
            <w:proofErr w:type="spellStart"/>
            <w:r>
              <w:rPr>
                <w:rFonts w:hint="cs"/>
                <w:rtl/>
              </w:rPr>
              <w:t>יח</w:t>
            </w:r>
            <w:proofErr w:type="spellEnd"/>
            <w:r>
              <w:rPr>
                <w:rFonts w:hint="cs"/>
                <w:rtl/>
              </w:rPr>
              <w:t>)</w:t>
            </w:r>
            <w:r>
              <w:rPr>
                <w:rtl/>
              </w:rPr>
              <w:tab/>
            </w:r>
            <w:r>
              <w:rPr>
                <w:rFonts w:hint="cs"/>
                <w:rtl/>
              </w:rPr>
              <w:t>יציאה לשדה תעופה לפי תנאים שייקבעו בתקנות;</w:t>
            </w:r>
          </w:p>
        </w:tc>
      </w:tr>
      <w:tr w:rsidR="003103A0" w14:paraId="40AFD1BB"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4467B67D"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59D0B56C" w14:textId="77777777" w:rsidR="003103A0" w:rsidRPr="00DD55BD" w:rsidRDefault="003103A0" w:rsidP="003103A0">
            <w:pPr>
              <w:pStyle w:val="TableText"/>
              <w:rPr>
                <w:rtl/>
              </w:rPr>
            </w:pPr>
          </w:p>
        </w:tc>
        <w:tc>
          <w:tcPr>
            <w:tcW w:w="624" w:type="dxa"/>
            <w:shd w:val="clear" w:color="auto" w:fill="auto"/>
            <w:tcMar>
              <w:top w:w="91" w:type="dxa"/>
              <w:left w:w="0" w:type="dxa"/>
              <w:bottom w:w="91" w:type="dxa"/>
              <w:right w:w="0" w:type="dxa"/>
            </w:tcMar>
          </w:tcPr>
          <w:p w14:paraId="36CCCC2C"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69C188F3" w14:textId="77777777" w:rsidR="003103A0" w:rsidRDefault="003103A0" w:rsidP="00EF2C4E">
            <w:pPr>
              <w:pStyle w:val="TableBlock"/>
              <w:rPr>
                <w:rtl/>
              </w:rPr>
            </w:pPr>
            <w:r>
              <w:rPr>
                <w:rFonts w:hint="cs"/>
                <w:rtl/>
              </w:rPr>
              <w:t>(</w:t>
            </w:r>
            <w:proofErr w:type="spellStart"/>
            <w:r>
              <w:rPr>
                <w:rFonts w:hint="cs"/>
                <w:rtl/>
              </w:rPr>
              <w:t>יט</w:t>
            </w:r>
            <w:proofErr w:type="spellEnd"/>
            <w:r>
              <w:rPr>
                <w:rFonts w:hint="cs"/>
                <w:rtl/>
              </w:rPr>
              <w:t>)</w:t>
            </w:r>
            <w:r>
              <w:rPr>
                <w:rtl/>
              </w:rPr>
              <w:tab/>
            </w:r>
            <w:r>
              <w:rPr>
                <w:rFonts w:hint="cs"/>
                <w:rtl/>
              </w:rPr>
              <w:t xml:space="preserve">ביקור של אדם עם מוגבלות אצל קרוב משפחתו או </w:t>
            </w:r>
            <w:proofErr w:type="spellStart"/>
            <w:r>
              <w:rPr>
                <w:rFonts w:hint="cs"/>
                <w:rtl/>
              </w:rPr>
              <w:t>אפוטרופסו</w:t>
            </w:r>
            <w:proofErr w:type="spellEnd"/>
            <w:r>
              <w:rPr>
                <w:rFonts w:hint="cs"/>
                <w:rtl/>
              </w:rPr>
              <w:t xml:space="preserve"> לפי תנאים שייקבעו בתקנות;";</w:t>
            </w:r>
          </w:p>
        </w:tc>
      </w:tr>
      <w:tr w:rsidR="003103A0" w:rsidRPr="00DD55BD" w14:paraId="0026386E"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340DCBA6"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104A7B8B" w14:textId="77777777" w:rsidR="003103A0" w:rsidRPr="00DD55BD" w:rsidRDefault="003103A0" w:rsidP="003103A0">
            <w:pPr>
              <w:pStyle w:val="TableText"/>
              <w:rPr>
                <w:rFonts w:ascii="David" w:hAnsi="David"/>
                <w:sz w:val="26"/>
                <w:rtl/>
              </w:rPr>
            </w:pPr>
          </w:p>
        </w:tc>
        <w:tc>
          <w:tcPr>
            <w:tcW w:w="7143" w:type="dxa"/>
            <w:gridSpan w:val="6"/>
            <w:shd w:val="clear" w:color="auto" w:fill="auto"/>
            <w:tcMar>
              <w:top w:w="91" w:type="dxa"/>
              <w:left w:w="0" w:type="dxa"/>
              <w:bottom w:w="91" w:type="dxa"/>
              <w:right w:w="0" w:type="dxa"/>
            </w:tcMar>
          </w:tcPr>
          <w:p w14:paraId="14724DFA" w14:textId="77777777" w:rsidR="003103A0" w:rsidRPr="00DD55BD" w:rsidRDefault="003103A0" w:rsidP="00EF2C4E">
            <w:pPr>
              <w:pStyle w:val="TableBlock"/>
              <w:rPr>
                <w:rFonts w:ascii="David" w:hAnsi="David"/>
                <w:sz w:val="26"/>
                <w:rtl/>
              </w:rPr>
            </w:pPr>
            <w:r w:rsidRPr="00DD55BD">
              <w:rPr>
                <w:rFonts w:ascii="David" w:hAnsi="David"/>
                <w:sz w:val="26"/>
                <w:rtl/>
              </w:rPr>
              <w:t>(2)</w:t>
            </w:r>
            <w:r w:rsidRPr="00DD55BD">
              <w:rPr>
                <w:rFonts w:ascii="David" w:hAnsi="David"/>
                <w:sz w:val="26"/>
                <w:rtl/>
              </w:rPr>
              <w:tab/>
              <w:t>אחרי סעיף קטן (א) יבוא:</w:t>
            </w:r>
          </w:p>
        </w:tc>
      </w:tr>
      <w:tr w:rsidR="003103A0" w:rsidRPr="00DD55BD" w14:paraId="41B39110"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554F87CF"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671A04B6"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6C33B3A6" w14:textId="77777777" w:rsidR="003103A0" w:rsidRPr="00DD55BD" w:rsidRDefault="003103A0" w:rsidP="003103A0">
            <w:pPr>
              <w:pStyle w:val="TableText"/>
              <w:rPr>
                <w:rFonts w:ascii="David" w:hAnsi="David"/>
                <w:sz w:val="26"/>
                <w:rtl/>
              </w:rPr>
            </w:pPr>
          </w:p>
        </w:tc>
        <w:tc>
          <w:tcPr>
            <w:tcW w:w="6519" w:type="dxa"/>
            <w:gridSpan w:val="5"/>
            <w:shd w:val="clear" w:color="auto" w:fill="auto"/>
            <w:tcMar>
              <w:top w:w="91" w:type="dxa"/>
              <w:left w:w="0" w:type="dxa"/>
              <w:bottom w:w="91" w:type="dxa"/>
              <w:right w:w="0" w:type="dxa"/>
            </w:tcMar>
          </w:tcPr>
          <w:p w14:paraId="167FD8F9" w14:textId="77777777" w:rsidR="003103A0" w:rsidRPr="00DD55BD" w:rsidRDefault="003103A0" w:rsidP="00EF2C4E">
            <w:pPr>
              <w:pStyle w:val="TableBlock"/>
              <w:rPr>
                <w:rFonts w:ascii="David" w:hAnsi="David"/>
                <w:sz w:val="26"/>
                <w:rtl/>
              </w:rPr>
            </w:pPr>
            <w:r w:rsidRPr="00DD55BD">
              <w:rPr>
                <w:rFonts w:ascii="David" w:hAnsi="David"/>
                <w:sz w:val="26"/>
                <w:rtl/>
              </w:rPr>
              <w:t>"(ב)</w:t>
            </w:r>
            <w:r w:rsidRPr="00DD55BD">
              <w:rPr>
                <w:rFonts w:ascii="David" w:hAnsi="David"/>
                <w:sz w:val="26"/>
                <w:rtl/>
              </w:rPr>
              <w:tab/>
              <w:t xml:space="preserve">בתקופת תוקפה של הכרזה על מצב חירום מיוחד </w:t>
            </w:r>
            <w:r>
              <w:rPr>
                <w:rFonts w:ascii="David" w:hAnsi="David" w:hint="cs"/>
                <w:sz w:val="26"/>
                <w:rtl/>
              </w:rPr>
              <w:t xml:space="preserve">בשל נגיף הקורונה </w:t>
            </w:r>
            <w:r w:rsidRPr="00DD55BD">
              <w:rPr>
                <w:rFonts w:ascii="David" w:hAnsi="David"/>
                <w:sz w:val="26"/>
                <w:rtl/>
              </w:rPr>
              <w:t>לפי סעיף 3א, יקראו את סעיף קטן (א) כך:</w:t>
            </w:r>
          </w:p>
        </w:tc>
      </w:tr>
      <w:tr w:rsidR="003103A0" w:rsidRPr="00DD55BD" w14:paraId="5712FE24"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20D0ED07"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0A21F3B2"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38EB873"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546E3E1" w14:textId="77777777" w:rsidR="003103A0" w:rsidRPr="00DD55BD" w:rsidRDefault="003103A0" w:rsidP="003103A0">
            <w:pPr>
              <w:pStyle w:val="TableText"/>
              <w:rPr>
                <w:rFonts w:ascii="David" w:hAnsi="David"/>
                <w:sz w:val="26"/>
                <w:rtl/>
              </w:rPr>
            </w:pPr>
          </w:p>
        </w:tc>
        <w:tc>
          <w:tcPr>
            <w:tcW w:w="5895" w:type="dxa"/>
            <w:gridSpan w:val="4"/>
            <w:shd w:val="clear" w:color="auto" w:fill="auto"/>
            <w:tcMar>
              <w:top w:w="91" w:type="dxa"/>
              <w:left w:w="0" w:type="dxa"/>
              <w:bottom w:w="91" w:type="dxa"/>
              <w:right w:w="0" w:type="dxa"/>
            </w:tcMar>
          </w:tcPr>
          <w:p w14:paraId="2BA0E8E2" w14:textId="77777777" w:rsidR="003103A0" w:rsidRPr="00DD55BD" w:rsidRDefault="003103A0" w:rsidP="00EF2C4E">
            <w:pPr>
              <w:pStyle w:val="TableBlock"/>
              <w:rPr>
                <w:rFonts w:ascii="David" w:hAnsi="David"/>
                <w:sz w:val="26"/>
                <w:rtl/>
              </w:rPr>
            </w:pPr>
            <w:r w:rsidRPr="00DD55BD">
              <w:rPr>
                <w:rFonts w:ascii="David" w:hAnsi="David"/>
                <w:sz w:val="26"/>
                <w:rtl/>
              </w:rPr>
              <w:t>(1)</w:t>
            </w:r>
            <w:r w:rsidRPr="00DD55BD">
              <w:rPr>
                <w:rFonts w:ascii="David" w:hAnsi="David"/>
                <w:sz w:val="26"/>
                <w:rtl/>
              </w:rPr>
              <w:tab/>
              <w:t>בפסקה (1), במקום פסקת משנה (י) יקראו:</w:t>
            </w:r>
          </w:p>
        </w:tc>
      </w:tr>
      <w:tr w:rsidR="003103A0" w:rsidRPr="00DD55BD" w14:paraId="63825505"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0EAC9554"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0DE980B9"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51FBFE71"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4B5D0898"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4B1F9D5D" w14:textId="77777777" w:rsidR="003103A0" w:rsidRPr="00DD55BD" w:rsidRDefault="003103A0" w:rsidP="003103A0">
            <w:pPr>
              <w:pStyle w:val="TableText"/>
              <w:rPr>
                <w:rFonts w:ascii="David" w:hAnsi="David"/>
                <w:sz w:val="26"/>
                <w:rtl/>
              </w:rPr>
            </w:pPr>
          </w:p>
        </w:tc>
        <w:tc>
          <w:tcPr>
            <w:tcW w:w="5271" w:type="dxa"/>
            <w:gridSpan w:val="3"/>
            <w:shd w:val="clear" w:color="auto" w:fill="auto"/>
            <w:tcMar>
              <w:top w:w="91" w:type="dxa"/>
              <w:left w:w="0" w:type="dxa"/>
              <w:bottom w:w="91" w:type="dxa"/>
              <w:right w:w="0" w:type="dxa"/>
            </w:tcMar>
          </w:tcPr>
          <w:p w14:paraId="16E4D314" w14:textId="77777777" w:rsidR="003103A0" w:rsidRPr="00DD55BD" w:rsidRDefault="003103A0" w:rsidP="00EF2C4E">
            <w:pPr>
              <w:pStyle w:val="TableBlock"/>
              <w:rPr>
                <w:rFonts w:ascii="David" w:hAnsi="David"/>
                <w:sz w:val="26"/>
                <w:rtl/>
              </w:rPr>
            </w:pPr>
            <w:r w:rsidRPr="00DD55BD">
              <w:rPr>
                <w:rFonts w:ascii="David" w:hAnsi="David"/>
                <w:sz w:val="26"/>
                <w:rtl/>
              </w:rPr>
              <w:t>"(י)</w:t>
            </w:r>
            <w:r w:rsidRPr="00DD55BD">
              <w:rPr>
                <w:rFonts w:ascii="David" w:hAnsi="David"/>
                <w:sz w:val="26"/>
                <w:rtl/>
              </w:rPr>
              <w:tab/>
              <w:t xml:space="preserve">יציאה של אדם להפגנה והשתתפות בה </w:t>
            </w:r>
            <w:r>
              <w:rPr>
                <w:rFonts w:hint="cs"/>
                <w:rtl/>
              </w:rPr>
              <w:t xml:space="preserve">בכפוף להגבלות </w:t>
            </w:r>
            <w:r w:rsidRPr="00B4214A">
              <w:rPr>
                <w:rFonts w:hint="cs"/>
                <w:rtl/>
              </w:rPr>
              <w:t xml:space="preserve">שנקבעו לפי פסקה (2) </w:t>
            </w:r>
            <w:r w:rsidRPr="00B4214A">
              <w:rPr>
                <w:rFonts w:ascii="David" w:hAnsi="David"/>
                <w:sz w:val="26"/>
                <w:rtl/>
              </w:rPr>
              <w:t>–</w:t>
            </w:r>
            <w:r w:rsidRPr="00B4214A">
              <w:rPr>
                <w:rFonts w:ascii="David" w:hAnsi="David" w:hint="cs"/>
                <w:sz w:val="26"/>
                <w:rtl/>
              </w:rPr>
              <w:t xml:space="preserve"> </w:t>
            </w:r>
            <w:r w:rsidRPr="00B4214A">
              <w:rPr>
                <w:rFonts w:ascii="David" w:hAnsi="David"/>
                <w:sz w:val="26"/>
                <w:rtl/>
              </w:rPr>
              <w:t>אם ההפגנה מתקיימת במרחק המותר ליציאה ממקום מגורים שנקבע לפי פסק</w:t>
            </w:r>
            <w:r w:rsidRPr="00B4214A">
              <w:rPr>
                <w:rFonts w:ascii="David" w:hAnsi="David" w:hint="cs"/>
                <w:sz w:val="26"/>
                <w:rtl/>
              </w:rPr>
              <w:t>ה</w:t>
            </w:r>
            <w:r w:rsidRPr="00B4214A">
              <w:rPr>
                <w:rFonts w:ascii="David" w:hAnsi="David"/>
                <w:sz w:val="26"/>
                <w:rtl/>
              </w:rPr>
              <w:t xml:space="preserve"> זו;";</w:t>
            </w:r>
          </w:p>
        </w:tc>
      </w:tr>
      <w:tr w:rsidR="003103A0" w:rsidRPr="00DD55BD" w14:paraId="0A12E213" w14:textId="77777777" w:rsidTr="00EF2C4E">
        <w:tblPrEx>
          <w:tblLook w:val="0000" w:firstRow="0" w:lastRow="0" w:firstColumn="0" w:lastColumn="0" w:noHBand="0" w:noVBand="0"/>
        </w:tblPrEx>
        <w:trPr>
          <w:cantSplit/>
        </w:trPr>
        <w:tc>
          <w:tcPr>
            <w:tcW w:w="1869" w:type="dxa"/>
            <w:shd w:val="clear" w:color="auto" w:fill="auto"/>
            <w:tcMar>
              <w:top w:w="91" w:type="dxa"/>
              <w:left w:w="0" w:type="dxa"/>
              <w:bottom w:w="91" w:type="dxa"/>
              <w:right w:w="0" w:type="dxa"/>
            </w:tcMar>
          </w:tcPr>
          <w:p w14:paraId="1A0487D8" w14:textId="77777777" w:rsidR="003103A0" w:rsidRPr="00DD55BD" w:rsidRDefault="003103A0" w:rsidP="003103A0">
            <w:pPr>
              <w:pStyle w:val="TableSideHeading"/>
              <w:rPr>
                <w:rFonts w:ascii="David" w:hAnsi="David"/>
                <w:sz w:val="26"/>
                <w:rtl/>
              </w:rPr>
            </w:pPr>
          </w:p>
        </w:tc>
        <w:tc>
          <w:tcPr>
            <w:tcW w:w="624" w:type="dxa"/>
            <w:shd w:val="clear" w:color="auto" w:fill="auto"/>
            <w:tcMar>
              <w:top w:w="91" w:type="dxa"/>
              <w:left w:w="0" w:type="dxa"/>
              <w:bottom w:w="91" w:type="dxa"/>
              <w:right w:w="0" w:type="dxa"/>
            </w:tcMar>
          </w:tcPr>
          <w:p w14:paraId="3ADC39F1"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2DA7AF8A" w14:textId="77777777" w:rsidR="003103A0" w:rsidRPr="00DD55BD" w:rsidRDefault="003103A0" w:rsidP="003103A0">
            <w:pPr>
              <w:pStyle w:val="TableText"/>
              <w:rPr>
                <w:rFonts w:ascii="David" w:hAnsi="David"/>
                <w:sz w:val="26"/>
                <w:rtl/>
              </w:rPr>
            </w:pPr>
          </w:p>
        </w:tc>
        <w:tc>
          <w:tcPr>
            <w:tcW w:w="624" w:type="dxa"/>
            <w:shd w:val="clear" w:color="auto" w:fill="auto"/>
            <w:tcMar>
              <w:top w:w="91" w:type="dxa"/>
              <w:left w:w="0" w:type="dxa"/>
              <w:bottom w:w="91" w:type="dxa"/>
              <w:right w:w="0" w:type="dxa"/>
            </w:tcMar>
          </w:tcPr>
          <w:p w14:paraId="15060492" w14:textId="77777777" w:rsidR="003103A0" w:rsidRPr="00DD55BD" w:rsidRDefault="003103A0" w:rsidP="003103A0">
            <w:pPr>
              <w:pStyle w:val="TableText"/>
              <w:rPr>
                <w:rFonts w:ascii="David" w:hAnsi="David"/>
                <w:sz w:val="26"/>
                <w:rtl/>
              </w:rPr>
            </w:pPr>
          </w:p>
        </w:tc>
        <w:tc>
          <w:tcPr>
            <w:tcW w:w="5895" w:type="dxa"/>
            <w:gridSpan w:val="4"/>
            <w:shd w:val="clear" w:color="auto" w:fill="auto"/>
            <w:tcMar>
              <w:top w:w="91" w:type="dxa"/>
              <w:left w:w="0" w:type="dxa"/>
              <w:bottom w:w="91" w:type="dxa"/>
              <w:right w:w="0" w:type="dxa"/>
            </w:tcMar>
          </w:tcPr>
          <w:p w14:paraId="22EA1ACD" w14:textId="77777777" w:rsidR="003103A0" w:rsidRPr="00DD55BD" w:rsidRDefault="003103A0" w:rsidP="00EF2C4E">
            <w:pPr>
              <w:pStyle w:val="TableBlock"/>
              <w:rPr>
                <w:rFonts w:ascii="David" w:hAnsi="David"/>
                <w:sz w:val="26"/>
                <w:rtl/>
              </w:rPr>
            </w:pPr>
            <w:r w:rsidRPr="00DD55BD">
              <w:rPr>
                <w:rFonts w:ascii="David" w:hAnsi="David"/>
                <w:sz w:val="26"/>
                <w:rtl/>
              </w:rPr>
              <w:t>(2)</w:t>
            </w:r>
            <w:r w:rsidRPr="00DD55BD">
              <w:rPr>
                <w:rFonts w:ascii="David" w:hAnsi="David"/>
                <w:sz w:val="26"/>
                <w:rtl/>
              </w:rPr>
              <w:tab/>
              <w:t xml:space="preserve">בפסקה (2), במקום </w:t>
            </w:r>
            <w:proofErr w:type="spellStart"/>
            <w:r w:rsidRPr="00DD55BD">
              <w:rPr>
                <w:rFonts w:ascii="David" w:hAnsi="David"/>
                <w:sz w:val="26"/>
                <w:rtl/>
              </w:rPr>
              <w:t>הסיפה</w:t>
            </w:r>
            <w:proofErr w:type="spellEnd"/>
            <w:r w:rsidRPr="00DD55BD">
              <w:rPr>
                <w:rFonts w:ascii="David" w:hAnsi="David"/>
                <w:sz w:val="26"/>
                <w:rtl/>
              </w:rPr>
              <w:t xml:space="preserve"> החל במילים "התקהלות </w:t>
            </w:r>
            <w:r w:rsidRPr="00B4214A">
              <w:rPr>
                <w:rFonts w:ascii="David" w:hAnsi="David"/>
                <w:sz w:val="26"/>
                <w:rtl/>
              </w:rPr>
              <w:t xml:space="preserve">במרחב הציבורי" יקראו "התקהלות במרחב הציבורי; בתקנות לפי פסקה זו רשאית הממשלה לקבוע הגבלה על התקהלות בהפגנה, בתפילה או בטקס דתי, </w:t>
            </w:r>
            <w:r w:rsidRPr="00B4214A">
              <w:rPr>
                <w:rFonts w:ascii="David" w:hAnsi="David" w:hint="cs"/>
                <w:sz w:val="26"/>
                <w:rtl/>
              </w:rPr>
              <w:t xml:space="preserve">לרבות הגבלה על מספר האנשים המשתתפים בהתקהלות כאמור שלא תפחת מהגבלה על התקהלות שנקבעה לפי פסקה זו, </w:t>
            </w:r>
            <w:r w:rsidRPr="00B4214A">
              <w:rPr>
                <w:rFonts w:ascii="David" w:hAnsi="David"/>
                <w:sz w:val="26"/>
                <w:rtl/>
              </w:rPr>
              <w:t>ובלבד שהגבלה כאמור חיונית למניעת התפשטות נגיף הקורונה</w:t>
            </w:r>
            <w:r w:rsidRPr="00B4214A">
              <w:rPr>
                <w:rFonts w:ascii="David" w:hAnsi="David" w:hint="cs"/>
                <w:sz w:val="26"/>
                <w:rtl/>
              </w:rPr>
              <w:t>; לא יהיה בהגבלה לפי פסקה זו כדי למנוע</w:t>
            </w:r>
            <w:r w:rsidRPr="00B4214A">
              <w:rPr>
                <w:rFonts w:ascii="David" w:hAnsi="David"/>
                <w:sz w:val="26"/>
                <w:rtl/>
              </w:rPr>
              <w:t xml:space="preserve"> </w:t>
            </w:r>
            <w:r w:rsidRPr="00B4214A">
              <w:rPr>
                <w:rFonts w:ascii="David" w:hAnsi="David" w:hint="cs"/>
                <w:sz w:val="26"/>
                <w:rtl/>
              </w:rPr>
              <w:t>לחלוטין</w:t>
            </w:r>
            <w:r w:rsidRPr="00B4214A">
              <w:rPr>
                <w:rFonts w:ascii="David" w:hAnsi="David"/>
                <w:sz w:val="26"/>
                <w:rtl/>
              </w:rPr>
              <w:t xml:space="preserve"> </w:t>
            </w:r>
            <w:r w:rsidRPr="00B4214A">
              <w:rPr>
                <w:rFonts w:ascii="David" w:hAnsi="David" w:hint="cs"/>
                <w:sz w:val="26"/>
                <w:rtl/>
              </w:rPr>
              <w:t>קיום</w:t>
            </w:r>
            <w:r w:rsidRPr="00B4214A">
              <w:rPr>
                <w:rFonts w:ascii="David" w:hAnsi="David"/>
                <w:sz w:val="26"/>
                <w:rtl/>
              </w:rPr>
              <w:t xml:space="preserve"> </w:t>
            </w:r>
            <w:r w:rsidRPr="00B4214A">
              <w:rPr>
                <w:rFonts w:ascii="David" w:hAnsi="David" w:hint="cs"/>
                <w:sz w:val="26"/>
                <w:rtl/>
              </w:rPr>
              <w:t xml:space="preserve">הפגנה, תפילה או טקס דתי </w:t>
            </w:r>
            <w:r w:rsidRPr="00B4214A">
              <w:rPr>
                <w:rFonts w:ascii="David" w:hAnsi="David"/>
                <w:sz w:val="26"/>
                <w:rtl/>
              </w:rPr>
              <w:t>"."</w:t>
            </w:r>
          </w:p>
        </w:tc>
      </w:tr>
      <w:tr w:rsidR="003103A0" w:rsidRPr="00A14184" w14:paraId="5D768C61" w14:textId="77777777" w:rsidTr="00EF2C4E">
        <w:trPr>
          <w:cantSplit/>
        </w:trPr>
        <w:tc>
          <w:tcPr>
            <w:tcW w:w="1869" w:type="dxa"/>
            <w:shd w:val="clear" w:color="auto" w:fill="auto"/>
          </w:tcPr>
          <w:p w14:paraId="11779DD7" w14:textId="77777777" w:rsidR="003103A0" w:rsidRPr="00A14184" w:rsidRDefault="003103A0" w:rsidP="003103A0">
            <w:pPr>
              <w:pStyle w:val="TableSideHeading"/>
              <w:keepLines w:val="0"/>
              <w:ind w:right="-28"/>
            </w:pPr>
            <w:r w:rsidRPr="00A14184">
              <w:rPr>
                <w:rFonts w:hint="eastAsia"/>
                <w:rtl/>
              </w:rPr>
              <w:t>תיקון</w:t>
            </w:r>
            <w:r w:rsidRPr="00A14184">
              <w:rPr>
                <w:rtl/>
              </w:rPr>
              <w:t xml:space="preserve"> </w:t>
            </w:r>
            <w:r w:rsidRPr="00A14184">
              <w:rPr>
                <w:rFonts w:hint="eastAsia"/>
                <w:rtl/>
              </w:rPr>
              <w:t>סעיף</w:t>
            </w:r>
            <w:r w:rsidRPr="00A14184">
              <w:rPr>
                <w:rtl/>
              </w:rPr>
              <w:t xml:space="preserve"> 10</w:t>
            </w:r>
          </w:p>
        </w:tc>
        <w:tc>
          <w:tcPr>
            <w:tcW w:w="624" w:type="dxa"/>
            <w:shd w:val="clear" w:color="auto" w:fill="auto"/>
          </w:tcPr>
          <w:p w14:paraId="34EEF7A7" w14:textId="77777777" w:rsidR="003103A0" w:rsidRPr="00A14184" w:rsidRDefault="003103A0" w:rsidP="003103A0">
            <w:pPr>
              <w:pStyle w:val="TableText"/>
              <w:keepLines w:val="0"/>
              <w:ind w:right="-28"/>
            </w:pPr>
            <w:r w:rsidRPr="00A14184">
              <w:rPr>
                <w:rtl/>
              </w:rPr>
              <w:t>5.</w:t>
            </w:r>
          </w:p>
        </w:tc>
        <w:tc>
          <w:tcPr>
            <w:tcW w:w="7143" w:type="dxa"/>
            <w:gridSpan w:val="6"/>
            <w:shd w:val="clear" w:color="auto" w:fill="auto"/>
          </w:tcPr>
          <w:p w14:paraId="4E9FA47F" w14:textId="77777777" w:rsidR="003103A0" w:rsidRPr="00A14184" w:rsidRDefault="003103A0" w:rsidP="00EF2C4E">
            <w:pPr>
              <w:pStyle w:val="TableBlock"/>
              <w:rPr>
                <w:rtl/>
              </w:rPr>
            </w:pPr>
            <w:r w:rsidRPr="00A14184">
              <w:rPr>
                <w:rFonts w:hint="eastAsia"/>
                <w:rtl/>
              </w:rPr>
              <w:t>בסעיף</w:t>
            </w:r>
            <w:r w:rsidRPr="00A14184">
              <w:rPr>
                <w:rtl/>
              </w:rPr>
              <w:t xml:space="preserve"> 10 </w:t>
            </w:r>
            <w:r w:rsidRPr="00A14184">
              <w:rPr>
                <w:rFonts w:hint="eastAsia"/>
                <w:rtl/>
              </w:rPr>
              <w:t>לחוק</w:t>
            </w:r>
            <w:r w:rsidRPr="00A14184">
              <w:rPr>
                <w:rtl/>
              </w:rPr>
              <w:t xml:space="preserve"> </w:t>
            </w:r>
            <w:r w:rsidRPr="00A14184">
              <w:rPr>
                <w:rFonts w:hint="eastAsia"/>
                <w:rtl/>
              </w:rPr>
              <w:t>העיקרי</w:t>
            </w:r>
            <w:r w:rsidRPr="00A14184">
              <w:rPr>
                <w:rtl/>
              </w:rPr>
              <w:t xml:space="preserve">, </w:t>
            </w:r>
            <w:r w:rsidRPr="00A14184">
              <w:rPr>
                <w:rFonts w:hint="eastAsia"/>
                <w:rtl/>
              </w:rPr>
              <w:t>בסופו</w:t>
            </w:r>
            <w:r w:rsidRPr="00A14184">
              <w:rPr>
                <w:rtl/>
              </w:rPr>
              <w:t xml:space="preserve"> </w:t>
            </w:r>
            <w:r w:rsidRPr="00A14184">
              <w:rPr>
                <w:rFonts w:hint="eastAsia"/>
                <w:rtl/>
              </w:rPr>
              <w:t>יבוא</w:t>
            </w:r>
            <w:r w:rsidRPr="00A14184">
              <w:rPr>
                <w:rtl/>
              </w:rPr>
              <w:t>:</w:t>
            </w:r>
          </w:p>
        </w:tc>
      </w:tr>
      <w:tr w:rsidR="003103A0" w:rsidRPr="00C57CF9" w14:paraId="019DC122" w14:textId="77777777" w:rsidTr="00EF2C4E">
        <w:trPr>
          <w:cantSplit/>
        </w:trPr>
        <w:tc>
          <w:tcPr>
            <w:tcW w:w="1869" w:type="dxa"/>
          </w:tcPr>
          <w:p w14:paraId="27F442D3" w14:textId="77777777" w:rsidR="003103A0" w:rsidRDefault="003103A0" w:rsidP="003103A0">
            <w:pPr>
              <w:pStyle w:val="TableSideHeading"/>
            </w:pPr>
          </w:p>
        </w:tc>
        <w:tc>
          <w:tcPr>
            <w:tcW w:w="624" w:type="dxa"/>
          </w:tcPr>
          <w:p w14:paraId="60B46D78" w14:textId="77777777" w:rsidR="003103A0" w:rsidRDefault="003103A0" w:rsidP="003103A0">
            <w:pPr>
              <w:pStyle w:val="TableText"/>
            </w:pPr>
          </w:p>
        </w:tc>
        <w:tc>
          <w:tcPr>
            <w:tcW w:w="7143" w:type="dxa"/>
            <w:gridSpan w:val="6"/>
          </w:tcPr>
          <w:p w14:paraId="04D8861D" w14:textId="77777777" w:rsidR="003103A0" w:rsidRPr="00C57CF9" w:rsidRDefault="003103A0" w:rsidP="00EF2C4E">
            <w:pPr>
              <w:pStyle w:val="TableBlock"/>
            </w:pPr>
            <w:r>
              <w:rPr>
                <w:rFonts w:hint="cs"/>
                <w:rtl/>
              </w:rPr>
              <w:t xml:space="preserve">"(ד) </w:t>
            </w:r>
            <w:r>
              <w:rPr>
                <w:rtl/>
              </w:rPr>
              <w:tab/>
            </w:r>
            <w:r>
              <w:rPr>
                <w:rFonts w:hint="cs"/>
                <w:rtl/>
              </w:rPr>
              <w:t>בתקופת קיומה של הכרזה על מצב חירום מיוחד בשל נגיף הקורונה לפי סעיף 3א, לא יתקיימו בחינות כאמור בסעיף קטן (ב)(3), למעט בחינות אלה:</w:t>
            </w:r>
          </w:p>
        </w:tc>
      </w:tr>
      <w:tr w:rsidR="003103A0" w:rsidRPr="00C57CF9" w14:paraId="5F32200B" w14:textId="77777777" w:rsidTr="00EF2C4E">
        <w:trPr>
          <w:cantSplit/>
        </w:trPr>
        <w:tc>
          <w:tcPr>
            <w:tcW w:w="1869" w:type="dxa"/>
          </w:tcPr>
          <w:p w14:paraId="1C06EA7A" w14:textId="77777777" w:rsidR="003103A0" w:rsidRDefault="003103A0" w:rsidP="003103A0">
            <w:pPr>
              <w:pStyle w:val="TableSideHeading"/>
            </w:pPr>
          </w:p>
        </w:tc>
        <w:tc>
          <w:tcPr>
            <w:tcW w:w="624" w:type="dxa"/>
          </w:tcPr>
          <w:p w14:paraId="505E1BD8" w14:textId="77777777" w:rsidR="003103A0" w:rsidRDefault="003103A0" w:rsidP="003103A0">
            <w:pPr>
              <w:pStyle w:val="TableText"/>
            </w:pPr>
          </w:p>
        </w:tc>
        <w:tc>
          <w:tcPr>
            <w:tcW w:w="624" w:type="dxa"/>
          </w:tcPr>
          <w:p w14:paraId="455F046C" w14:textId="77777777" w:rsidR="003103A0" w:rsidRDefault="003103A0" w:rsidP="003103A0">
            <w:pPr>
              <w:pStyle w:val="TableText"/>
            </w:pPr>
          </w:p>
        </w:tc>
        <w:tc>
          <w:tcPr>
            <w:tcW w:w="6519" w:type="dxa"/>
            <w:gridSpan w:val="5"/>
          </w:tcPr>
          <w:p w14:paraId="69398863" w14:textId="77777777" w:rsidR="003103A0" w:rsidRPr="00C57CF9" w:rsidRDefault="003103A0" w:rsidP="00EF2C4E">
            <w:pPr>
              <w:pStyle w:val="TableBlock"/>
              <w:rPr>
                <w:rtl/>
              </w:rPr>
            </w:pPr>
            <w:r w:rsidRPr="00C57CF9">
              <w:rPr>
                <w:rFonts w:hint="cs"/>
                <w:rtl/>
              </w:rPr>
              <w:t>(1)</w:t>
            </w:r>
            <w:r w:rsidRPr="00C57CF9">
              <w:rPr>
                <w:rtl/>
              </w:rPr>
              <w:tab/>
              <w:t>בחינות שהממשלה קבעה בתקנות לפי סעיף זה שניתן לקיימן בתקופת ההכרזה לפי סעיף 3א</w:t>
            </w:r>
            <w:r>
              <w:rPr>
                <w:rFonts w:hint="cs"/>
                <w:rtl/>
              </w:rPr>
              <w:t>,</w:t>
            </w:r>
            <w:r w:rsidRPr="00C57CF9">
              <w:rPr>
                <w:rtl/>
              </w:rPr>
              <w:t xml:space="preserve"> ובלבד </w:t>
            </w:r>
            <w:r>
              <w:rPr>
                <w:rFonts w:hint="cs"/>
                <w:rtl/>
              </w:rPr>
              <w:t>ש</w:t>
            </w:r>
            <w:r w:rsidRPr="00C57CF9">
              <w:rPr>
                <w:rtl/>
              </w:rPr>
              <w:t xml:space="preserve">מצאה שקיומן חיוני למרות התפשטות רחבה של נגיף הקורונה </w:t>
            </w:r>
            <w:r>
              <w:rPr>
                <w:rFonts w:hint="cs"/>
                <w:rtl/>
              </w:rPr>
              <w:t>ה</w:t>
            </w:r>
            <w:r w:rsidRPr="00C57CF9">
              <w:rPr>
                <w:rtl/>
              </w:rPr>
              <w:t>גורמת לפגיעה חמורה בבריאות הציבור, כאמור בסעיף 3א(א)</w:t>
            </w:r>
            <w:r>
              <w:rPr>
                <w:rFonts w:hint="cs"/>
                <w:rtl/>
              </w:rPr>
              <w:t>;</w:t>
            </w:r>
          </w:p>
        </w:tc>
      </w:tr>
      <w:tr w:rsidR="003103A0" w:rsidRPr="00C57CF9" w14:paraId="602C066C" w14:textId="77777777" w:rsidTr="00EF2C4E">
        <w:trPr>
          <w:cantSplit/>
        </w:trPr>
        <w:tc>
          <w:tcPr>
            <w:tcW w:w="1869" w:type="dxa"/>
          </w:tcPr>
          <w:p w14:paraId="21043D49" w14:textId="77777777" w:rsidR="003103A0" w:rsidRDefault="003103A0" w:rsidP="003103A0">
            <w:pPr>
              <w:pStyle w:val="TableSideHeading"/>
            </w:pPr>
          </w:p>
        </w:tc>
        <w:tc>
          <w:tcPr>
            <w:tcW w:w="624" w:type="dxa"/>
          </w:tcPr>
          <w:p w14:paraId="3AAFD397" w14:textId="77777777" w:rsidR="003103A0" w:rsidRDefault="003103A0" w:rsidP="003103A0">
            <w:pPr>
              <w:pStyle w:val="TableText"/>
            </w:pPr>
          </w:p>
        </w:tc>
        <w:tc>
          <w:tcPr>
            <w:tcW w:w="624" w:type="dxa"/>
          </w:tcPr>
          <w:p w14:paraId="065518EF" w14:textId="77777777" w:rsidR="003103A0" w:rsidRDefault="003103A0" w:rsidP="003103A0">
            <w:pPr>
              <w:pStyle w:val="TableText"/>
            </w:pPr>
          </w:p>
        </w:tc>
        <w:tc>
          <w:tcPr>
            <w:tcW w:w="6519" w:type="dxa"/>
            <w:gridSpan w:val="5"/>
          </w:tcPr>
          <w:p w14:paraId="09AA2A78" w14:textId="77777777" w:rsidR="003103A0" w:rsidRPr="00C57CF9" w:rsidRDefault="003103A0" w:rsidP="00EF2C4E">
            <w:pPr>
              <w:pStyle w:val="TableBlock"/>
              <w:rPr>
                <w:rtl/>
              </w:rPr>
            </w:pPr>
            <w:r w:rsidRPr="00C57CF9">
              <w:rPr>
                <w:rFonts w:hint="cs"/>
                <w:rtl/>
              </w:rPr>
              <w:t>(2)</w:t>
            </w:r>
            <w:r w:rsidRPr="00C57CF9">
              <w:rPr>
                <w:rtl/>
              </w:rPr>
              <w:tab/>
              <w:t xml:space="preserve">בחינות </w:t>
            </w:r>
            <w:r w:rsidRPr="00F36F28">
              <w:rPr>
                <w:rtl/>
              </w:rPr>
              <w:t>שמתקיימות</w:t>
            </w:r>
            <w:r w:rsidRPr="00A14184">
              <w:rPr>
                <w:rtl/>
              </w:rPr>
              <w:t xml:space="preserve"> באמצעים </w:t>
            </w:r>
            <w:r w:rsidRPr="00A14184">
              <w:rPr>
                <w:rFonts w:hint="eastAsia"/>
                <w:rtl/>
              </w:rPr>
              <w:t>דיגיטליים</w:t>
            </w:r>
            <w:r w:rsidRPr="00A14184">
              <w:rPr>
                <w:rtl/>
              </w:rPr>
              <w:t xml:space="preserve"> </w:t>
            </w:r>
            <w:r w:rsidRPr="00A14184">
              <w:rPr>
                <w:rFonts w:hint="eastAsia"/>
                <w:rtl/>
              </w:rPr>
              <w:t>ללא</w:t>
            </w:r>
            <w:r w:rsidRPr="00A14184">
              <w:rPr>
                <w:rtl/>
              </w:rPr>
              <w:t xml:space="preserve"> צורך בנוכחות הנבחן</w:t>
            </w:r>
            <w:r w:rsidRPr="00F36F28">
              <w:rPr>
                <w:rFonts w:hint="cs"/>
                <w:rtl/>
              </w:rPr>
              <w:t xml:space="preserve"> </w:t>
            </w:r>
            <w:r w:rsidRPr="00A14184">
              <w:rPr>
                <w:rFonts w:hint="eastAsia"/>
                <w:rtl/>
              </w:rPr>
              <w:t>במוסד</w:t>
            </w:r>
            <w:r w:rsidRPr="00A14184">
              <w:rPr>
                <w:rtl/>
              </w:rPr>
              <w:t xml:space="preserve"> </w:t>
            </w:r>
            <w:r w:rsidRPr="00A14184">
              <w:rPr>
                <w:rFonts w:hint="eastAsia"/>
                <w:rtl/>
              </w:rPr>
              <w:t>שעורך</w:t>
            </w:r>
            <w:r w:rsidRPr="00A14184">
              <w:rPr>
                <w:rtl/>
              </w:rPr>
              <w:t xml:space="preserve"> </w:t>
            </w:r>
            <w:r w:rsidRPr="00A14184">
              <w:rPr>
                <w:rFonts w:hint="eastAsia"/>
                <w:rtl/>
              </w:rPr>
              <w:t>את</w:t>
            </w:r>
            <w:r w:rsidRPr="00A14184">
              <w:rPr>
                <w:rtl/>
              </w:rPr>
              <w:t xml:space="preserve"> </w:t>
            </w:r>
            <w:r w:rsidRPr="00A14184">
              <w:rPr>
                <w:rFonts w:hint="eastAsia"/>
                <w:rtl/>
              </w:rPr>
              <w:t>הבחינה</w:t>
            </w:r>
            <w:r w:rsidRPr="00F36F28">
              <w:rPr>
                <w:rFonts w:hint="cs"/>
                <w:rtl/>
              </w:rPr>
              <w:t>;</w:t>
            </w:r>
          </w:p>
        </w:tc>
      </w:tr>
      <w:tr w:rsidR="003103A0" w:rsidRPr="00C57CF9" w14:paraId="3127D701" w14:textId="77777777" w:rsidTr="00EF2C4E">
        <w:trPr>
          <w:cantSplit/>
        </w:trPr>
        <w:tc>
          <w:tcPr>
            <w:tcW w:w="1869" w:type="dxa"/>
          </w:tcPr>
          <w:p w14:paraId="13FF4C5B" w14:textId="77777777" w:rsidR="003103A0" w:rsidRDefault="003103A0" w:rsidP="003103A0">
            <w:pPr>
              <w:pStyle w:val="TableSideHeading"/>
            </w:pPr>
          </w:p>
        </w:tc>
        <w:tc>
          <w:tcPr>
            <w:tcW w:w="624" w:type="dxa"/>
          </w:tcPr>
          <w:p w14:paraId="442100D9" w14:textId="77777777" w:rsidR="003103A0" w:rsidRDefault="003103A0" w:rsidP="003103A0">
            <w:pPr>
              <w:pStyle w:val="TableText"/>
            </w:pPr>
          </w:p>
        </w:tc>
        <w:tc>
          <w:tcPr>
            <w:tcW w:w="624" w:type="dxa"/>
          </w:tcPr>
          <w:p w14:paraId="412A4ABE" w14:textId="77777777" w:rsidR="003103A0" w:rsidRDefault="003103A0" w:rsidP="003103A0">
            <w:pPr>
              <w:pStyle w:val="TableText"/>
            </w:pPr>
          </w:p>
        </w:tc>
        <w:tc>
          <w:tcPr>
            <w:tcW w:w="6519" w:type="dxa"/>
            <w:gridSpan w:val="5"/>
          </w:tcPr>
          <w:p w14:paraId="0E82208F" w14:textId="77777777" w:rsidR="003103A0" w:rsidRPr="00C57CF9" w:rsidRDefault="003103A0" w:rsidP="00EF2C4E">
            <w:pPr>
              <w:pStyle w:val="TableBlock"/>
              <w:rPr>
                <w:rtl/>
              </w:rPr>
            </w:pPr>
            <w:r w:rsidRPr="00C57CF9">
              <w:rPr>
                <w:rFonts w:hint="cs"/>
                <w:rtl/>
              </w:rPr>
              <w:t>(3)</w:t>
            </w:r>
            <w:r w:rsidRPr="00C57CF9">
              <w:rPr>
                <w:rtl/>
              </w:rPr>
              <w:tab/>
              <w:t>בחינות בתחום הרפואה והבריאות.</w:t>
            </w:r>
            <w:r>
              <w:rPr>
                <w:rFonts w:hint="cs"/>
                <w:rtl/>
              </w:rPr>
              <w:t>"</w:t>
            </w:r>
          </w:p>
        </w:tc>
      </w:tr>
      <w:tr w:rsidR="003103A0" w:rsidRPr="00A14184" w14:paraId="51AE5DF5" w14:textId="77777777" w:rsidTr="00EF2C4E">
        <w:trPr>
          <w:cantSplit/>
        </w:trPr>
        <w:tc>
          <w:tcPr>
            <w:tcW w:w="1869" w:type="dxa"/>
          </w:tcPr>
          <w:p w14:paraId="60701F06" w14:textId="77777777" w:rsidR="003103A0" w:rsidRPr="00A14184" w:rsidRDefault="003103A0" w:rsidP="003103A0">
            <w:pPr>
              <w:pStyle w:val="TableSideHeading"/>
              <w:keepLines w:val="0"/>
              <w:ind w:right="-28"/>
              <w:rPr>
                <w:rtl/>
              </w:rPr>
            </w:pPr>
            <w:r w:rsidRPr="00A14184">
              <w:rPr>
                <w:rFonts w:hint="eastAsia"/>
                <w:rtl/>
              </w:rPr>
              <w:t>תיקון</w:t>
            </w:r>
            <w:r w:rsidRPr="00A14184">
              <w:rPr>
                <w:rtl/>
              </w:rPr>
              <w:t xml:space="preserve"> </w:t>
            </w:r>
            <w:r w:rsidRPr="00A14184">
              <w:rPr>
                <w:rFonts w:hint="eastAsia"/>
                <w:rtl/>
              </w:rPr>
              <w:t>סעיף</w:t>
            </w:r>
            <w:r w:rsidRPr="00A14184">
              <w:rPr>
                <w:rtl/>
              </w:rPr>
              <w:t xml:space="preserve"> 46</w:t>
            </w:r>
          </w:p>
        </w:tc>
        <w:tc>
          <w:tcPr>
            <w:tcW w:w="624" w:type="dxa"/>
          </w:tcPr>
          <w:p w14:paraId="486304F7" w14:textId="77777777" w:rsidR="003103A0" w:rsidRPr="00A14184" w:rsidRDefault="003103A0" w:rsidP="003103A0">
            <w:pPr>
              <w:pStyle w:val="TableText"/>
              <w:ind w:right="-28"/>
              <w:rPr>
                <w:rtl/>
              </w:rPr>
            </w:pPr>
            <w:r>
              <w:rPr>
                <w:rFonts w:hint="cs"/>
                <w:rtl/>
              </w:rPr>
              <w:t>6.</w:t>
            </w:r>
          </w:p>
        </w:tc>
        <w:tc>
          <w:tcPr>
            <w:tcW w:w="7143" w:type="dxa"/>
            <w:gridSpan w:val="6"/>
          </w:tcPr>
          <w:p w14:paraId="19C26521" w14:textId="77777777" w:rsidR="003103A0" w:rsidRPr="00A14184" w:rsidRDefault="003103A0" w:rsidP="00EF2C4E">
            <w:pPr>
              <w:pStyle w:val="TableBlock"/>
              <w:rPr>
                <w:rtl/>
              </w:rPr>
            </w:pPr>
            <w:r w:rsidRPr="00A14184">
              <w:rPr>
                <w:rFonts w:hint="eastAsia"/>
                <w:rtl/>
              </w:rPr>
              <w:t>בסעיף</w:t>
            </w:r>
            <w:r w:rsidRPr="00A14184">
              <w:rPr>
                <w:rtl/>
              </w:rPr>
              <w:t xml:space="preserve"> 46 </w:t>
            </w:r>
            <w:r w:rsidRPr="00A14184">
              <w:rPr>
                <w:rFonts w:hint="eastAsia"/>
                <w:rtl/>
              </w:rPr>
              <w:t>לחוק</w:t>
            </w:r>
            <w:r w:rsidRPr="00A14184">
              <w:rPr>
                <w:rtl/>
              </w:rPr>
              <w:t xml:space="preserve"> </w:t>
            </w:r>
            <w:r w:rsidRPr="00A14184">
              <w:rPr>
                <w:rFonts w:hint="eastAsia"/>
                <w:rtl/>
              </w:rPr>
              <w:t>העיקרי</w:t>
            </w:r>
            <w:r w:rsidRPr="00A14184">
              <w:rPr>
                <w:rtl/>
              </w:rPr>
              <w:t xml:space="preserve">, </w:t>
            </w:r>
            <w:r w:rsidRPr="00A14184">
              <w:rPr>
                <w:rFonts w:hint="eastAsia"/>
                <w:rtl/>
              </w:rPr>
              <w:t>במקום</w:t>
            </w:r>
            <w:r w:rsidRPr="00A14184">
              <w:rPr>
                <w:rtl/>
              </w:rPr>
              <w:t xml:space="preserve"> "לפי </w:t>
            </w:r>
            <w:r w:rsidRPr="00A14184">
              <w:rPr>
                <w:rFonts w:hint="eastAsia"/>
                <w:rtl/>
              </w:rPr>
              <w:t>סעיף</w:t>
            </w:r>
            <w:r w:rsidRPr="00A14184">
              <w:rPr>
                <w:rtl/>
              </w:rPr>
              <w:t xml:space="preserve"> 7(1)" </w:t>
            </w:r>
            <w:r w:rsidRPr="00A14184">
              <w:rPr>
                <w:rFonts w:hint="eastAsia"/>
                <w:rtl/>
              </w:rPr>
              <w:t>יבוא</w:t>
            </w:r>
            <w:r w:rsidRPr="00A14184">
              <w:rPr>
                <w:rtl/>
              </w:rPr>
              <w:t xml:space="preserve"> "לפי </w:t>
            </w:r>
            <w:r w:rsidRPr="00A14184">
              <w:rPr>
                <w:rFonts w:hint="eastAsia"/>
                <w:rtl/>
              </w:rPr>
              <w:t>סעיף</w:t>
            </w:r>
            <w:r w:rsidRPr="00A14184">
              <w:rPr>
                <w:rtl/>
              </w:rPr>
              <w:t xml:space="preserve"> 7(א)(1) </w:t>
            </w:r>
            <w:r w:rsidRPr="00A14184">
              <w:rPr>
                <w:rFonts w:hint="eastAsia"/>
                <w:rtl/>
              </w:rPr>
              <w:t>ו</w:t>
            </w:r>
            <w:r w:rsidRPr="00A14184">
              <w:rPr>
                <w:rtl/>
              </w:rPr>
              <w:t>-7(ב)</w:t>
            </w:r>
            <w:r>
              <w:rPr>
                <w:rFonts w:hint="cs"/>
                <w:rtl/>
              </w:rPr>
              <w:t>,</w:t>
            </w:r>
            <w:r w:rsidRPr="00A14184">
              <w:rPr>
                <w:rtl/>
              </w:rPr>
              <w:t>".</w:t>
            </w:r>
          </w:p>
        </w:tc>
      </w:tr>
      <w:tr w:rsidR="003103A0" w:rsidRPr="00A14184" w14:paraId="3DA6E7C0" w14:textId="77777777" w:rsidTr="00EF2C4E">
        <w:trPr>
          <w:cantSplit/>
        </w:trPr>
        <w:tc>
          <w:tcPr>
            <w:tcW w:w="1869" w:type="dxa"/>
          </w:tcPr>
          <w:p w14:paraId="295757F9" w14:textId="77777777" w:rsidR="003103A0" w:rsidRPr="00A14184" w:rsidRDefault="003103A0" w:rsidP="003103A0">
            <w:pPr>
              <w:pStyle w:val="TableSideHeading"/>
              <w:keepLines w:val="0"/>
              <w:ind w:right="-28"/>
              <w:rPr>
                <w:rtl/>
              </w:rPr>
            </w:pPr>
            <w:r w:rsidRPr="00A14184">
              <w:rPr>
                <w:rFonts w:hint="eastAsia"/>
                <w:rtl/>
              </w:rPr>
              <w:t>תיקון</w:t>
            </w:r>
            <w:r w:rsidRPr="00A14184">
              <w:rPr>
                <w:rtl/>
              </w:rPr>
              <w:t xml:space="preserve"> </w:t>
            </w:r>
            <w:r w:rsidRPr="00A14184">
              <w:rPr>
                <w:rFonts w:hint="eastAsia"/>
                <w:rtl/>
              </w:rPr>
              <w:t>סעיף</w:t>
            </w:r>
            <w:r w:rsidRPr="00A14184">
              <w:rPr>
                <w:rtl/>
              </w:rPr>
              <w:t xml:space="preserve"> 47</w:t>
            </w:r>
          </w:p>
        </w:tc>
        <w:tc>
          <w:tcPr>
            <w:tcW w:w="624" w:type="dxa"/>
          </w:tcPr>
          <w:p w14:paraId="16D6A860" w14:textId="77777777" w:rsidR="003103A0" w:rsidRPr="00A14184" w:rsidRDefault="003103A0" w:rsidP="003103A0">
            <w:pPr>
              <w:pStyle w:val="TableText"/>
              <w:ind w:right="-28"/>
              <w:rPr>
                <w:rtl/>
              </w:rPr>
            </w:pPr>
            <w:r>
              <w:rPr>
                <w:rFonts w:hint="cs"/>
                <w:rtl/>
              </w:rPr>
              <w:t>7.</w:t>
            </w:r>
          </w:p>
        </w:tc>
        <w:tc>
          <w:tcPr>
            <w:tcW w:w="7143" w:type="dxa"/>
            <w:gridSpan w:val="6"/>
          </w:tcPr>
          <w:p w14:paraId="44063833" w14:textId="77777777" w:rsidR="003103A0" w:rsidRPr="00A14184" w:rsidRDefault="003103A0" w:rsidP="00EF2C4E">
            <w:pPr>
              <w:pStyle w:val="TableBlock"/>
              <w:rPr>
                <w:rtl/>
              </w:rPr>
            </w:pPr>
            <w:r w:rsidRPr="00A14184">
              <w:rPr>
                <w:rFonts w:hint="eastAsia"/>
                <w:rtl/>
              </w:rPr>
              <w:t>בסעיף</w:t>
            </w:r>
            <w:r w:rsidRPr="00A14184">
              <w:rPr>
                <w:rtl/>
              </w:rPr>
              <w:t xml:space="preserve"> 47 </w:t>
            </w:r>
            <w:r w:rsidRPr="00A14184">
              <w:rPr>
                <w:rFonts w:hint="eastAsia"/>
                <w:rtl/>
              </w:rPr>
              <w:t>לחוק</w:t>
            </w:r>
            <w:r w:rsidRPr="00A14184">
              <w:rPr>
                <w:rtl/>
              </w:rPr>
              <w:t xml:space="preserve"> </w:t>
            </w:r>
            <w:r w:rsidRPr="00A14184">
              <w:rPr>
                <w:rFonts w:hint="eastAsia"/>
                <w:rtl/>
              </w:rPr>
              <w:t>העיקרי</w:t>
            </w:r>
            <w:r w:rsidRPr="00A14184">
              <w:rPr>
                <w:rtl/>
              </w:rPr>
              <w:t xml:space="preserve">, </w:t>
            </w:r>
            <w:r w:rsidRPr="00A14184">
              <w:rPr>
                <w:rFonts w:hint="eastAsia"/>
                <w:rtl/>
              </w:rPr>
              <w:t>בכל</w:t>
            </w:r>
            <w:r w:rsidRPr="00A14184">
              <w:rPr>
                <w:rtl/>
              </w:rPr>
              <w:t xml:space="preserve"> </w:t>
            </w:r>
            <w:r w:rsidRPr="00A14184">
              <w:rPr>
                <w:rFonts w:hint="eastAsia"/>
                <w:rtl/>
              </w:rPr>
              <w:t>מקום</w:t>
            </w:r>
            <w:r w:rsidRPr="00A14184">
              <w:rPr>
                <w:rtl/>
              </w:rPr>
              <w:t xml:space="preserve">, </w:t>
            </w:r>
            <w:r w:rsidRPr="00A14184">
              <w:rPr>
                <w:rFonts w:hint="eastAsia"/>
                <w:rtl/>
              </w:rPr>
              <w:t>אחרי</w:t>
            </w:r>
            <w:r w:rsidRPr="00A14184">
              <w:rPr>
                <w:rtl/>
              </w:rPr>
              <w:t xml:space="preserve"> "בהכרזה </w:t>
            </w:r>
            <w:r w:rsidRPr="00A14184">
              <w:rPr>
                <w:rFonts w:hint="eastAsia"/>
                <w:rtl/>
              </w:rPr>
              <w:t>לפי</w:t>
            </w:r>
            <w:r w:rsidRPr="00A14184">
              <w:rPr>
                <w:rtl/>
              </w:rPr>
              <w:t xml:space="preserve"> </w:t>
            </w:r>
            <w:r w:rsidRPr="00A14184">
              <w:rPr>
                <w:rFonts w:hint="eastAsia"/>
                <w:rtl/>
              </w:rPr>
              <w:t>סעיף</w:t>
            </w:r>
            <w:r w:rsidRPr="00A14184">
              <w:rPr>
                <w:rtl/>
              </w:rPr>
              <w:t xml:space="preserve"> 2" </w:t>
            </w:r>
            <w:r w:rsidRPr="00A14184">
              <w:rPr>
                <w:rFonts w:hint="eastAsia"/>
                <w:rtl/>
              </w:rPr>
              <w:t>יבוא</w:t>
            </w:r>
            <w:r w:rsidRPr="00A14184">
              <w:rPr>
                <w:rtl/>
              </w:rPr>
              <w:t xml:space="preserve"> "או 3א", </w:t>
            </w:r>
            <w:r w:rsidRPr="00A14184">
              <w:rPr>
                <w:rFonts w:hint="eastAsia"/>
                <w:rtl/>
              </w:rPr>
              <w:t>ואחרי</w:t>
            </w:r>
            <w:r w:rsidRPr="00A14184">
              <w:rPr>
                <w:rtl/>
              </w:rPr>
              <w:t xml:space="preserve"> "בביטול </w:t>
            </w:r>
            <w:r w:rsidRPr="00A14184">
              <w:rPr>
                <w:rFonts w:hint="eastAsia"/>
                <w:rtl/>
              </w:rPr>
              <w:t>הכרזה</w:t>
            </w:r>
            <w:r w:rsidRPr="00A14184">
              <w:rPr>
                <w:rtl/>
              </w:rPr>
              <w:t xml:space="preserve"> </w:t>
            </w:r>
            <w:r w:rsidRPr="00A14184">
              <w:rPr>
                <w:rFonts w:hint="eastAsia"/>
                <w:rtl/>
              </w:rPr>
              <w:t>לפי</w:t>
            </w:r>
            <w:r w:rsidRPr="00A14184">
              <w:rPr>
                <w:rtl/>
              </w:rPr>
              <w:t xml:space="preserve"> </w:t>
            </w:r>
            <w:r w:rsidRPr="00A14184">
              <w:rPr>
                <w:rFonts w:hint="eastAsia"/>
                <w:rtl/>
              </w:rPr>
              <w:t>סעיף</w:t>
            </w:r>
            <w:r w:rsidRPr="00A14184">
              <w:rPr>
                <w:rtl/>
              </w:rPr>
              <w:t xml:space="preserve"> 3" </w:t>
            </w:r>
            <w:r w:rsidRPr="00A14184">
              <w:rPr>
                <w:rFonts w:hint="eastAsia"/>
                <w:rtl/>
              </w:rPr>
              <w:t>יבוא</w:t>
            </w:r>
            <w:r w:rsidRPr="00A14184">
              <w:rPr>
                <w:rtl/>
              </w:rPr>
              <w:t xml:space="preserve"> "או 3א".</w:t>
            </w:r>
          </w:p>
        </w:tc>
      </w:tr>
      <w:tr w:rsidR="003103A0" w14:paraId="624C510C" w14:textId="77777777" w:rsidTr="00EF2C4E">
        <w:trPr>
          <w:cantSplit/>
        </w:trPr>
        <w:tc>
          <w:tcPr>
            <w:tcW w:w="1869" w:type="dxa"/>
          </w:tcPr>
          <w:p w14:paraId="471587D1" w14:textId="77777777" w:rsidR="003103A0" w:rsidRPr="00A14184" w:rsidRDefault="003103A0" w:rsidP="003103A0">
            <w:pPr>
              <w:pStyle w:val="TableSideHeading"/>
              <w:keepLines w:val="0"/>
              <w:ind w:right="-28"/>
              <w:rPr>
                <w:rtl/>
              </w:rPr>
            </w:pPr>
            <w:r w:rsidRPr="00A14184">
              <w:rPr>
                <w:rFonts w:hint="eastAsia"/>
                <w:rtl/>
              </w:rPr>
              <w:t>תיקון</w:t>
            </w:r>
            <w:r w:rsidRPr="00A14184">
              <w:rPr>
                <w:rtl/>
              </w:rPr>
              <w:t xml:space="preserve"> </w:t>
            </w:r>
            <w:r w:rsidRPr="00A14184">
              <w:rPr>
                <w:rFonts w:hint="eastAsia"/>
                <w:rtl/>
              </w:rPr>
              <w:t>סעיף</w:t>
            </w:r>
            <w:r w:rsidRPr="00A14184">
              <w:rPr>
                <w:rtl/>
              </w:rPr>
              <w:t xml:space="preserve"> 51</w:t>
            </w:r>
          </w:p>
        </w:tc>
        <w:tc>
          <w:tcPr>
            <w:tcW w:w="624" w:type="dxa"/>
          </w:tcPr>
          <w:p w14:paraId="20083951" w14:textId="77777777" w:rsidR="003103A0" w:rsidDel="00101960" w:rsidRDefault="003103A0" w:rsidP="003103A0">
            <w:pPr>
              <w:pStyle w:val="TableText"/>
              <w:rPr>
                <w:highlight w:val="green"/>
                <w:rtl/>
              </w:rPr>
            </w:pPr>
            <w:r w:rsidRPr="00A14184">
              <w:rPr>
                <w:rtl/>
              </w:rPr>
              <w:t xml:space="preserve">8. </w:t>
            </w:r>
          </w:p>
        </w:tc>
        <w:tc>
          <w:tcPr>
            <w:tcW w:w="7143" w:type="dxa"/>
            <w:gridSpan w:val="6"/>
          </w:tcPr>
          <w:p w14:paraId="768B8A7A" w14:textId="77777777" w:rsidR="003103A0" w:rsidRDefault="003103A0" w:rsidP="00EF2C4E">
            <w:pPr>
              <w:pStyle w:val="TableBlock"/>
              <w:rPr>
                <w:highlight w:val="green"/>
                <w:rtl/>
              </w:rPr>
            </w:pPr>
            <w:r w:rsidRPr="00DD55BD">
              <w:rPr>
                <w:rFonts w:ascii="David" w:hAnsi="David"/>
                <w:sz w:val="26"/>
                <w:rtl/>
              </w:rPr>
              <w:t>בסעיף 51 לחוק העיקרי, האמור בו יסומן "(א)" ואחריו יבוא:</w:t>
            </w:r>
          </w:p>
        </w:tc>
      </w:tr>
      <w:tr w:rsidR="003103A0" w:rsidRPr="00DD55BD" w14:paraId="790176D6" w14:textId="77777777" w:rsidTr="00EF2C4E">
        <w:trPr>
          <w:cantSplit/>
        </w:trPr>
        <w:tc>
          <w:tcPr>
            <w:tcW w:w="1869" w:type="dxa"/>
          </w:tcPr>
          <w:p w14:paraId="24CE1466" w14:textId="77777777" w:rsidR="003103A0" w:rsidRPr="00A14184" w:rsidRDefault="003103A0" w:rsidP="003103A0">
            <w:pPr>
              <w:pStyle w:val="TableSideHeading"/>
              <w:keepLines w:val="0"/>
              <w:ind w:right="-28"/>
              <w:rPr>
                <w:rtl/>
              </w:rPr>
            </w:pPr>
          </w:p>
        </w:tc>
        <w:tc>
          <w:tcPr>
            <w:tcW w:w="624" w:type="dxa"/>
          </w:tcPr>
          <w:p w14:paraId="10F15B22" w14:textId="77777777" w:rsidR="003103A0" w:rsidRDefault="003103A0" w:rsidP="003103A0">
            <w:pPr>
              <w:pStyle w:val="TableText"/>
              <w:rPr>
                <w:highlight w:val="green"/>
                <w:rtl/>
              </w:rPr>
            </w:pPr>
          </w:p>
        </w:tc>
        <w:tc>
          <w:tcPr>
            <w:tcW w:w="7143" w:type="dxa"/>
            <w:gridSpan w:val="6"/>
          </w:tcPr>
          <w:p w14:paraId="1641E52C" w14:textId="77777777" w:rsidR="003103A0" w:rsidRPr="00DD55BD" w:rsidRDefault="003103A0" w:rsidP="00EF2C4E">
            <w:pPr>
              <w:pStyle w:val="TableBlock"/>
              <w:rPr>
                <w:rFonts w:ascii="David" w:hAnsi="David"/>
                <w:sz w:val="26"/>
                <w:rtl/>
              </w:rPr>
            </w:pPr>
            <w:r w:rsidRPr="00DD55BD">
              <w:rPr>
                <w:rFonts w:ascii="David" w:hAnsi="David"/>
                <w:sz w:val="26"/>
                <w:rtl/>
              </w:rPr>
              <w:t>"(ב)</w:t>
            </w:r>
            <w:r w:rsidRPr="00DD55BD">
              <w:rPr>
                <w:rFonts w:ascii="David" w:hAnsi="David"/>
                <w:sz w:val="26"/>
                <w:rtl/>
              </w:rPr>
              <w:tab/>
              <w:t xml:space="preserve">ביום תחילתו של חוק סמכויות מיוחדות להתמודדות עם נגיף הקורונה החדש (הוראת שעה) (תיקון מס' 2), </w:t>
            </w:r>
            <w:proofErr w:type="spellStart"/>
            <w:r w:rsidRPr="00DD55BD">
              <w:rPr>
                <w:rFonts w:ascii="David" w:hAnsi="David"/>
                <w:sz w:val="26"/>
                <w:rtl/>
              </w:rPr>
              <w:t>התשפ"א</w:t>
            </w:r>
            <w:proofErr w:type="spellEnd"/>
            <w:r>
              <w:rPr>
                <w:rFonts w:ascii="David" w:hAnsi="David"/>
                <w:sz w:val="26"/>
                <w:rtl/>
              </w:rPr>
              <w:t>–</w:t>
            </w:r>
            <w:r w:rsidRPr="00DD55BD">
              <w:rPr>
                <w:rFonts w:ascii="David" w:hAnsi="David"/>
                <w:sz w:val="26"/>
                <w:rtl/>
              </w:rPr>
              <w:t>2020</w:t>
            </w:r>
            <w:r w:rsidRPr="00EF2C4E">
              <w:rPr>
                <w:rStyle w:val="a8"/>
                <w:rFonts w:ascii="David" w:hAnsi="David"/>
                <w:sz w:val="26"/>
                <w:rtl/>
              </w:rPr>
              <w:footnoteReference w:id="3"/>
            </w:r>
            <w:r w:rsidRPr="00DD55BD">
              <w:rPr>
                <w:rFonts w:ascii="David" w:hAnsi="David"/>
                <w:sz w:val="26"/>
                <w:rtl/>
              </w:rPr>
              <w:t>, יראו כאילו ניתנה הכרזה על מצב חירום מיוחד בשל נגיף הקורונה לפי סעיף 3א, שתוקפה 7 ימים."</w:t>
            </w:r>
          </w:p>
        </w:tc>
      </w:tr>
      <w:tr w:rsidR="003103A0" w14:paraId="5A85B640" w14:textId="77777777" w:rsidTr="00EF2C4E">
        <w:trPr>
          <w:cantSplit/>
        </w:trPr>
        <w:tc>
          <w:tcPr>
            <w:tcW w:w="1869" w:type="dxa"/>
          </w:tcPr>
          <w:p w14:paraId="4838F63D" w14:textId="77777777" w:rsidR="003103A0" w:rsidRPr="000E03A2" w:rsidRDefault="003103A0" w:rsidP="003103A0">
            <w:pPr>
              <w:pStyle w:val="TableSideHeading"/>
              <w:keepLines w:val="0"/>
              <w:ind w:right="-28"/>
            </w:pPr>
            <w:r w:rsidRPr="00F36F28">
              <w:rPr>
                <w:rFonts w:hint="eastAsia"/>
                <w:rtl/>
              </w:rPr>
              <w:t>תחילה</w:t>
            </w:r>
          </w:p>
        </w:tc>
        <w:tc>
          <w:tcPr>
            <w:tcW w:w="624" w:type="dxa"/>
          </w:tcPr>
          <w:p w14:paraId="4C4B5DCC" w14:textId="77777777" w:rsidR="003103A0" w:rsidRPr="000E03A2" w:rsidRDefault="003103A0" w:rsidP="003103A0">
            <w:pPr>
              <w:pStyle w:val="TableText"/>
              <w:ind w:right="-28"/>
            </w:pPr>
            <w:r>
              <w:rPr>
                <w:rFonts w:hint="cs"/>
                <w:rtl/>
              </w:rPr>
              <w:t>9.</w:t>
            </w:r>
          </w:p>
        </w:tc>
        <w:tc>
          <w:tcPr>
            <w:tcW w:w="7143" w:type="dxa"/>
            <w:gridSpan w:val="6"/>
          </w:tcPr>
          <w:p w14:paraId="025A3A92" w14:textId="77777777" w:rsidR="003103A0" w:rsidRDefault="003103A0" w:rsidP="00EF2C4E">
            <w:pPr>
              <w:pStyle w:val="TableBlock"/>
            </w:pPr>
            <w:r w:rsidRPr="00F36F28">
              <w:rPr>
                <w:rFonts w:hint="eastAsia"/>
                <w:rtl/>
              </w:rPr>
              <w:t>תחילתו</w:t>
            </w:r>
            <w:r w:rsidRPr="00F36F28">
              <w:rPr>
                <w:rtl/>
              </w:rPr>
              <w:t xml:space="preserve"> של </w:t>
            </w:r>
            <w:r w:rsidRPr="00F36F28">
              <w:rPr>
                <w:rFonts w:hint="eastAsia"/>
                <w:rtl/>
              </w:rPr>
              <w:t>חוק</w:t>
            </w:r>
            <w:r w:rsidRPr="00F36F28">
              <w:rPr>
                <w:rtl/>
              </w:rPr>
              <w:t xml:space="preserve"> זה ביום </w:t>
            </w:r>
            <w:r>
              <w:rPr>
                <w:rFonts w:hint="cs"/>
                <w:rtl/>
              </w:rPr>
              <w:t xml:space="preserve">י"ב בתשרי </w:t>
            </w:r>
            <w:proofErr w:type="spellStart"/>
            <w:r>
              <w:rPr>
                <w:rFonts w:hint="cs"/>
                <w:rtl/>
              </w:rPr>
              <w:t>התשפ"א</w:t>
            </w:r>
            <w:proofErr w:type="spellEnd"/>
            <w:r>
              <w:rPr>
                <w:rFonts w:hint="cs"/>
                <w:rtl/>
              </w:rPr>
              <w:t xml:space="preserve"> (30 בספטמבר 2020).</w:t>
            </w:r>
          </w:p>
        </w:tc>
      </w:tr>
    </w:tbl>
    <w:p w14:paraId="7B8FEA6E" w14:textId="33E637E1" w:rsidR="008525E2" w:rsidRPr="003103A0" w:rsidRDefault="008525E2" w:rsidP="00D114CA">
      <w:pPr>
        <w:pStyle w:val="Noparagraphstyle"/>
        <w:spacing w:after="1200"/>
        <w:rPr>
          <w:sz w:val="26"/>
          <w:rtl/>
        </w:rPr>
      </w:pPr>
    </w:p>
    <w:tbl>
      <w:tblPr>
        <w:bidiVisual/>
        <w:tblW w:w="9639" w:type="dxa"/>
        <w:tblLook w:val="00A0" w:firstRow="1" w:lastRow="0" w:firstColumn="1" w:lastColumn="0" w:noHBand="0" w:noVBand="0"/>
      </w:tblPr>
      <w:tblGrid>
        <w:gridCol w:w="2409"/>
        <w:gridCol w:w="2410"/>
        <w:gridCol w:w="2410"/>
        <w:gridCol w:w="2410"/>
      </w:tblGrid>
      <w:tr w:rsidR="006513D2" w:rsidRPr="00D466D4" w14:paraId="4EE550B0" w14:textId="77777777" w:rsidTr="002D3511">
        <w:tc>
          <w:tcPr>
            <w:tcW w:w="2409" w:type="dxa"/>
            <w:shd w:val="clear" w:color="auto" w:fill="auto"/>
          </w:tcPr>
          <w:p w14:paraId="5B21862E" w14:textId="77777777" w:rsidR="006513D2" w:rsidRPr="00D466D4" w:rsidRDefault="006513D2" w:rsidP="006F3CC7">
            <w:pPr>
              <w:jc w:val="center"/>
              <w:rPr>
                <w:sz w:val="26"/>
                <w:szCs w:val="26"/>
                <w:rtl/>
              </w:rPr>
            </w:pPr>
          </w:p>
        </w:tc>
        <w:tc>
          <w:tcPr>
            <w:tcW w:w="4820" w:type="dxa"/>
            <w:gridSpan w:val="2"/>
            <w:shd w:val="clear" w:color="auto" w:fill="auto"/>
          </w:tcPr>
          <w:p w14:paraId="61BC644E" w14:textId="77777777" w:rsidR="006513D2" w:rsidRPr="00D466D4" w:rsidRDefault="006513D2" w:rsidP="006F3CC7">
            <w:pPr>
              <w:jc w:val="center"/>
              <w:rPr>
                <w:sz w:val="26"/>
                <w:szCs w:val="26"/>
                <w:rtl/>
              </w:rPr>
            </w:pPr>
            <w:bookmarkStart w:id="6" w:name="PrimeMinistryName"/>
            <w:r>
              <w:rPr>
                <w:rFonts w:hint="cs"/>
                <w:sz w:val="26"/>
                <w:szCs w:val="26"/>
                <w:rtl/>
              </w:rPr>
              <w:t>בנימין נתניהו</w:t>
            </w:r>
            <w:bookmarkEnd w:id="6"/>
          </w:p>
          <w:p w14:paraId="7A75DBE5" w14:textId="1360ED8A" w:rsidR="006513D2" w:rsidRPr="00D466D4" w:rsidRDefault="006513D2" w:rsidP="006F3CC7">
            <w:pPr>
              <w:jc w:val="center"/>
              <w:rPr>
                <w:sz w:val="26"/>
                <w:szCs w:val="26"/>
                <w:rtl/>
              </w:rPr>
            </w:pPr>
            <w:r w:rsidRPr="00D466D4">
              <w:rPr>
                <w:rFonts w:hint="cs"/>
                <w:sz w:val="26"/>
                <w:szCs w:val="26"/>
                <w:rtl/>
              </w:rPr>
              <w:t>ראש הממשלה</w:t>
            </w:r>
          </w:p>
        </w:tc>
        <w:tc>
          <w:tcPr>
            <w:tcW w:w="2410" w:type="dxa"/>
            <w:shd w:val="clear" w:color="auto" w:fill="auto"/>
          </w:tcPr>
          <w:p w14:paraId="0E903F9E" w14:textId="33F02D99" w:rsidR="006513D2" w:rsidRPr="00D466D4" w:rsidRDefault="006513D2" w:rsidP="006F3CC7">
            <w:pPr>
              <w:jc w:val="center"/>
              <w:rPr>
                <w:sz w:val="26"/>
                <w:szCs w:val="26"/>
                <w:rtl/>
              </w:rPr>
            </w:pPr>
          </w:p>
        </w:tc>
      </w:tr>
      <w:tr w:rsidR="008525E2" w:rsidRPr="00D466D4" w14:paraId="062960A3" w14:textId="77777777" w:rsidTr="00D114CA">
        <w:tc>
          <w:tcPr>
            <w:tcW w:w="2409" w:type="dxa"/>
            <w:shd w:val="clear" w:color="auto" w:fill="auto"/>
          </w:tcPr>
          <w:p w14:paraId="4E5543EE" w14:textId="77777777" w:rsidR="008525E2" w:rsidRPr="00D466D4" w:rsidRDefault="008525E2" w:rsidP="006F3CC7">
            <w:pPr>
              <w:jc w:val="center"/>
              <w:rPr>
                <w:sz w:val="26"/>
                <w:szCs w:val="26"/>
                <w:rtl/>
              </w:rPr>
            </w:pPr>
          </w:p>
          <w:p w14:paraId="381BF30E" w14:textId="77777777" w:rsidR="008525E2" w:rsidRPr="00D466D4" w:rsidRDefault="008525E2" w:rsidP="006F3CC7">
            <w:pPr>
              <w:jc w:val="center"/>
              <w:rPr>
                <w:sz w:val="26"/>
                <w:szCs w:val="26"/>
                <w:rtl/>
              </w:rPr>
            </w:pPr>
          </w:p>
        </w:tc>
        <w:tc>
          <w:tcPr>
            <w:tcW w:w="2410" w:type="dxa"/>
            <w:shd w:val="clear" w:color="auto" w:fill="auto"/>
          </w:tcPr>
          <w:p w14:paraId="234821A6" w14:textId="77777777" w:rsidR="008525E2" w:rsidRPr="00D466D4" w:rsidRDefault="008525E2" w:rsidP="006F3CC7">
            <w:pPr>
              <w:jc w:val="center"/>
              <w:rPr>
                <w:sz w:val="26"/>
                <w:szCs w:val="26"/>
                <w:rtl/>
              </w:rPr>
            </w:pPr>
          </w:p>
        </w:tc>
        <w:tc>
          <w:tcPr>
            <w:tcW w:w="2410" w:type="dxa"/>
            <w:shd w:val="clear" w:color="auto" w:fill="auto"/>
          </w:tcPr>
          <w:p w14:paraId="213FB4AC" w14:textId="77777777" w:rsidR="008525E2" w:rsidRPr="00D466D4" w:rsidRDefault="008525E2" w:rsidP="006F3CC7">
            <w:pPr>
              <w:jc w:val="center"/>
              <w:rPr>
                <w:sz w:val="26"/>
                <w:szCs w:val="26"/>
                <w:rtl/>
              </w:rPr>
            </w:pPr>
          </w:p>
        </w:tc>
        <w:tc>
          <w:tcPr>
            <w:tcW w:w="2410" w:type="dxa"/>
            <w:shd w:val="clear" w:color="auto" w:fill="auto"/>
          </w:tcPr>
          <w:p w14:paraId="2402FC62" w14:textId="77777777" w:rsidR="008525E2" w:rsidRPr="00D466D4" w:rsidRDefault="008525E2" w:rsidP="006F3CC7">
            <w:pPr>
              <w:jc w:val="center"/>
              <w:rPr>
                <w:sz w:val="26"/>
                <w:szCs w:val="26"/>
                <w:rtl/>
              </w:rPr>
            </w:pPr>
          </w:p>
          <w:p w14:paraId="21990389" w14:textId="77777777" w:rsidR="008525E2" w:rsidRPr="00D466D4" w:rsidRDefault="008525E2" w:rsidP="006F3CC7">
            <w:pPr>
              <w:jc w:val="center"/>
              <w:rPr>
                <w:sz w:val="26"/>
                <w:szCs w:val="26"/>
                <w:rtl/>
              </w:rPr>
            </w:pPr>
          </w:p>
        </w:tc>
      </w:tr>
      <w:tr w:rsidR="006513D2" w:rsidRPr="00D466D4" w14:paraId="162AA046" w14:textId="77777777" w:rsidTr="00073C18">
        <w:tc>
          <w:tcPr>
            <w:tcW w:w="4819" w:type="dxa"/>
            <w:gridSpan w:val="2"/>
            <w:shd w:val="clear" w:color="auto" w:fill="auto"/>
          </w:tcPr>
          <w:p w14:paraId="35CCD4E5" w14:textId="77777777" w:rsidR="006513D2" w:rsidRPr="00D466D4" w:rsidRDefault="006513D2" w:rsidP="006F3CC7">
            <w:pPr>
              <w:jc w:val="center"/>
              <w:rPr>
                <w:sz w:val="26"/>
                <w:szCs w:val="26"/>
                <w:rtl/>
              </w:rPr>
            </w:pPr>
            <w:r w:rsidRPr="003710E7">
              <w:rPr>
                <w:rFonts w:hint="cs"/>
                <w:sz w:val="26"/>
                <w:szCs w:val="26"/>
                <w:rtl/>
              </w:rPr>
              <w:t>ראובן ריבלין</w:t>
            </w:r>
          </w:p>
          <w:p w14:paraId="746635D5" w14:textId="0E102FB5" w:rsidR="006513D2" w:rsidRPr="00D466D4" w:rsidRDefault="006513D2" w:rsidP="006F3CC7">
            <w:pPr>
              <w:jc w:val="center"/>
              <w:rPr>
                <w:sz w:val="26"/>
                <w:szCs w:val="26"/>
                <w:rtl/>
              </w:rPr>
            </w:pPr>
            <w:r w:rsidRPr="00D466D4">
              <w:rPr>
                <w:rFonts w:hint="cs"/>
                <w:sz w:val="26"/>
                <w:szCs w:val="26"/>
                <w:rtl/>
              </w:rPr>
              <w:t>נשיא המדינה</w:t>
            </w:r>
          </w:p>
        </w:tc>
        <w:tc>
          <w:tcPr>
            <w:tcW w:w="4820" w:type="dxa"/>
            <w:gridSpan w:val="2"/>
            <w:shd w:val="clear" w:color="auto" w:fill="auto"/>
          </w:tcPr>
          <w:p w14:paraId="5AAC447C" w14:textId="77777777" w:rsidR="006513D2" w:rsidRPr="00D466D4" w:rsidRDefault="006513D2" w:rsidP="006F3CC7">
            <w:pPr>
              <w:jc w:val="center"/>
              <w:rPr>
                <w:sz w:val="26"/>
                <w:szCs w:val="26"/>
                <w:rtl/>
              </w:rPr>
            </w:pPr>
            <w:bookmarkStart w:id="7" w:name="HeadKnessetName"/>
            <w:r>
              <w:rPr>
                <w:rFonts w:hint="cs"/>
                <w:sz w:val="26"/>
                <w:szCs w:val="26"/>
                <w:rtl/>
              </w:rPr>
              <w:t>יריב לוין</w:t>
            </w:r>
            <w:bookmarkEnd w:id="7"/>
          </w:p>
          <w:p w14:paraId="088FF805" w14:textId="1DCC2A4E" w:rsidR="006513D2" w:rsidRPr="00D466D4" w:rsidRDefault="006513D2" w:rsidP="006F3CC7">
            <w:pPr>
              <w:jc w:val="center"/>
              <w:rPr>
                <w:sz w:val="26"/>
                <w:szCs w:val="26"/>
                <w:rtl/>
              </w:rPr>
            </w:pPr>
            <w:r w:rsidRPr="00D466D4">
              <w:rPr>
                <w:rFonts w:hint="cs"/>
                <w:sz w:val="26"/>
                <w:szCs w:val="26"/>
                <w:rtl/>
              </w:rPr>
              <w:t>יושב ראש הכנסת</w:t>
            </w:r>
          </w:p>
        </w:tc>
      </w:tr>
    </w:tbl>
    <w:p w14:paraId="7C5369B4" w14:textId="77777777" w:rsidR="002137F8" w:rsidRPr="008525E2" w:rsidRDefault="002137F8" w:rsidP="00D114CA">
      <w:pPr>
        <w:rPr>
          <w:rtl/>
        </w:rPr>
      </w:pPr>
    </w:p>
    <w:sectPr w:rsidR="002137F8" w:rsidRPr="008525E2" w:rsidSect="00EF2C4E">
      <w:headerReference w:type="even" r:id="rId13"/>
      <w:headerReference w:type="default" r:id="rId14"/>
      <w:footerReference w:type="even" r:id="rId15"/>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D9433" w14:textId="77777777" w:rsidR="00AC209E" w:rsidRDefault="00AC209E" w:rsidP="00B416AF">
      <w:pPr>
        <w:pStyle w:val="HeadHatzaotHok"/>
      </w:pPr>
      <w:r>
        <w:separator/>
      </w:r>
    </w:p>
  </w:endnote>
  <w:endnote w:type="continuationSeparator" w:id="0">
    <w:p w14:paraId="4BDB2D50" w14:textId="77777777" w:rsidR="00AC209E" w:rsidRDefault="00AC209E"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0755"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7AF30AA3" w14:textId="77777777" w:rsidR="002137F8" w:rsidRDefault="002137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C0959" w14:textId="77777777" w:rsidR="00AC209E" w:rsidRDefault="00AC209E" w:rsidP="00EF2C4E">
      <w:pPr>
        <w:pStyle w:val="HeadHatzaotHok"/>
        <w:spacing w:before="0"/>
        <w:ind w:left="0"/>
        <w:jc w:val="left"/>
      </w:pPr>
      <w:r>
        <w:separator/>
      </w:r>
    </w:p>
  </w:footnote>
  <w:footnote w:type="continuationSeparator" w:id="0">
    <w:p w14:paraId="722F782A" w14:textId="77777777" w:rsidR="00AC209E" w:rsidRPr="00696C5E" w:rsidRDefault="00AC209E" w:rsidP="00696C5E">
      <w:pPr>
        <w:pStyle w:val="HeadHatzaotHok"/>
        <w:spacing w:before="0"/>
        <w:jc w:val="left"/>
      </w:pPr>
      <w:r>
        <w:separator/>
      </w:r>
    </w:p>
  </w:footnote>
  <w:footnote w:id="1">
    <w:p w14:paraId="2221E57C" w14:textId="1A9B2B02" w:rsidR="008525E2" w:rsidRDefault="008525E2" w:rsidP="003103A0">
      <w:pPr>
        <w:pStyle w:val="a9"/>
        <w:rPr>
          <w:rtl/>
        </w:rPr>
      </w:pPr>
      <w:r>
        <w:rPr>
          <w:rStyle w:val="a8"/>
        </w:rPr>
        <w:t>*</w:t>
      </w:r>
      <w:r>
        <w:rPr>
          <w:rFonts w:hint="cs"/>
          <w:rtl/>
        </w:rPr>
        <w:t xml:space="preserve"> התקבל בכנסת </w:t>
      </w:r>
      <w:r w:rsidRPr="003103A0">
        <w:rPr>
          <w:rFonts w:hint="cs"/>
          <w:highlight w:val="yellow"/>
          <w:rtl/>
        </w:rPr>
        <w:t>ביום</w:t>
      </w:r>
      <w:r w:rsidR="003103A0" w:rsidRPr="003103A0">
        <w:rPr>
          <w:rFonts w:hint="cs"/>
          <w:highlight w:val="yellow"/>
          <w:rtl/>
        </w:rPr>
        <w:t xml:space="preserve"> י"ב בתשרי </w:t>
      </w:r>
      <w:proofErr w:type="spellStart"/>
      <w:r w:rsidR="003103A0" w:rsidRPr="003103A0">
        <w:rPr>
          <w:rFonts w:hint="cs"/>
          <w:highlight w:val="yellow"/>
          <w:rtl/>
        </w:rPr>
        <w:t>התשפ"א</w:t>
      </w:r>
      <w:proofErr w:type="spellEnd"/>
      <w:r w:rsidR="003103A0" w:rsidRPr="003103A0">
        <w:rPr>
          <w:rFonts w:hint="cs"/>
          <w:highlight w:val="yellow"/>
          <w:rtl/>
        </w:rPr>
        <w:t xml:space="preserve"> (30 בספטמבר 2020) [בישיבה שהחלה ביום י"א בתשרי </w:t>
      </w:r>
      <w:proofErr w:type="spellStart"/>
      <w:r w:rsidR="003103A0" w:rsidRPr="003103A0">
        <w:rPr>
          <w:rFonts w:hint="cs"/>
          <w:highlight w:val="yellow"/>
          <w:rtl/>
        </w:rPr>
        <w:t>התשפ"א</w:t>
      </w:r>
      <w:proofErr w:type="spellEnd"/>
      <w:r w:rsidR="003103A0" w:rsidRPr="003103A0">
        <w:rPr>
          <w:rFonts w:hint="cs"/>
          <w:highlight w:val="yellow"/>
          <w:rtl/>
        </w:rPr>
        <w:t xml:space="preserve"> (29 בספטמבר 2020)</w:t>
      </w:r>
      <w:r w:rsidR="003103A0">
        <w:rPr>
          <w:rFonts w:hint="cs"/>
          <w:rtl/>
        </w:rPr>
        <w:t>]</w:t>
      </w:r>
      <w:r>
        <w:rPr>
          <w:rFonts w:hint="cs"/>
          <w:rtl/>
        </w:rPr>
        <w:t xml:space="preserve">;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1366</w:t>
      </w:r>
      <w:bookmarkEnd w:id="3"/>
      <w:r>
        <w:rPr>
          <w:rFonts w:hint="eastAsia"/>
          <w:rtl/>
        </w:rPr>
        <w:t xml:space="preserve">, מיום </w:t>
      </w:r>
      <w:bookmarkStart w:id="4" w:name="HebDate"/>
      <w:r>
        <w:rPr>
          <w:rFonts w:hint="cs"/>
          <w:rtl/>
        </w:rPr>
        <w:t>ו' בתשרי התשפ"א</w:t>
      </w:r>
      <w:bookmarkEnd w:id="4"/>
      <w:r w:rsidRPr="00827E61">
        <w:rPr>
          <w:rFonts w:hint="cs"/>
          <w:rtl/>
        </w:rPr>
        <w:t xml:space="preserve"> (</w:t>
      </w:r>
      <w:bookmarkStart w:id="5" w:name="EngDate"/>
      <w:r>
        <w:rPr>
          <w:rFonts w:hint="cs"/>
          <w:rtl/>
        </w:rPr>
        <w:t>24 בספטמבר 2020</w:t>
      </w:r>
      <w:bookmarkEnd w:id="5"/>
      <w:r w:rsidRPr="00827E61">
        <w:rPr>
          <w:rFonts w:hint="cs"/>
          <w:rtl/>
        </w:rPr>
        <w:t>), עמ'</w:t>
      </w:r>
      <w:r w:rsidR="006513D2">
        <w:rPr>
          <w:rFonts w:hint="cs"/>
          <w:rtl/>
        </w:rPr>
        <w:t xml:space="preserve"> 18</w:t>
      </w:r>
      <w:r>
        <w:rPr>
          <w:rFonts w:hint="cs"/>
          <w:rtl/>
        </w:rPr>
        <w:t>.</w:t>
      </w:r>
    </w:p>
  </w:footnote>
  <w:footnote w:id="2">
    <w:p w14:paraId="56AD8C78" w14:textId="77777777" w:rsidR="003103A0" w:rsidRPr="00E901AB" w:rsidRDefault="003103A0" w:rsidP="003103A0">
      <w:pPr>
        <w:pStyle w:val="a9"/>
        <w:rPr>
          <w:rtl/>
        </w:rPr>
      </w:pPr>
      <w:r w:rsidRPr="00E901AB">
        <w:rPr>
          <w:rStyle w:val="a8"/>
          <w:strike/>
        </w:rPr>
        <w:footnoteRef/>
      </w:r>
      <w:r w:rsidRPr="00E901AB">
        <w:rPr>
          <w:rtl/>
        </w:rPr>
        <w:t xml:space="preserve"> </w:t>
      </w:r>
      <w:r w:rsidRPr="00E901AB">
        <w:rPr>
          <w:rFonts w:hint="eastAsia"/>
          <w:rtl/>
        </w:rPr>
        <w:t>ס</w:t>
      </w:r>
      <w:r w:rsidRPr="00E901AB">
        <w:rPr>
          <w:rtl/>
        </w:rPr>
        <w:t xml:space="preserve">"ח </w:t>
      </w:r>
      <w:proofErr w:type="spellStart"/>
      <w:r w:rsidRPr="00E901AB">
        <w:rPr>
          <w:rtl/>
        </w:rPr>
        <w:t>התש"ף</w:t>
      </w:r>
      <w:proofErr w:type="spellEnd"/>
      <w:r w:rsidRPr="00E901AB">
        <w:rPr>
          <w:rtl/>
        </w:rPr>
        <w:t>, עמ' 266 ועמ' 378.</w:t>
      </w:r>
    </w:p>
  </w:footnote>
  <w:footnote w:id="3">
    <w:p w14:paraId="5AF2B28E" w14:textId="77777777" w:rsidR="003103A0" w:rsidRPr="005E2CBD" w:rsidRDefault="003103A0" w:rsidP="003103A0">
      <w:pPr>
        <w:pStyle w:val="a9"/>
        <w:rPr>
          <w:strike/>
          <w:rtl/>
        </w:rPr>
      </w:pPr>
      <w:r>
        <w:rPr>
          <w:rStyle w:val="a8"/>
        </w:rPr>
        <w:footnoteRef/>
      </w:r>
      <w:r>
        <w:rPr>
          <w:rFonts w:hint="cs"/>
          <w:rtl/>
        </w:rPr>
        <w:t xml:space="preserve"> ס"ח </w:t>
      </w:r>
      <w:proofErr w:type="spellStart"/>
      <w:r>
        <w:rPr>
          <w:rFonts w:hint="cs"/>
          <w:rtl/>
        </w:rPr>
        <w:t>התשפ"א</w:t>
      </w:r>
      <w:proofErr w:type="spellEnd"/>
      <w:r>
        <w:rPr>
          <w:rFonts w:hint="cs"/>
          <w:rtl/>
        </w:rPr>
        <w:t>, עמ'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8FED7"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042568FF" w14:textId="77777777" w:rsidR="002137F8" w:rsidRDefault="002137F8">
    <w:pPr>
      <w:pStyle w:val="ab"/>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CDF2" w14:textId="17C25899" w:rsidR="002137F8" w:rsidRPr="00E125CC" w:rsidRDefault="002137F8">
    <w:pPr>
      <w:pStyle w:val="ab"/>
      <w:framePr w:wrap="around" w:vAnchor="text" w:hAnchor="margin" w:xAlign="center" w:y="1"/>
      <w:rPr>
        <w:rStyle w:val="ac"/>
        <w:rtl/>
      </w:rPr>
    </w:pPr>
    <w:r>
      <w:rPr>
        <w:rStyle w:val="ac"/>
        <w:rFonts w:hint="cs"/>
        <w:rtl/>
      </w:rPr>
      <w:t xml:space="preserve">- </w:t>
    </w:r>
    <w:r w:rsidRPr="00E125CC">
      <w:rPr>
        <w:rStyle w:val="ac"/>
        <w:rtl/>
      </w:rPr>
      <w:fldChar w:fldCharType="begin"/>
    </w:r>
    <w:r w:rsidRPr="00E125CC">
      <w:rPr>
        <w:rStyle w:val="ac"/>
      </w:rPr>
      <w:instrText xml:space="preserve">PAGE  </w:instrText>
    </w:r>
    <w:r w:rsidRPr="00E125CC">
      <w:rPr>
        <w:rStyle w:val="ac"/>
        <w:rtl/>
      </w:rPr>
      <w:fldChar w:fldCharType="separate"/>
    </w:r>
    <w:r w:rsidR="00EF58E3">
      <w:rPr>
        <w:rStyle w:val="ac"/>
        <w:noProof/>
        <w:rtl/>
      </w:rPr>
      <w:t>8</w:t>
    </w:r>
    <w:r w:rsidRPr="00E125CC">
      <w:rPr>
        <w:rStyle w:val="ac"/>
        <w:rtl/>
      </w:rPr>
      <w:fldChar w:fldCharType="end"/>
    </w:r>
    <w:r>
      <w:rPr>
        <w:rStyle w:val="ac"/>
        <w:rFonts w:hint="cs"/>
        <w:rtl/>
      </w:rPr>
      <w:t xml:space="preserve"> -</w:t>
    </w:r>
  </w:p>
  <w:p w14:paraId="51877E67" w14:textId="77777777" w:rsidR="002137F8" w:rsidRDefault="002137F8">
    <w:pPr>
      <w:pStyle w:val="ab"/>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12"/>
  </w:num>
  <w:num w:numId="5">
    <w:abstractNumId w:val="16"/>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3"/>
    <w:lvlOverride w:ilvl="0">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77AF1"/>
    <w:rsid w:val="00093C5B"/>
    <w:rsid w:val="00097925"/>
    <w:rsid w:val="000B3A00"/>
    <w:rsid w:val="000E3B18"/>
    <w:rsid w:val="000E4563"/>
    <w:rsid w:val="000E7E08"/>
    <w:rsid w:val="000F6D7C"/>
    <w:rsid w:val="001253F6"/>
    <w:rsid w:val="00135743"/>
    <w:rsid w:val="00151246"/>
    <w:rsid w:val="001C4A6C"/>
    <w:rsid w:val="002000B0"/>
    <w:rsid w:val="00205DFF"/>
    <w:rsid w:val="0020610D"/>
    <w:rsid w:val="0020793A"/>
    <w:rsid w:val="002137F8"/>
    <w:rsid w:val="00220CAF"/>
    <w:rsid w:val="00222DA1"/>
    <w:rsid w:val="0024044E"/>
    <w:rsid w:val="00280B87"/>
    <w:rsid w:val="002C4285"/>
    <w:rsid w:val="002C440E"/>
    <w:rsid w:val="002C4FF8"/>
    <w:rsid w:val="002E1F11"/>
    <w:rsid w:val="002E6458"/>
    <w:rsid w:val="003103A0"/>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53EAC"/>
    <w:rsid w:val="005652C2"/>
    <w:rsid w:val="0057628C"/>
    <w:rsid w:val="005A2EB8"/>
    <w:rsid w:val="005B6107"/>
    <w:rsid w:val="005C5383"/>
    <w:rsid w:val="005D1A36"/>
    <w:rsid w:val="005F20ED"/>
    <w:rsid w:val="00606368"/>
    <w:rsid w:val="006513D2"/>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921B56"/>
    <w:rsid w:val="009579F7"/>
    <w:rsid w:val="009B1679"/>
    <w:rsid w:val="009C37CC"/>
    <w:rsid w:val="009C7FC7"/>
    <w:rsid w:val="009E19BF"/>
    <w:rsid w:val="009F0EF8"/>
    <w:rsid w:val="009F1621"/>
    <w:rsid w:val="00A03A03"/>
    <w:rsid w:val="00A15945"/>
    <w:rsid w:val="00A54DE5"/>
    <w:rsid w:val="00A9474C"/>
    <w:rsid w:val="00AA5399"/>
    <w:rsid w:val="00AC209E"/>
    <w:rsid w:val="00AC4CCE"/>
    <w:rsid w:val="00B16515"/>
    <w:rsid w:val="00B416AF"/>
    <w:rsid w:val="00B4412A"/>
    <w:rsid w:val="00B6418A"/>
    <w:rsid w:val="00B90E4C"/>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114CA"/>
    <w:rsid w:val="00D24673"/>
    <w:rsid w:val="00D4588A"/>
    <w:rsid w:val="00D82284"/>
    <w:rsid w:val="00D92FDC"/>
    <w:rsid w:val="00D9552D"/>
    <w:rsid w:val="00DD65EA"/>
    <w:rsid w:val="00DF5CB6"/>
    <w:rsid w:val="00E26850"/>
    <w:rsid w:val="00E36A7E"/>
    <w:rsid w:val="00E449A1"/>
    <w:rsid w:val="00E61062"/>
    <w:rsid w:val="00EC7E05"/>
    <w:rsid w:val="00EE492B"/>
    <w:rsid w:val="00EF2C4E"/>
    <w:rsid w:val="00EF58E3"/>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C4E"/>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F2C4E"/>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F2C4E"/>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F2C4E"/>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F2C4E"/>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F2C4E"/>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EF2C4E"/>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F2C4E"/>
    <w:rPr>
      <w:sz w:val="36"/>
      <w:szCs w:val="52"/>
    </w:rPr>
  </w:style>
  <w:style w:type="paragraph" w:customStyle="1" w:styleId="Cover3-Haknesset">
    <w:name w:val="Cover 3-Haknesset"/>
    <w:basedOn w:val="Cover1-Reshumot"/>
    <w:rsid w:val="00EF2C4E"/>
    <w:rPr>
      <w:b/>
      <w:bCs/>
      <w:spacing w:val="60"/>
    </w:rPr>
  </w:style>
  <w:style w:type="paragraph" w:customStyle="1" w:styleId="Cover4-Date">
    <w:name w:val="Cover 4-Date"/>
    <w:basedOn w:val="a"/>
    <w:rsid w:val="00EF2C4E"/>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5">
    <w:name w:val="endnote reference"/>
    <w:basedOn w:val="a0"/>
    <w:semiHidden/>
    <w:rsid w:val="00EF2C4E"/>
    <w:rPr>
      <w:vertAlign w:val="superscript"/>
    </w:rPr>
  </w:style>
  <w:style w:type="paragraph" w:customStyle="1" w:styleId="Ragil">
    <w:name w:val="Ragil"/>
    <w:basedOn w:val="a"/>
    <w:rsid w:val="00EF2C4E"/>
    <w:pPr>
      <w:snapToGrid w:val="0"/>
      <w:jc w:val="left"/>
    </w:pPr>
    <w:rPr>
      <w:rFonts w:ascii="Arial" w:eastAsia="Arial Unicode MS" w:hAnsi="Arial"/>
      <w:snapToGrid w:val="0"/>
      <w:sz w:val="20"/>
      <w:szCs w:val="26"/>
    </w:rPr>
  </w:style>
  <w:style w:type="paragraph" w:styleId="a6">
    <w:name w:val="endnote text"/>
    <w:basedOn w:val="a"/>
    <w:semiHidden/>
    <w:rsid w:val="00EF2C4E"/>
    <w:pPr>
      <w:ind w:left="227" w:hanging="227"/>
    </w:pPr>
    <w:rPr>
      <w:sz w:val="14"/>
      <w:szCs w:val="22"/>
    </w:rPr>
  </w:style>
  <w:style w:type="paragraph" w:styleId="a7">
    <w:name w:val="footer"/>
    <w:basedOn w:val="a"/>
    <w:rsid w:val="00EF2C4E"/>
    <w:pPr>
      <w:tabs>
        <w:tab w:val="center" w:pos="4153"/>
        <w:tab w:val="right" w:pos="8306"/>
      </w:tabs>
    </w:pPr>
  </w:style>
  <w:style w:type="character" w:styleId="a8">
    <w:name w:val="footnote reference"/>
    <w:aliases w:val="Footnote Reference"/>
    <w:basedOn w:val="a0"/>
    <w:semiHidden/>
    <w:rsid w:val="00EF2C4E"/>
    <w:rPr>
      <w:vertAlign w:val="superscript"/>
    </w:rPr>
  </w:style>
  <w:style w:type="paragraph" w:styleId="a9">
    <w:name w:val="footnote text"/>
    <w:basedOn w:val="a"/>
    <w:link w:val="aa"/>
    <w:autoRedefine/>
    <w:semiHidden/>
    <w:rsid w:val="00EF2C4E"/>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EF2C4E"/>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EF2C4E"/>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F2C4E"/>
    <w:pPr>
      <w:spacing w:before="120" w:after="120"/>
    </w:pPr>
    <w:rPr>
      <w:color w:val="FF0000"/>
      <w:w w:val="80"/>
    </w:rPr>
  </w:style>
  <w:style w:type="paragraph" w:customStyle="1" w:styleId="HeadMitparsemetBaze">
    <w:name w:val="Head MitparsemetBaze"/>
    <w:basedOn w:val="a"/>
    <w:rsid w:val="00EF2C4E"/>
    <w:pPr>
      <w:keepNext/>
      <w:keepLines/>
      <w:pageBreakBefore/>
      <w:snapToGrid w:val="0"/>
      <w:spacing w:before="480"/>
    </w:pPr>
    <w:rPr>
      <w:rFonts w:ascii="Arial" w:eastAsia="Arial Unicode MS" w:hAnsi="Arial"/>
      <w:b/>
      <w:bCs/>
      <w:snapToGrid w:val="0"/>
      <w:sz w:val="20"/>
      <w:szCs w:val="26"/>
    </w:rPr>
  </w:style>
  <w:style w:type="paragraph" w:styleId="ab">
    <w:name w:val="header"/>
    <w:basedOn w:val="a"/>
    <w:rsid w:val="00EF2C4E"/>
    <w:pPr>
      <w:tabs>
        <w:tab w:val="center" w:pos="4153"/>
        <w:tab w:val="right" w:pos="8306"/>
      </w:tabs>
    </w:pPr>
  </w:style>
  <w:style w:type="paragraph" w:customStyle="1" w:styleId="Hesber">
    <w:name w:val="Hesber"/>
    <w:basedOn w:val="a"/>
    <w:rsid w:val="00EF2C4E"/>
    <w:pPr>
      <w:snapToGrid w:val="0"/>
      <w:ind w:left="0" w:firstLine="340"/>
    </w:pPr>
    <w:rPr>
      <w:rFonts w:ascii="Arial" w:eastAsia="Arial Unicode MS" w:hAnsi="Arial"/>
      <w:snapToGrid w:val="0"/>
      <w:sz w:val="20"/>
      <w:szCs w:val="26"/>
    </w:rPr>
  </w:style>
  <w:style w:type="paragraph" w:customStyle="1" w:styleId="Hesber1st">
    <w:name w:val="Hesber 1st"/>
    <w:basedOn w:val="Hesber"/>
    <w:rsid w:val="00EF2C4E"/>
    <w:pPr>
      <w:tabs>
        <w:tab w:val="left" w:pos="680"/>
        <w:tab w:val="left" w:pos="1020"/>
      </w:tabs>
      <w:ind w:firstLine="0"/>
    </w:pPr>
  </w:style>
  <w:style w:type="paragraph" w:customStyle="1" w:styleId="HesberHeading">
    <w:name w:val="Hesber Heading"/>
    <w:basedOn w:val="Hesber"/>
    <w:rsid w:val="00EF2C4E"/>
    <w:pPr>
      <w:tabs>
        <w:tab w:val="left" w:pos="624"/>
        <w:tab w:val="left" w:pos="1247"/>
      </w:tabs>
    </w:pPr>
    <w:rPr>
      <w:b/>
      <w:bCs/>
    </w:rPr>
  </w:style>
  <w:style w:type="paragraph" w:customStyle="1" w:styleId="HesberWriters">
    <w:name w:val="Hesber Writers"/>
    <w:basedOn w:val="Hesber"/>
    <w:rsid w:val="00EF2C4E"/>
    <w:pPr>
      <w:spacing w:before="120" w:after="120"/>
      <w:ind w:left="1418"/>
      <w:jc w:val="right"/>
    </w:pPr>
    <w:rPr>
      <w:b/>
      <w:bCs/>
    </w:rPr>
  </w:style>
  <w:style w:type="character" w:styleId="Hyperlink">
    <w:name w:val="Hyperlink"/>
    <w:basedOn w:val="a0"/>
    <w:uiPriority w:val="99"/>
    <w:unhideWhenUsed/>
    <w:rsid w:val="00EF2C4E"/>
    <w:rPr>
      <w:color w:val="0563C1" w:themeColor="hyperlink"/>
      <w:u w:val="single"/>
    </w:rPr>
  </w:style>
  <w:style w:type="character" w:styleId="ac">
    <w:name w:val="page number"/>
    <w:basedOn w:val="a0"/>
    <w:rsid w:val="00EF2C4E"/>
  </w:style>
  <w:style w:type="paragraph" w:customStyle="1" w:styleId="TableText">
    <w:name w:val="Table Text"/>
    <w:basedOn w:val="a"/>
    <w:rsid w:val="00EF2C4E"/>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EF2C4E"/>
    <w:pPr>
      <w:jc w:val="both"/>
    </w:pPr>
  </w:style>
  <w:style w:type="paragraph" w:customStyle="1" w:styleId="TableBlockOutdent">
    <w:name w:val="Table BlockOutdent"/>
    <w:basedOn w:val="TableBlock"/>
    <w:rsid w:val="00EF2C4E"/>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EF2C4E"/>
    <w:pPr>
      <w:jc w:val="center"/>
      <w:outlineLvl w:val="1"/>
    </w:pPr>
    <w:rPr>
      <w:b/>
      <w:bCs/>
    </w:rPr>
  </w:style>
  <w:style w:type="paragraph" w:customStyle="1" w:styleId="TableSideHeading">
    <w:name w:val="Table SideHeading"/>
    <w:basedOn w:val="TableText"/>
    <w:rsid w:val="00EF2C4E"/>
    <w:pPr>
      <w:outlineLvl w:val="2"/>
    </w:pPr>
  </w:style>
  <w:style w:type="paragraph" w:customStyle="1" w:styleId="TableInnerSideHeading">
    <w:name w:val="Table InnerSideHeading"/>
    <w:basedOn w:val="TableSideHeading"/>
    <w:rsid w:val="00EF2C4E"/>
    <w:pPr>
      <w:outlineLvl w:val="9"/>
    </w:pPr>
  </w:style>
  <w:style w:type="paragraph" w:customStyle="1" w:styleId="TableText2">
    <w:name w:val="Table Text2"/>
    <w:basedOn w:val="TableText"/>
    <w:rsid w:val="009579F7"/>
  </w:style>
  <w:style w:type="paragraph" w:styleId="ad">
    <w:name w:val="Title"/>
    <w:basedOn w:val="a"/>
    <w:qFormat/>
    <w:rsid w:val="009579F7"/>
    <w:pPr>
      <w:jc w:val="center"/>
    </w:pPr>
    <w:rPr>
      <w:b/>
      <w:bCs/>
      <w:sz w:val="28"/>
      <w:szCs w:val="28"/>
      <w:u w:val="single"/>
    </w:rPr>
  </w:style>
  <w:style w:type="paragraph" w:customStyle="1" w:styleId="TOC">
    <w:name w:val="TOC"/>
    <w:basedOn w:val="a"/>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a">
    <w:name w:val="טקסט הערת שוליים תו"/>
    <w:link w:val="a9"/>
    <w:semiHidden/>
    <w:rsid w:val="008525E2"/>
    <w:rPr>
      <w:rFonts w:ascii="Arial" w:eastAsia="Arial Unicode MS" w:hAnsi="Arial" w:cs="David"/>
      <w:snapToGrid w:val="0"/>
      <w:sz w:val="14"/>
    </w:rPr>
  </w:style>
  <w:style w:type="paragraph" w:styleId="ae">
    <w:name w:val="Balloon Text"/>
    <w:basedOn w:val="a"/>
    <w:link w:val="af"/>
    <w:rsid w:val="0024044E"/>
    <w:pPr>
      <w:spacing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 w:type="character" w:customStyle="1" w:styleId="30">
    <w:name w:val="כותרת 3 תו"/>
    <w:basedOn w:val="a0"/>
    <w:link w:val="3"/>
    <w:rsid w:val="00EF2C4E"/>
    <w:rPr>
      <w:rFonts w:asciiTheme="majorHAnsi" w:eastAsiaTheme="majorEastAsia" w:hAnsiTheme="majorHAnsi" w:cs="David"/>
      <w:sz w:val="24"/>
      <w:szCs w:val="28"/>
      <w:u w:val="double"/>
    </w:rPr>
  </w:style>
  <w:style w:type="character" w:customStyle="1" w:styleId="40">
    <w:name w:val="כותרת 4 תו"/>
    <w:basedOn w:val="a0"/>
    <w:link w:val="4"/>
    <w:uiPriority w:val="9"/>
    <w:rsid w:val="00EF2C4E"/>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F2C4E"/>
    <w:rPr>
      <w:rFonts w:ascii="David" w:eastAsiaTheme="minorHAnsi" w:hAnsi="David" w:cs="David"/>
      <w:color w:val="000000" w:themeColor="text1"/>
      <w:sz w:val="24"/>
      <w:szCs w:val="24"/>
    </w:rPr>
  </w:style>
  <w:style w:type="character" w:customStyle="1" w:styleId="10">
    <w:name w:val="כותרת 1 תו"/>
    <w:basedOn w:val="a0"/>
    <w:link w:val="1"/>
    <w:uiPriority w:val="9"/>
    <w:rsid w:val="00EF2C4E"/>
    <w:rPr>
      <w:rFonts w:asciiTheme="majorHAnsi" w:eastAsiaTheme="majorEastAsia" w:hAnsiTheme="majorHAnsi" w:cs="David"/>
      <w:bCs/>
      <w:sz w:val="32"/>
      <w:szCs w:val="36"/>
    </w:rPr>
  </w:style>
  <w:style w:type="paragraph" w:styleId="af0">
    <w:name w:val="TOC Heading"/>
    <w:basedOn w:val="1"/>
    <w:next w:val="a"/>
    <w:uiPriority w:val="39"/>
    <w:unhideWhenUsed/>
    <w:qFormat/>
    <w:rsid w:val="00EF2C4E"/>
    <w:pPr>
      <w:widowControl/>
      <w:spacing w:before="120" w:after="120"/>
      <w:outlineLvl w:val="9"/>
    </w:pPr>
    <w:rPr>
      <w:rtl/>
      <w:cs/>
    </w:rPr>
  </w:style>
  <w:style w:type="paragraph" w:styleId="TOC1">
    <w:name w:val="toc 1"/>
    <w:basedOn w:val="a"/>
    <w:next w:val="a"/>
    <w:autoRedefine/>
    <w:uiPriority w:val="39"/>
    <w:unhideWhenUsed/>
    <w:rsid w:val="00EF2C4E"/>
    <w:pPr>
      <w:tabs>
        <w:tab w:val="right" w:leader="dot" w:pos="9629"/>
      </w:tabs>
      <w:spacing w:after="100"/>
    </w:pPr>
    <w:rPr>
      <w:bCs/>
      <w:szCs w:val="22"/>
    </w:rPr>
  </w:style>
  <w:style w:type="paragraph" w:styleId="TOC2">
    <w:name w:val="toc 2"/>
    <w:basedOn w:val="a"/>
    <w:next w:val="a"/>
    <w:uiPriority w:val="39"/>
    <w:unhideWhenUsed/>
    <w:rsid w:val="00EF2C4E"/>
    <w:pPr>
      <w:tabs>
        <w:tab w:val="right" w:leader="dot" w:pos="9628"/>
      </w:tabs>
      <w:spacing w:after="100"/>
    </w:pPr>
    <w:rPr>
      <w:szCs w:val="22"/>
    </w:rPr>
  </w:style>
  <w:style w:type="paragraph" w:styleId="TOC3">
    <w:name w:val="toc 3"/>
    <w:basedOn w:val="a"/>
    <w:next w:val="a"/>
    <w:uiPriority w:val="39"/>
    <w:unhideWhenUsed/>
    <w:rsid w:val="00EF2C4E"/>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EF2C4E"/>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F2C4E"/>
    <w:pPr>
      <w:tabs>
        <w:tab w:val="right" w:leader="dot" w:pos="9628"/>
      </w:tabs>
      <w:spacing w:after="100"/>
      <w:ind w:left="567"/>
    </w:pPr>
    <w:rPr>
      <w:szCs w:val="22"/>
    </w:rPr>
  </w:style>
  <w:style w:type="paragraph" w:styleId="TOC6">
    <w:name w:val="toc 6"/>
    <w:basedOn w:val="a"/>
    <w:next w:val="a"/>
    <w:autoRedefine/>
    <w:semiHidden/>
    <w:unhideWhenUsed/>
    <w:rsid w:val="00EF2C4E"/>
    <w:pPr>
      <w:spacing w:after="100"/>
      <w:ind w:left="850"/>
    </w:pPr>
  </w:style>
  <w:style w:type="paragraph" w:styleId="TOC7">
    <w:name w:val="toc 7"/>
    <w:basedOn w:val="a"/>
    <w:next w:val="a"/>
    <w:autoRedefine/>
    <w:semiHidden/>
    <w:unhideWhenUsed/>
    <w:rsid w:val="00EF2C4E"/>
    <w:pPr>
      <w:spacing w:after="100"/>
      <w:ind w:left="1020"/>
    </w:pPr>
  </w:style>
  <w:style w:type="paragraph" w:styleId="TOC8">
    <w:name w:val="toc 8"/>
    <w:basedOn w:val="a"/>
    <w:next w:val="a"/>
    <w:autoRedefine/>
    <w:semiHidden/>
    <w:unhideWhenUsed/>
    <w:rsid w:val="00EF2C4E"/>
    <w:pPr>
      <w:spacing w:after="100"/>
      <w:ind w:left="1190"/>
    </w:pPr>
  </w:style>
  <w:style w:type="paragraph" w:styleId="TOC9">
    <w:name w:val="toc 9"/>
    <w:basedOn w:val="a"/>
    <w:next w:val="a"/>
    <w:autoRedefine/>
    <w:semiHidden/>
    <w:unhideWhenUsed/>
    <w:rsid w:val="00EF2C4E"/>
    <w:pPr>
      <w:spacing w:after="100"/>
      <w:ind w:left="1360"/>
    </w:pPr>
  </w:style>
  <w:style w:type="character" w:customStyle="1" w:styleId="20">
    <w:name w:val="כותרת 2 תו"/>
    <w:basedOn w:val="a0"/>
    <w:link w:val="2"/>
    <w:rsid w:val="00EF2C4E"/>
    <w:rPr>
      <w:rFonts w:asciiTheme="majorHAnsi" w:eastAsiaTheme="majorEastAsia" w:hAnsiTheme="majorHAnsi" w:cs="David"/>
      <w:bCs/>
      <w:sz w:val="26"/>
      <w:szCs w:val="36"/>
      <w:u w:val="single"/>
    </w:rPr>
  </w:style>
  <w:style w:type="paragraph" w:customStyle="1" w:styleId="TableHead2">
    <w:name w:val="Table Head2"/>
    <w:basedOn w:val="TableHead"/>
    <w:qFormat/>
    <w:rsid w:val="00EF2C4E"/>
    <w:pPr>
      <w:outlineLvl w:val="9"/>
    </w:pPr>
  </w:style>
  <w:style w:type="paragraph" w:customStyle="1" w:styleId="TableSideHeading2">
    <w:name w:val="Table SideHeading2"/>
    <w:basedOn w:val="TableSideHeading"/>
    <w:autoRedefine/>
    <w:qFormat/>
    <w:rsid w:val="00EF2C4E"/>
    <w:pPr>
      <w:keepLines w:val="0"/>
      <w:outlineLvl w:val="9"/>
    </w:pPr>
  </w:style>
  <w:style w:type="paragraph" w:customStyle="1" w:styleId="0">
    <w:name w:val="סגנון שורה ראשונה:  0  ס''מ"/>
    <w:basedOn w:val="2"/>
    <w:rsid w:val="00EF2C4E"/>
    <w:rPr>
      <w:rFonts w:eastAsia="Times New Roman"/>
    </w:rPr>
  </w:style>
  <w:style w:type="paragraph" w:styleId="af1">
    <w:name w:val="List Paragraph"/>
    <w:basedOn w:val="a"/>
    <w:uiPriority w:val="34"/>
    <w:qFormat/>
    <w:rsid w:val="00EF2C4E"/>
    <w:pPr>
      <w:widowControl/>
      <w:spacing w:line="259" w:lineRule="auto"/>
    </w:pPr>
    <w:rPr>
      <w:rFonts w:asciiTheme="minorHAnsi" w:hAnsiTheme="minorHAnsi"/>
      <w:sz w:val="22"/>
    </w:rPr>
  </w:style>
  <w:style w:type="table" w:styleId="af2">
    <w:name w:val="Table Grid"/>
    <w:basedOn w:val="a1"/>
    <w:rsid w:val="00EF2C4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EF2C4E"/>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EF2C4E"/>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3">
    <w:name w:val="טבלת חקיקה"/>
    <w:basedOn w:val="a1"/>
    <w:uiPriority w:val="99"/>
    <w:rsid w:val="00EF2C4E"/>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4">
    <w:name w:val="סגנון1"/>
    <w:basedOn w:val="a1"/>
    <w:uiPriority w:val="99"/>
    <w:rsid w:val="00EF2C4E"/>
    <w:rPr>
      <w:rFonts w:eastAsia="MS Mincho"/>
    </w:rPr>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1657D-317C-48BB-A872-2C64BBB17B1B}"/>
</file>

<file path=customXml/itemProps2.xml><?xml version="1.0" encoding="utf-8"?>
<ds:datastoreItem xmlns:ds="http://schemas.openxmlformats.org/officeDocument/2006/customXml" ds:itemID="{9AAD3E59-1685-4866-88AE-10917921A27A}"/>
</file>

<file path=customXml/itemProps3.xml><?xml version="1.0" encoding="utf-8"?>
<ds:datastoreItem xmlns:ds="http://schemas.openxmlformats.org/officeDocument/2006/customXml" ds:itemID="{5C990E72-2A10-47B5-8633-F22511D80AB8}"/>
</file>

<file path=customXml/itemProps4.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5.xml><?xml version="1.0" encoding="utf-8"?>
<ds:datastoreItem xmlns:ds="http://schemas.openxmlformats.org/officeDocument/2006/customXml" ds:itemID="{50592B54-E89C-4FD7-899F-B3FA86DDB237}"/>
</file>

<file path=docProps/app.xml><?xml version="1.0" encoding="utf-8"?>
<Properties xmlns="http://schemas.openxmlformats.org/officeDocument/2006/extended-properties" xmlns:vt="http://schemas.openxmlformats.org/officeDocument/2006/docPropsVTypes">
  <Template>Normal.dotm</Template>
  <TotalTime>0</TotalTime>
  <Pages>8</Pages>
  <Words>1406</Words>
  <Characters>6707</Characters>
  <Application>Microsoft Office Word</Application>
  <DocSecurity>0</DocSecurity>
  <Lines>55</Lines>
  <Paragraphs>16</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דפנה ברנאי</cp:lastModifiedBy>
  <cp:revision>2</cp:revision>
  <cp:lastPrinted>2018-05-03T09:43:00Z</cp:lastPrinted>
  <dcterms:created xsi:type="dcterms:W3CDTF">2020-09-30T06:05:00Z</dcterms:created>
  <dcterms:modified xsi:type="dcterms:W3CDTF">2020-09-30T06:05:00Z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354b1301-1454-4f0d-af0d-e81ee2282e97</vt:lpwstr>
  </property>
  <property fmtid="{D5CDD505-2E9C-101B-9397-08002B2CF9AE}" pid="20" name="_docset_NoMedatataSyncRequired">
    <vt:lpwstr>False</vt:lpwstr>
  </property>
  <property fmtid="{D5CDD505-2E9C-101B-9397-08002B2CF9AE}" pid="21" name="SanhedrinItemID">
    <vt:r8>2146530</vt:r8>
  </property>
  <property fmtid="{D5CDD505-2E9C-101B-9397-08002B2CF9AE}" pid="22" name="SanhedrinDocumentType">
    <vt:r8>42</vt:r8>
  </property>
</Properties>
</file>