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73D9E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4AC1DD" wp14:editId="7BFC07A2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3BBED" w14:textId="77777777" w:rsidR="008525E2" w:rsidRDefault="008525E2" w:rsidP="00E57219">
      <w:pPr>
        <w:spacing w:line="240" w:lineRule="auto"/>
        <w:jc w:val="center"/>
        <w:rPr>
          <w:b/>
          <w:bCs/>
          <w:sz w:val="28"/>
          <w:szCs w:val="28"/>
          <w:rtl/>
        </w:rPr>
      </w:pPr>
    </w:p>
    <w:p w14:paraId="0D0D51A9" w14:textId="77777777" w:rsidR="008525E2" w:rsidRDefault="00220CAF" w:rsidP="00E57219">
      <w:pPr>
        <w:spacing w:line="240" w:lineRule="auto"/>
        <w:jc w:val="center"/>
        <w:rPr>
          <w:b/>
          <w:bCs/>
          <w:sz w:val="28"/>
          <w:szCs w:val="28"/>
        </w:rPr>
      </w:pPr>
      <w:bookmarkStart w:id="0" w:name="LGSName"/>
      <w:r>
        <w:rPr>
          <w:rStyle w:val="HeadHatzaotHok0"/>
          <w:rFonts w:hint="cs"/>
          <w:rtl/>
        </w:rPr>
        <w:t xml:space="preserve">חוק עובדים זרים (נגיף הקורונה החדש </w:t>
      </w:r>
      <w:r w:rsidR="00E57219">
        <w:rPr>
          <w:rStyle w:val="HeadHatzaotHok0"/>
          <w:rFonts w:hint="eastAsia"/>
        </w:rPr>
        <w:t>–</w:t>
      </w:r>
      <w:r>
        <w:rPr>
          <w:rStyle w:val="HeadHatzaotHok0"/>
          <w:rFonts w:hint="cs"/>
          <w:rtl/>
        </w:rPr>
        <w:t xml:space="preserve"> הוראת שעה </w:t>
      </w:r>
      <w:r w:rsidR="00E57219">
        <w:rPr>
          <w:rStyle w:val="HeadHatzaotHok0"/>
          <w:rFonts w:hint="eastAsia"/>
        </w:rPr>
        <w:t>–</w:t>
      </w:r>
      <w:r>
        <w:rPr>
          <w:rStyle w:val="HeadHatzaotHok0"/>
          <w:rFonts w:hint="cs"/>
          <w:rtl/>
        </w:rPr>
        <w:t xml:space="preserve"> תיקון מס' 21), </w:t>
      </w:r>
      <w:proofErr w:type="spellStart"/>
      <w:r>
        <w:rPr>
          <w:rStyle w:val="HeadHatzaotHok0"/>
          <w:rFonts w:hint="cs"/>
          <w:rtl/>
        </w:rPr>
        <w:t>התש"ף</w:t>
      </w:r>
      <w:proofErr w:type="spellEnd"/>
      <w:r w:rsidR="00E57219">
        <w:rPr>
          <w:rStyle w:val="HeadHatzaotHok0"/>
          <w:rFonts w:hint="eastAsia"/>
        </w:rPr>
        <w:t>–</w:t>
      </w:r>
      <w:r>
        <w:rPr>
          <w:rStyle w:val="HeadHatzaotHok0"/>
          <w:rFonts w:hint="cs"/>
          <w:rtl/>
        </w:rPr>
        <w:t>2020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53027CB6" w14:textId="77777777" w:rsidR="00E57219" w:rsidRDefault="00E57219" w:rsidP="00E57219">
      <w:pPr>
        <w:spacing w:line="240" w:lineRule="auto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8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624"/>
        <w:gridCol w:w="624"/>
        <w:gridCol w:w="4647"/>
      </w:tblGrid>
      <w:tr w:rsidR="00E57219" w:rsidRPr="0037574A" w14:paraId="4376E673" w14:textId="77777777" w:rsidTr="00E57219">
        <w:trPr>
          <w:cantSplit/>
        </w:trPr>
        <w:tc>
          <w:tcPr>
            <w:tcW w:w="1871" w:type="dxa"/>
            <w:shd w:val="clear" w:color="auto" w:fill="auto"/>
          </w:tcPr>
          <w:p w14:paraId="2177346D" w14:textId="77777777" w:rsidR="00E57219" w:rsidRPr="00B87D90" w:rsidRDefault="00E57219" w:rsidP="00E57219">
            <w:pPr>
              <w:pStyle w:val="TableSideHeading"/>
              <w:rPr>
                <w:rtl/>
              </w:rPr>
            </w:pPr>
            <w:r w:rsidRPr="00B87D90">
              <w:rPr>
                <w:rtl/>
              </w:rPr>
              <w:t xml:space="preserve">תיקון חוק עובדים זרים </w:t>
            </w:r>
            <w:r>
              <w:rPr>
                <w:rFonts w:hint="cs"/>
                <w:rtl/>
              </w:rPr>
              <w:t>–</w:t>
            </w:r>
            <w:r w:rsidRPr="00B87D90">
              <w:rPr>
                <w:rtl/>
              </w:rPr>
              <w:t xml:space="preserve"> הוראת שעה</w:t>
            </w:r>
          </w:p>
        </w:tc>
        <w:tc>
          <w:tcPr>
            <w:tcW w:w="624" w:type="dxa"/>
            <w:shd w:val="clear" w:color="auto" w:fill="auto"/>
          </w:tcPr>
          <w:p w14:paraId="7522F90F" w14:textId="77777777" w:rsidR="00E57219" w:rsidRPr="00B87D90" w:rsidRDefault="00E57219" w:rsidP="00E57219">
            <w:pPr>
              <w:pStyle w:val="TableText"/>
              <w:rPr>
                <w:rtl/>
              </w:rPr>
            </w:pPr>
            <w:r w:rsidRPr="00B87D90">
              <w:rPr>
                <w:rtl/>
              </w:rPr>
              <w:t>1.</w:t>
            </w:r>
          </w:p>
        </w:tc>
        <w:tc>
          <w:tcPr>
            <w:tcW w:w="7143" w:type="dxa"/>
            <w:gridSpan w:val="5"/>
            <w:shd w:val="clear" w:color="auto" w:fill="auto"/>
          </w:tcPr>
          <w:p w14:paraId="59B9AEE1" w14:textId="77777777" w:rsidR="00E57219" w:rsidRPr="0037574A" w:rsidRDefault="00E57219" w:rsidP="00E57219">
            <w:pPr>
              <w:pStyle w:val="TableBlock"/>
              <w:rPr>
                <w:rtl/>
              </w:rPr>
            </w:pPr>
            <w:r w:rsidRPr="00B87D90">
              <w:rPr>
                <w:rtl/>
              </w:rPr>
              <w:t>בתקופה ש</w:t>
            </w:r>
            <w:r>
              <w:rPr>
                <w:rFonts w:hint="cs"/>
                <w:rtl/>
              </w:rPr>
              <w:t xml:space="preserve">מיום ט"ז באב </w:t>
            </w:r>
            <w:proofErr w:type="spellStart"/>
            <w:r>
              <w:rPr>
                <w:rFonts w:hint="cs"/>
                <w:rtl/>
              </w:rPr>
              <w:t>התש"ף</w:t>
            </w:r>
            <w:proofErr w:type="spellEnd"/>
            <w:r>
              <w:rPr>
                <w:rFonts w:hint="cs"/>
                <w:rtl/>
              </w:rPr>
              <w:t xml:space="preserve"> (6 באוגוסט 2020) ועד יום י"ח בחשוון </w:t>
            </w:r>
            <w:proofErr w:type="spellStart"/>
            <w:r>
              <w:rPr>
                <w:rFonts w:hint="cs"/>
                <w:rtl/>
              </w:rPr>
              <w:t>התשפ"א</w:t>
            </w:r>
            <w:proofErr w:type="spellEnd"/>
            <w:r>
              <w:rPr>
                <w:rFonts w:hint="cs"/>
                <w:rtl/>
              </w:rPr>
              <w:t xml:space="preserve"> (5 בנובמבר 2020)</w:t>
            </w:r>
            <w:r w:rsidRPr="00B87D90">
              <w:rPr>
                <w:rtl/>
              </w:rPr>
              <w:t xml:space="preserve"> יקראו את חוק עובדים זרים, </w:t>
            </w:r>
            <w:proofErr w:type="spellStart"/>
            <w:r w:rsidRPr="00B87D90">
              <w:rPr>
                <w:rtl/>
              </w:rPr>
              <w:t>התשנ"א</w:t>
            </w:r>
            <w:proofErr w:type="spellEnd"/>
            <w:r w:rsidRPr="00B87D90">
              <w:rPr>
                <w:rtl/>
              </w:rPr>
              <w:t>–1991‏</w:t>
            </w:r>
            <w:r w:rsidRPr="00E57219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E57219">
              <w:rPr>
                <w:rtl/>
              </w:rPr>
              <w:t xml:space="preserve"> </w:t>
            </w:r>
            <w:r w:rsidRPr="00B87D90">
              <w:rPr>
                <w:rtl/>
              </w:rPr>
              <w:t xml:space="preserve">(להלן – החוק), </w:t>
            </w:r>
            <w:r>
              <w:rPr>
                <w:rFonts w:hint="cs"/>
                <w:rtl/>
              </w:rPr>
              <w:t>כך:</w:t>
            </w:r>
            <w:r w:rsidRPr="00B87D90">
              <w:rPr>
                <w:rtl/>
              </w:rPr>
              <w:t xml:space="preserve"> </w:t>
            </w:r>
          </w:p>
        </w:tc>
      </w:tr>
      <w:tr w:rsidR="00E57219" w:rsidRPr="00B87D90" w14:paraId="45F4668D" w14:textId="77777777" w:rsidTr="00E57219">
        <w:trPr>
          <w:cantSplit/>
        </w:trPr>
        <w:tc>
          <w:tcPr>
            <w:tcW w:w="1871" w:type="dxa"/>
            <w:shd w:val="clear" w:color="auto" w:fill="auto"/>
          </w:tcPr>
          <w:p w14:paraId="43739528" w14:textId="77777777" w:rsidR="00E57219" w:rsidRPr="00B87D90" w:rsidRDefault="00E57219" w:rsidP="00E57219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442DEF08" w14:textId="77777777" w:rsidR="00E57219" w:rsidRPr="00B87D90" w:rsidRDefault="00E57219" w:rsidP="00E57219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5"/>
            <w:shd w:val="clear" w:color="auto" w:fill="auto"/>
          </w:tcPr>
          <w:p w14:paraId="3137D508" w14:textId="77777777" w:rsidR="00E57219" w:rsidRPr="00B87D90" w:rsidRDefault="00E57219" w:rsidP="00E57219">
            <w:pPr>
              <w:pStyle w:val="TableBlock"/>
              <w:rPr>
                <w:rFonts w:hint="cs"/>
                <w:rtl/>
              </w:rPr>
            </w:pPr>
            <w:r w:rsidRPr="00B87D90">
              <w:rPr>
                <w:rtl/>
              </w:rPr>
              <w:t>(1)</w:t>
            </w:r>
            <w:r w:rsidRPr="00B87D90">
              <w:rPr>
                <w:rtl/>
              </w:rPr>
              <w:tab/>
              <w:t xml:space="preserve">בסעיף 1ה לחוק, בסופו </w:t>
            </w:r>
            <w:r>
              <w:rPr>
                <w:rFonts w:hint="cs"/>
                <w:rtl/>
              </w:rPr>
              <w:t>י</w:t>
            </w:r>
            <w:r w:rsidRPr="00B87D90">
              <w:rPr>
                <w:rtl/>
              </w:rPr>
              <w:t>ב</w:t>
            </w:r>
            <w:r>
              <w:rPr>
                <w:rFonts w:hint="cs"/>
                <w:rtl/>
              </w:rPr>
              <w:t>ו</w:t>
            </w:r>
            <w:r w:rsidRPr="00B87D90">
              <w:rPr>
                <w:rtl/>
              </w:rPr>
              <w:t xml:space="preserve">א: </w:t>
            </w:r>
          </w:p>
        </w:tc>
      </w:tr>
      <w:tr w:rsidR="00E57219" w:rsidRPr="00DF37F9" w14:paraId="11B6BBD0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0F1679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DE055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7F84DD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818FD36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"(ה)</w:t>
            </w:r>
            <w:r w:rsidRPr="00DF37F9">
              <w:rPr>
                <w:rFonts w:ascii="David" w:hAnsi="David"/>
                <w:sz w:val="26"/>
                <w:rtl/>
              </w:rPr>
              <w:t> </w:t>
            </w:r>
            <w:r w:rsidRPr="00DF37F9">
              <w:rPr>
                <w:rFonts w:ascii="David" w:hAnsi="David"/>
                <w:sz w:val="26"/>
                <w:rtl/>
              </w:rPr>
              <w:t xml:space="preserve">על אף האמור בסעיף זה, </w:t>
            </w:r>
            <w:r>
              <w:rPr>
                <w:rFonts w:ascii="David" w:hAnsi="David" w:hint="cs"/>
                <w:sz w:val="26"/>
                <w:rtl/>
              </w:rPr>
              <w:t xml:space="preserve">הוראות סעיף זה יחולו בשינויים המפורטים להלן </w:t>
            </w:r>
            <w:r w:rsidRPr="00DF37F9">
              <w:rPr>
                <w:rFonts w:ascii="David" w:hAnsi="David"/>
                <w:sz w:val="26"/>
                <w:rtl/>
              </w:rPr>
              <w:t>לגבי עובד זר ש</w:t>
            </w:r>
            <w:r>
              <w:rPr>
                <w:rFonts w:ascii="David" w:hAnsi="David" w:hint="cs"/>
                <w:sz w:val="26"/>
                <w:rtl/>
              </w:rPr>
              <w:t>פרק ו' ל</w:t>
            </w:r>
            <w:r w:rsidRPr="00DF37F9">
              <w:rPr>
                <w:rFonts w:ascii="David" w:hAnsi="David"/>
                <w:sz w:val="26"/>
                <w:rtl/>
              </w:rPr>
              <w:t xml:space="preserve">חוק יישום ההסכם בדבר רצועת עזה ואזור יריחו (הסדרים כלכליים והוראות שונות) (תיקוני חקיקה), </w:t>
            </w:r>
            <w:proofErr w:type="spellStart"/>
            <w:r w:rsidRPr="00DF37F9">
              <w:rPr>
                <w:rFonts w:ascii="David" w:hAnsi="David"/>
                <w:sz w:val="26"/>
                <w:rtl/>
              </w:rPr>
              <w:t>התשנ"</w:t>
            </w:r>
            <w:r>
              <w:rPr>
                <w:rFonts w:ascii="David" w:hAnsi="David" w:hint="cs"/>
                <w:sz w:val="26"/>
                <w:rtl/>
              </w:rPr>
              <w:t>ה</w:t>
            </w:r>
            <w:proofErr w:type="spellEnd"/>
            <w:r>
              <w:rPr>
                <w:rFonts w:ascii="David" w:hAnsi="David"/>
                <w:sz w:val="26"/>
                <w:rtl/>
              </w:rPr>
              <w:t>–</w:t>
            </w:r>
            <w:r w:rsidRPr="00DF37F9">
              <w:rPr>
                <w:rFonts w:ascii="David" w:hAnsi="David"/>
                <w:sz w:val="26"/>
                <w:rtl/>
              </w:rPr>
              <w:t>1994‏</w:t>
            </w:r>
            <w:r w:rsidRPr="00E57219">
              <w:rPr>
                <w:rStyle w:val="a8"/>
                <w:rFonts w:ascii="David" w:hAnsi="David"/>
                <w:sz w:val="26"/>
                <w:rtl/>
              </w:rPr>
              <w:footnoteReference w:id="3"/>
            </w:r>
            <w:r w:rsidRPr="00DF37F9">
              <w:rPr>
                <w:rFonts w:ascii="David" w:hAnsi="David"/>
                <w:sz w:val="26"/>
                <w:rtl/>
              </w:rPr>
              <w:t>, חל עליו</w:t>
            </w:r>
            <w:r>
              <w:rPr>
                <w:rFonts w:ascii="David" w:hAnsi="David" w:hint="cs"/>
                <w:sz w:val="26"/>
                <w:rtl/>
              </w:rPr>
              <w:t xml:space="preserve"> ו</w:t>
            </w:r>
            <w:r w:rsidRPr="00DF37F9">
              <w:rPr>
                <w:rFonts w:ascii="David" w:hAnsi="David"/>
                <w:sz w:val="26"/>
                <w:rtl/>
              </w:rPr>
              <w:t xml:space="preserve">שוהה בישראל כדין בהיתר שהייה למטרת עבודה לפי סעיף 3ב(2) לחוק האזרחות והכניסה לישראל (הוראת שעה), </w:t>
            </w:r>
            <w:proofErr w:type="spellStart"/>
            <w:r w:rsidRPr="00DF37F9">
              <w:rPr>
                <w:rFonts w:ascii="David" w:hAnsi="David"/>
                <w:sz w:val="26"/>
                <w:rtl/>
              </w:rPr>
              <w:t>התשס"ג</w:t>
            </w:r>
            <w:proofErr w:type="spellEnd"/>
            <w:r>
              <w:rPr>
                <w:rFonts w:ascii="David" w:hAnsi="David"/>
                <w:sz w:val="26"/>
                <w:rtl/>
              </w:rPr>
              <w:t>–</w:t>
            </w:r>
            <w:r w:rsidRPr="00DF37F9">
              <w:rPr>
                <w:rFonts w:ascii="David" w:hAnsi="David"/>
                <w:sz w:val="26"/>
                <w:rtl/>
              </w:rPr>
              <w:t>2003‏</w:t>
            </w:r>
            <w:r w:rsidRPr="00E57219">
              <w:rPr>
                <w:rStyle w:val="a8"/>
                <w:rFonts w:ascii="David" w:hAnsi="David"/>
                <w:sz w:val="26"/>
                <w:rtl/>
              </w:rPr>
              <w:footnoteReference w:id="4"/>
            </w:r>
            <w:r w:rsidRPr="00DF37F9">
              <w:rPr>
                <w:rFonts w:ascii="David" w:hAnsi="David"/>
                <w:sz w:val="26"/>
                <w:rtl/>
              </w:rPr>
              <w:t>, המאפשר לינה בישראל</w:t>
            </w:r>
            <w:r>
              <w:rPr>
                <w:rFonts w:ascii="David" w:hAnsi="David" w:hint="cs"/>
                <w:sz w:val="26"/>
                <w:rtl/>
              </w:rPr>
              <w:t>:</w:t>
            </w:r>
          </w:p>
        </w:tc>
      </w:tr>
      <w:tr w:rsidR="00E57219" w14:paraId="0ECF6E80" w14:textId="77777777" w:rsidTr="00E5721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2A4FE112" w14:textId="77777777" w:rsidR="00E57219" w:rsidRDefault="00E57219" w:rsidP="00C234AF">
            <w:pPr>
              <w:pStyle w:val="TableSideHeading"/>
            </w:pPr>
          </w:p>
        </w:tc>
        <w:tc>
          <w:tcPr>
            <w:tcW w:w="624" w:type="dxa"/>
          </w:tcPr>
          <w:p w14:paraId="557A4674" w14:textId="77777777" w:rsidR="00E57219" w:rsidRDefault="00E57219" w:rsidP="00C234AF">
            <w:pPr>
              <w:pStyle w:val="TableText"/>
            </w:pPr>
          </w:p>
        </w:tc>
        <w:tc>
          <w:tcPr>
            <w:tcW w:w="624" w:type="dxa"/>
          </w:tcPr>
          <w:p w14:paraId="4EEDC4F4" w14:textId="77777777" w:rsidR="00E57219" w:rsidRDefault="00E57219" w:rsidP="00C234AF">
            <w:pPr>
              <w:pStyle w:val="TableText"/>
            </w:pPr>
          </w:p>
        </w:tc>
        <w:tc>
          <w:tcPr>
            <w:tcW w:w="624" w:type="dxa"/>
          </w:tcPr>
          <w:p w14:paraId="12A9A54D" w14:textId="77777777" w:rsidR="00E57219" w:rsidRDefault="00E57219" w:rsidP="00C234AF">
            <w:pPr>
              <w:pStyle w:val="TableText"/>
            </w:pPr>
          </w:p>
        </w:tc>
        <w:tc>
          <w:tcPr>
            <w:tcW w:w="5895" w:type="dxa"/>
            <w:gridSpan w:val="3"/>
          </w:tcPr>
          <w:p w14:paraId="11373A97" w14:textId="77777777" w:rsidR="00E57219" w:rsidRDefault="00E57219" w:rsidP="00E57219">
            <w:pPr>
              <w:pStyle w:val="TableBlock"/>
            </w:pPr>
            <w:r w:rsidRPr="00DF37F9">
              <w:rPr>
                <w:rFonts w:ascii="David" w:hAnsi="David"/>
                <w:sz w:val="26"/>
                <w:rtl/>
              </w:rPr>
              <w:t>(1)</w:t>
            </w:r>
            <w:r w:rsidRPr="00DF37F9">
              <w:rPr>
                <w:rFonts w:ascii="David" w:hAnsi="David"/>
                <w:sz w:val="26"/>
                <w:rtl/>
              </w:rPr>
              <w:t> </w:t>
            </w:r>
            <w:r w:rsidRPr="00DF37F9">
              <w:rPr>
                <w:rFonts w:ascii="David" w:hAnsi="David"/>
                <w:sz w:val="26"/>
                <w:rtl/>
              </w:rPr>
              <w:t>אם הוא מועסק בענף הבניי</w:t>
            </w:r>
            <w:r>
              <w:rPr>
                <w:rFonts w:ascii="David" w:hAnsi="David" w:hint="cs"/>
                <w:sz w:val="26"/>
                <w:rtl/>
              </w:rPr>
              <w:t>ן</w:t>
            </w:r>
            <w:r w:rsidRPr="00DF37F9">
              <w:rPr>
                <w:rFonts w:ascii="David" w:hAnsi="David"/>
                <w:sz w:val="26"/>
                <w:rtl/>
              </w:rPr>
              <w:t xml:space="preserve"> </w:t>
            </w:r>
            <w:r>
              <w:rPr>
                <w:rFonts w:ascii="David" w:hAnsi="David" w:hint="cs"/>
                <w:sz w:val="26"/>
                <w:rtl/>
              </w:rPr>
              <w:t xml:space="preserve">– </w:t>
            </w:r>
            <w:r w:rsidRPr="00DF37F9">
              <w:rPr>
                <w:rFonts w:ascii="David" w:hAnsi="David"/>
                <w:sz w:val="26"/>
                <w:rtl/>
              </w:rPr>
              <w:t>יראו מגורים הולמים לגביו אם</w:t>
            </w:r>
            <w:r>
              <w:rPr>
                <w:rFonts w:ascii="David" w:hAnsi="David" w:hint="cs"/>
                <w:sz w:val="26"/>
                <w:rtl/>
              </w:rPr>
              <w:t xml:space="preserve"> המעסיק העמיד על חשבונו מגורים בהתאם לתנאים שב</w:t>
            </w:r>
            <w:r w:rsidRPr="00DF37F9">
              <w:rPr>
                <w:rFonts w:ascii="David" w:hAnsi="David"/>
                <w:sz w:val="26"/>
                <w:rtl/>
              </w:rPr>
              <w:t>תוספת ראשונה</w:t>
            </w:r>
            <w:r>
              <w:rPr>
                <w:rFonts w:ascii="David" w:hAnsi="David"/>
                <w:sz w:val="26"/>
                <w:rtl/>
              </w:rPr>
              <w:t>1</w:t>
            </w:r>
            <w:r>
              <w:rPr>
                <w:rFonts w:ascii="David" w:hAnsi="David" w:hint="cs"/>
                <w:sz w:val="26"/>
                <w:rtl/>
              </w:rPr>
              <w:t>, ושיעור הניכויים שמעסיקו רשאי לנכות לפי סעיף קטן (ב) יהיה אפס</w:t>
            </w:r>
            <w:r>
              <w:rPr>
                <w:rFonts w:ascii="David" w:hAnsi="David"/>
                <w:sz w:val="26"/>
                <w:rtl/>
              </w:rPr>
              <w:t>;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E57219" w14:paraId="6F37E761" w14:textId="77777777" w:rsidTr="00E5721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46CEEE74" w14:textId="77777777" w:rsidR="00E57219" w:rsidRDefault="00E57219" w:rsidP="00C234AF">
            <w:pPr>
              <w:pStyle w:val="TableSideHeading"/>
            </w:pPr>
          </w:p>
        </w:tc>
        <w:tc>
          <w:tcPr>
            <w:tcW w:w="624" w:type="dxa"/>
          </w:tcPr>
          <w:p w14:paraId="0B9EBCB3" w14:textId="77777777" w:rsidR="00E57219" w:rsidRDefault="00E57219" w:rsidP="00C234AF">
            <w:pPr>
              <w:pStyle w:val="TableText"/>
            </w:pPr>
          </w:p>
        </w:tc>
        <w:tc>
          <w:tcPr>
            <w:tcW w:w="624" w:type="dxa"/>
          </w:tcPr>
          <w:p w14:paraId="63B9C95C" w14:textId="77777777" w:rsidR="00E57219" w:rsidRDefault="00E57219" w:rsidP="00C234AF">
            <w:pPr>
              <w:pStyle w:val="TableText"/>
            </w:pPr>
          </w:p>
        </w:tc>
        <w:tc>
          <w:tcPr>
            <w:tcW w:w="624" w:type="dxa"/>
          </w:tcPr>
          <w:p w14:paraId="696EC050" w14:textId="77777777" w:rsidR="00E57219" w:rsidRDefault="00E57219" w:rsidP="00C234AF">
            <w:pPr>
              <w:pStyle w:val="TableText"/>
            </w:pPr>
          </w:p>
        </w:tc>
        <w:tc>
          <w:tcPr>
            <w:tcW w:w="5895" w:type="dxa"/>
            <w:gridSpan w:val="3"/>
          </w:tcPr>
          <w:p w14:paraId="58D49A7F" w14:textId="77777777" w:rsidR="00E57219" w:rsidRDefault="00E57219" w:rsidP="00E57219">
            <w:pPr>
              <w:pStyle w:val="TableBlock"/>
            </w:pPr>
            <w:r>
              <w:rPr>
                <w:rFonts w:ascii="David" w:hAnsi="David" w:hint="cs"/>
                <w:sz w:val="26"/>
                <w:rtl/>
              </w:rPr>
              <w:t>(</w:t>
            </w:r>
            <w:r w:rsidRPr="00DF37F9">
              <w:rPr>
                <w:rFonts w:ascii="David" w:hAnsi="David"/>
                <w:sz w:val="26"/>
                <w:rtl/>
              </w:rPr>
              <w:t>2)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 xml:space="preserve">אם הוא מועסק בענף התעשייה או בענף החקלאות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DF37F9">
              <w:rPr>
                <w:rFonts w:ascii="David" w:hAnsi="David"/>
                <w:sz w:val="26"/>
                <w:rtl/>
              </w:rPr>
              <w:t xml:space="preserve"> י</w:t>
            </w:r>
            <w:r>
              <w:rPr>
                <w:rFonts w:ascii="David" w:hAnsi="David" w:hint="cs"/>
                <w:sz w:val="26"/>
                <w:rtl/>
              </w:rPr>
              <w:t>ק</w:t>
            </w:r>
            <w:r w:rsidRPr="00DF37F9">
              <w:rPr>
                <w:rFonts w:ascii="David" w:hAnsi="David"/>
                <w:sz w:val="26"/>
                <w:rtl/>
              </w:rPr>
              <w:t xml:space="preserve">ראו כל הוראה לפי סעיף זה המטילה חובה על המעסיק </w:t>
            </w:r>
            <w:r>
              <w:rPr>
                <w:rFonts w:ascii="David" w:hAnsi="David" w:hint="cs"/>
                <w:sz w:val="26"/>
                <w:rtl/>
              </w:rPr>
              <w:t>ל</w:t>
            </w:r>
            <w:r w:rsidRPr="00DF37F9">
              <w:rPr>
                <w:rFonts w:ascii="David" w:hAnsi="David"/>
                <w:sz w:val="26"/>
                <w:rtl/>
              </w:rPr>
              <w:t>עניין תנאי מגורים הולמים</w:t>
            </w:r>
            <w:r>
              <w:rPr>
                <w:rFonts w:ascii="David" w:hAnsi="David" w:hint="cs"/>
                <w:sz w:val="26"/>
                <w:rtl/>
              </w:rPr>
              <w:t>, שהיקפה נקבע לפי מספר האנשים</w:t>
            </w:r>
            <w:r w:rsidRPr="00DF37F9">
              <w:rPr>
                <w:rFonts w:ascii="David" w:hAnsi="David"/>
                <w:sz w:val="26"/>
                <w:rtl/>
              </w:rPr>
              <w:t xml:space="preserve">, כאילו במקום </w:t>
            </w:r>
            <w:r w:rsidRPr="00557475">
              <w:rPr>
                <w:rFonts w:ascii="David" w:hAnsi="David"/>
                <w:sz w:val="26"/>
                <w:rtl/>
              </w:rPr>
              <w:t>"שמונה" נאמר "תשעה".";</w:t>
            </w:r>
          </w:p>
        </w:tc>
      </w:tr>
      <w:tr w:rsidR="00E57219" w:rsidRPr="00DF37F9" w14:paraId="72724242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EB46DFF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AECAFEB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3" w:type="dxa"/>
            <w:gridSpan w:val="5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525B3DE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(2)</w:t>
            </w:r>
            <w:r w:rsidRPr="00DF37F9">
              <w:rPr>
                <w:rFonts w:ascii="David" w:hAnsi="David"/>
                <w:sz w:val="26"/>
                <w:rtl/>
              </w:rPr>
              <w:tab/>
            </w:r>
            <w:r>
              <w:rPr>
                <w:rFonts w:ascii="David" w:hAnsi="David" w:hint="cs"/>
                <w:sz w:val="26"/>
                <w:rtl/>
              </w:rPr>
              <w:t>ב</w:t>
            </w:r>
            <w:r w:rsidRPr="00DF37F9">
              <w:rPr>
                <w:rFonts w:ascii="David" w:hAnsi="David"/>
                <w:sz w:val="26"/>
                <w:rtl/>
              </w:rPr>
              <w:t>סעיף 6 לחוק</w:t>
            </w:r>
            <w:r>
              <w:rPr>
                <w:rFonts w:ascii="David" w:hAnsi="David" w:hint="cs"/>
                <w:sz w:val="26"/>
                <w:rtl/>
              </w:rPr>
              <w:t>,</w:t>
            </w:r>
            <w:r w:rsidRPr="00DF37F9">
              <w:rPr>
                <w:rFonts w:ascii="David" w:hAnsi="David"/>
                <w:sz w:val="26"/>
                <w:rtl/>
              </w:rPr>
              <w:t xml:space="preserve"> </w:t>
            </w:r>
            <w:r>
              <w:rPr>
                <w:rFonts w:ascii="David" w:hAnsi="David" w:hint="cs"/>
                <w:sz w:val="26"/>
                <w:rtl/>
              </w:rPr>
              <w:t>בסופו י</w:t>
            </w:r>
            <w:r w:rsidRPr="00DF37F9">
              <w:rPr>
                <w:rFonts w:ascii="David" w:hAnsi="David"/>
                <w:sz w:val="26"/>
                <w:rtl/>
              </w:rPr>
              <w:t>ב</w:t>
            </w:r>
            <w:r>
              <w:rPr>
                <w:rFonts w:ascii="David" w:hAnsi="David" w:hint="cs"/>
                <w:sz w:val="26"/>
                <w:rtl/>
              </w:rPr>
              <w:t>ו</w:t>
            </w:r>
            <w:r w:rsidRPr="00DF37F9">
              <w:rPr>
                <w:rFonts w:ascii="David" w:hAnsi="David"/>
                <w:sz w:val="26"/>
                <w:rtl/>
              </w:rPr>
              <w:t>א:</w:t>
            </w:r>
          </w:p>
        </w:tc>
      </w:tr>
      <w:tr w:rsidR="00E57219" w:rsidRPr="00DF37F9" w14:paraId="7C837247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464CC6C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A031B2F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436ACA4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08A1639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"(</w:t>
            </w:r>
            <w:r>
              <w:rPr>
                <w:rFonts w:ascii="David" w:hAnsi="David" w:hint="cs"/>
                <w:sz w:val="26"/>
                <w:rtl/>
              </w:rPr>
              <w:t>ח</w:t>
            </w:r>
            <w:r w:rsidRPr="00DF37F9">
              <w:rPr>
                <w:rFonts w:ascii="David" w:hAnsi="David"/>
                <w:sz w:val="26"/>
                <w:rtl/>
              </w:rPr>
              <w:t>)</w:t>
            </w:r>
            <w:r w:rsidRPr="00DF37F9">
              <w:rPr>
                <w:rFonts w:ascii="David" w:hAnsi="David"/>
                <w:sz w:val="26"/>
                <w:rtl/>
              </w:rPr>
              <w:t> </w:t>
            </w:r>
            <w:r w:rsidRPr="00BB3F23">
              <w:rPr>
                <w:rFonts w:ascii="David" w:hAnsi="David"/>
                <w:sz w:val="26"/>
                <w:rtl/>
              </w:rPr>
              <w:t xml:space="preserve">לשם פיקוח על </w:t>
            </w:r>
            <w:r w:rsidRPr="00497E5B">
              <w:rPr>
                <w:rFonts w:ascii="David" w:hAnsi="David" w:hint="cs"/>
                <w:sz w:val="26"/>
                <w:rtl/>
              </w:rPr>
              <w:t xml:space="preserve">ביצוע הוראות </w:t>
            </w:r>
            <w:r w:rsidRPr="00497E5B">
              <w:rPr>
                <w:rFonts w:ascii="David" w:hAnsi="David"/>
                <w:sz w:val="26"/>
                <w:rtl/>
              </w:rPr>
              <w:t>סעיפים 1ד ו</w:t>
            </w:r>
            <w:r w:rsidRPr="00497E5B">
              <w:rPr>
                <w:rFonts w:ascii="David" w:hAnsi="David" w:hint="cs"/>
                <w:sz w:val="26"/>
                <w:rtl/>
              </w:rPr>
              <w:t>-</w:t>
            </w:r>
            <w:r w:rsidRPr="00497E5B">
              <w:rPr>
                <w:rFonts w:ascii="David" w:hAnsi="David"/>
                <w:sz w:val="26"/>
                <w:rtl/>
              </w:rPr>
              <w:t>1ה</w:t>
            </w:r>
            <w:r w:rsidRPr="00497E5B">
              <w:rPr>
                <w:rFonts w:ascii="David" w:hAnsi="David" w:hint="cs"/>
                <w:sz w:val="26"/>
                <w:rtl/>
              </w:rPr>
              <w:t xml:space="preserve"> </w:t>
            </w:r>
            <w:r w:rsidRPr="00497E5B">
              <w:rPr>
                <w:rFonts w:ascii="David" w:hAnsi="David"/>
                <w:sz w:val="26"/>
                <w:rtl/>
              </w:rPr>
              <w:t>או בהתעורר חשד לביצוע עבירה לפי סעיף 2(ב)(3) או (4)</w:t>
            </w:r>
            <w:r w:rsidRPr="00BB3F23">
              <w:rPr>
                <w:rFonts w:ascii="David" w:hAnsi="David" w:hint="cs"/>
                <w:sz w:val="26"/>
                <w:rtl/>
              </w:rPr>
              <w:t>, לגבי עובדים</w:t>
            </w:r>
            <w:r>
              <w:rPr>
                <w:rFonts w:ascii="David" w:hAnsi="David" w:hint="cs"/>
                <w:sz w:val="26"/>
                <w:rtl/>
              </w:rPr>
              <w:t xml:space="preserve"> זרים המועסקים באחד הענפים האלה: הבניין, התעשייה או החקלאות </w:t>
            </w:r>
            <w:r>
              <w:rPr>
                <w:rFonts w:ascii="David" w:hAnsi="David" w:hint="eastAsia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</w:p>
        </w:tc>
      </w:tr>
      <w:tr w:rsidR="00E57219" w:rsidRPr="00DF37F9" w14:paraId="1D8222A2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9C40B72" w14:textId="77777777" w:rsidR="00E57219" w:rsidRPr="00A52DA8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0F805C8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6029CAD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D417C94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4550A8B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(1)</w:t>
            </w:r>
            <w:r w:rsidRPr="00DF37F9">
              <w:rPr>
                <w:rFonts w:ascii="David" w:hAnsi="David"/>
                <w:sz w:val="26"/>
                <w:rtl/>
              </w:rPr>
              <w:tab/>
              <w:t>הסמכויות האמורות בסעי</w:t>
            </w:r>
            <w:r>
              <w:rPr>
                <w:rFonts w:ascii="David" w:hAnsi="David" w:hint="cs"/>
                <w:sz w:val="26"/>
                <w:rtl/>
              </w:rPr>
              <w:t xml:space="preserve">פים קטנים (א) עד (ג) יהיו </w:t>
            </w:r>
            <w:r w:rsidRPr="00DF37F9">
              <w:rPr>
                <w:rFonts w:ascii="David" w:hAnsi="David"/>
                <w:sz w:val="26"/>
                <w:rtl/>
              </w:rPr>
              <w:t>נתונות גם לאחד מאלה</w:t>
            </w:r>
            <w:r>
              <w:rPr>
                <w:rFonts w:ascii="David" w:hAnsi="David" w:hint="cs"/>
                <w:sz w:val="26"/>
                <w:rtl/>
              </w:rPr>
              <w:t xml:space="preserve">, ובלבד שקיבל הדרכה לעניין סמכויות אלה וההוראות שלעניינן הן ניתנו, </w:t>
            </w:r>
            <w:r w:rsidRPr="00DF37F9">
              <w:rPr>
                <w:rFonts w:ascii="David" w:hAnsi="David"/>
                <w:sz w:val="26"/>
                <w:rtl/>
              </w:rPr>
              <w:t>ויראו אותו כמפקח כהגדרתו בסעיף קטן (א)</w:t>
            </w:r>
            <w:r>
              <w:rPr>
                <w:rFonts w:ascii="David" w:hAnsi="David" w:hint="cs"/>
                <w:sz w:val="26"/>
                <w:rtl/>
              </w:rPr>
              <w:t>, בשינויים המפורטים בפסקה (2)</w:t>
            </w:r>
            <w:r w:rsidRPr="00DF37F9">
              <w:rPr>
                <w:rFonts w:ascii="David" w:hAnsi="David"/>
                <w:sz w:val="26"/>
                <w:rtl/>
              </w:rPr>
              <w:t>:</w:t>
            </w:r>
          </w:p>
        </w:tc>
      </w:tr>
      <w:tr w:rsidR="00E57219" w:rsidRPr="00DF37F9" w14:paraId="1211435F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47753CE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0D6CD19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B86E198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0894FD3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EC80FB1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271" w:type="dxa"/>
            <w:gridSpan w:val="2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C0EE26C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(א)</w:t>
            </w:r>
            <w:r w:rsidRPr="00DF37F9">
              <w:rPr>
                <w:rFonts w:ascii="David" w:hAnsi="David"/>
                <w:sz w:val="26"/>
                <w:rtl/>
              </w:rPr>
              <w:tab/>
              <w:t>ע</w:t>
            </w:r>
            <w:r w:rsidRPr="00DF37F9">
              <w:rPr>
                <w:rFonts w:ascii="David" w:hAnsi="David"/>
                <w:spacing w:val="-2"/>
                <w:sz w:val="26"/>
                <w:rtl/>
              </w:rPr>
              <w:t>ובד משרד החקלאות ופיתוח הכפר שהוסמך לפי סעיף 5(א)(1)</w:t>
            </w:r>
            <w:r w:rsidRPr="00DF37F9">
              <w:rPr>
                <w:rFonts w:ascii="David" w:hAnsi="David"/>
                <w:sz w:val="26"/>
                <w:rtl/>
              </w:rPr>
              <w:t xml:space="preserve"> לחוק צער בעלי חיים (הגנה על בעלי חיים), </w:t>
            </w:r>
            <w:proofErr w:type="spellStart"/>
            <w:r w:rsidRPr="00DF37F9">
              <w:rPr>
                <w:rFonts w:ascii="David" w:hAnsi="David"/>
                <w:sz w:val="26"/>
                <w:rtl/>
              </w:rPr>
              <w:t>התשנ"ד</w:t>
            </w:r>
            <w:proofErr w:type="spellEnd"/>
            <w:r>
              <w:rPr>
                <w:rFonts w:ascii="David" w:hAnsi="David"/>
                <w:sz w:val="26"/>
                <w:rtl/>
              </w:rPr>
              <w:t>–</w:t>
            </w:r>
            <w:r w:rsidRPr="00DF37F9">
              <w:rPr>
                <w:rFonts w:ascii="David" w:hAnsi="David"/>
                <w:sz w:val="26"/>
                <w:rtl/>
              </w:rPr>
              <w:t>1994‏</w:t>
            </w:r>
            <w:r w:rsidRPr="00E57219">
              <w:rPr>
                <w:rStyle w:val="a8"/>
                <w:rFonts w:ascii="David" w:hAnsi="David"/>
                <w:sz w:val="26"/>
                <w:rtl/>
              </w:rPr>
              <w:footnoteReference w:id="5"/>
            </w:r>
            <w:r w:rsidRPr="00DF37F9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E57219" w:rsidRPr="00DF37F9" w14:paraId="09388D22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B5249FC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EED2468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A9A9E2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8B1CEA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851B502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271" w:type="dxa"/>
            <w:gridSpan w:val="2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0199ED7D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(ב)</w:t>
            </w:r>
            <w:r w:rsidRPr="00DF37F9">
              <w:rPr>
                <w:rFonts w:ascii="David" w:hAnsi="David"/>
                <w:sz w:val="26"/>
                <w:rtl/>
              </w:rPr>
              <w:tab/>
              <w:t xml:space="preserve">עובד משרד הבינוי והשיכון שהוסמך לפי סעיף 205(א)(1) לחוק התכנון והבנייה, </w:t>
            </w:r>
            <w:proofErr w:type="spellStart"/>
            <w:r w:rsidRPr="00DF37F9">
              <w:rPr>
                <w:rFonts w:ascii="David" w:hAnsi="David"/>
                <w:sz w:val="26"/>
                <w:rtl/>
              </w:rPr>
              <w:t>התשכ"ה</w:t>
            </w:r>
            <w:proofErr w:type="spellEnd"/>
            <w:r>
              <w:rPr>
                <w:rFonts w:ascii="David" w:hAnsi="David"/>
                <w:sz w:val="26"/>
                <w:rtl/>
              </w:rPr>
              <w:t>–</w:t>
            </w:r>
            <w:r w:rsidRPr="00DF37F9">
              <w:rPr>
                <w:rFonts w:ascii="David" w:hAnsi="David"/>
                <w:sz w:val="26"/>
                <w:rtl/>
              </w:rPr>
              <w:t>1965‏</w:t>
            </w:r>
            <w:r w:rsidRPr="00E57219">
              <w:rPr>
                <w:rStyle w:val="a8"/>
                <w:rFonts w:ascii="David" w:hAnsi="David"/>
                <w:sz w:val="26"/>
                <w:rtl/>
              </w:rPr>
              <w:footnoteReference w:id="6"/>
            </w:r>
            <w:r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E57219" w:rsidRPr="00497E5B" w14:paraId="4CED3278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98B1815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827D4F4" w14:textId="77777777" w:rsidR="00E57219" w:rsidRPr="00DF37F9" w:rsidRDefault="00E57219" w:rsidP="00C234AF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B21656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0B3C6602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7220DAE" w14:textId="77777777" w:rsidR="00E57219" w:rsidRPr="00497E5B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271" w:type="dxa"/>
            <w:gridSpan w:val="2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0739377" w14:textId="77777777" w:rsidR="00E57219" w:rsidRPr="00497E5B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497E5B">
              <w:rPr>
                <w:rFonts w:ascii="David" w:hAnsi="David"/>
                <w:sz w:val="26"/>
                <w:rtl/>
              </w:rPr>
              <w:t>(ג)</w:t>
            </w:r>
            <w:r w:rsidRPr="00497E5B">
              <w:rPr>
                <w:rFonts w:ascii="David" w:hAnsi="David"/>
                <w:sz w:val="26"/>
                <w:rtl/>
              </w:rPr>
              <w:tab/>
              <w:t xml:space="preserve">עובד משרד הכלכלה והתעשייה </w:t>
            </w:r>
            <w:r w:rsidRPr="00497E5B">
              <w:rPr>
                <w:rFonts w:ascii="David" w:hAnsi="David" w:hint="eastAsia"/>
                <w:sz w:val="26"/>
                <w:rtl/>
              </w:rPr>
              <w:t>שהוסמך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לפי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סעיפים</w:t>
            </w:r>
            <w:r w:rsidRPr="00497E5B">
              <w:rPr>
                <w:rFonts w:ascii="David" w:hAnsi="David"/>
                <w:sz w:val="26"/>
                <w:rtl/>
              </w:rPr>
              <w:t xml:space="preserve"> 30, 31 </w:t>
            </w:r>
            <w:r>
              <w:rPr>
                <w:rFonts w:ascii="David" w:hAnsi="David" w:hint="cs"/>
                <w:sz w:val="26"/>
                <w:rtl/>
              </w:rPr>
              <w:t>ו-</w:t>
            </w:r>
            <w:r w:rsidRPr="00497E5B">
              <w:rPr>
                <w:rFonts w:ascii="David" w:hAnsi="David"/>
                <w:sz w:val="26"/>
                <w:rtl/>
              </w:rPr>
              <w:t xml:space="preserve">32 </w:t>
            </w:r>
            <w:r w:rsidRPr="00497E5B">
              <w:rPr>
                <w:rFonts w:ascii="David" w:hAnsi="David" w:hint="eastAsia"/>
                <w:sz w:val="26"/>
                <w:rtl/>
              </w:rPr>
              <w:t>לחוק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הפיקוח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על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מצרכים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ושירותים</w:t>
            </w:r>
            <w:r w:rsidRPr="00497E5B">
              <w:rPr>
                <w:rFonts w:ascii="David" w:hAnsi="David"/>
                <w:sz w:val="26"/>
                <w:rtl/>
              </w:rPr>
              <w:t xml:space="preserve">, </w:t>
            </w:r>
            <w:proofErr w:type="spellStart"/>
            <w:r w:rsidRPr="00497E5B">
              <w:rPr>
                <w:rFonts w:ascii="David" w:hAnsi="David" w:hint="eastAsia"/>
                <w:sz w:val="26"/>
                <w:rtl/>
              </w:rPr>
              <w:t>התשי</w:t>
            </w:r>
            <w:r w:rsidRPr="00497E5B">
              <w:rPr>
                <w:rFonts w:ascii="David" w:hAnsi="David"/>
                <w:sz w:val="26"/>
                <w:rtl/>
              </w:rPr>
              <w:t>"ח</w:t>
            </w:r>
            <w:proofErr w:type="spellEnd"/>
            <w:r w:rsidRPr="00497E5B">
              <w:rPr>
                <w:rFonts w:ascii="David" w:hAnsi="David" w:hint="eastAsia"/>
                <w:sz w:val="26"/>
                <w:rtl/>
              </w:rPr>
              <w:t>–</w:t>
            </w:r>
            <w:r w:rsidRPr="00497E5B">
              <w:rPr>
                <w:rFonts w:ascii="David" w:hAnsi="David"/>
                <w:sz w:val="26"/>
                <w:rtl/>
              </w:rPr>
              <w:t>1957</w:t>
            </w:r>
            <w:r w:rsidRPr="00E57219">
              <w:rPr>
                <w:rStyle w:val="a8"/>
                <w:rFonts w:ascii="David" w:hAnsi="David"/>
                <w:sz w:val="26"/>
                <w:rtl/>
              </w:rPr>
              <w:footnoteReference w:id="7"/>
            </w:r>
            <w:r w:rsidRPr="00497E5B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E57219" w:rsidRPr="00DF37F9" w14:paraId="58010A48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2B5F132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F2EF91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ADD76CC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D236A3F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2AFA95B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(2)</w:t>
            </w:r>
            <w:r w:rsidRPr="00DF37F9">
              <w:rPr>
                <w:rFonts w:ascii="David" w:hAnsi="David"/>
                <w:sz w:val="26"/>
                <w:rtl/>
              </w:rPr>
              <w:tab/>
            </w:r>
            <w:r>
              <w:rPr>
                <w:rFonts w:ascii="David" w:hAnsi="David" w:hint="cs"/>
                <w:sz w:val="26"/>
                <w:rtl/>
              </w:rPr>
              <w:t xml:space="preserve">במקום מדי מפקח כאמור בסעיף קטן (ו)(1) ילבש מפקח כאמור בפסקה (1) </w:t>
            </w:r>
            <w:r w:rsidRPr="00DF37F9">
              <w:rPr>
                <w:rFonts w:ascii="David" w:hAnsi="David"/>
                <w:sz w:val="26"/>
                <w:rtl/>
              </w:rPr>
              <w:t>מדי מפקח של משרדו</w:t>
            </w:r>
            <w:r>
              <w:rPr>
                <w:rFonts w:ascii="David" w:hAnsi="David" w:hint="cs"/>
                <w:sz w:val="26"/>
                <w:rtl/>
              </w:rPr>
              <w:t xml:space="preserve">, ובמקום תעודה כאמור  </w:t>
            </w:r>
            <w:r w:rsidRPr="00DF37F9">
              <w:rPr>
                <w:rFonts w:ascii="David" w:hAnsi="David"/>
                <w:sz w:val="26"/>
                <w:rtl/>
              </w:rPr>
              <w:t xml:space="preserve"> </w:t>
            </w:r>
            <w:r>
              <w:rPr>
                <w:rFonts w:ascii="David" w:hAnsi="David" w:hint="cs"/>
                <w:sz w:val="26"/>
                <w:rtl/>
              </w:rPr>
              <w:t xml:space="preserve">בסעיף קטן (ו)(2) יישא ויציג תעודה </w:t>
            </w:r>
            <w:r w:rsidRPr="00DF37F9">
              <w:rPr>
                <w:rFonts w:ascii="David" w:hAnsi="David"/>
                <w:sz w:val="26"/>
                <w:rtl/>
              </w:rPr>
              <w:t>המעידה על תפקידו ועל סמכויותיו</w:t>
            </w:r>
            <w:r>
              <w:rPr>
                <w:rFonts w:ascii="David" w:hAnsi="David" w:hint="cs"/>
                <w:sz w:val="26"/>
                <w:rtl/>
              </w:rPr>
              <w:t xml:space="preserve"> כמפורט בפסקה (1), החתומה על ידי מי שהסמיכו כאמור בפסקאות משנה (א), (ב) או (ג) לפסקה האמורה</w:t>
            </w:r>
            <w:r w:rsidRPr="00DF37F9">
              <w:rPr>
                <w:rFonts w:ascii="David" w:hAnsi="David"/>
                <w:sz w:val="26"/>
                <w:rtl/>
              </w:rPr>
              <w:t>,</w:t>
            </w:r>
            <w:r>
              <w:rPr>
                <w:rFonts w:ascii="David" w:hAnsi="David" w:hint="cs"/>
                <w:sz w:val="26"/>
                <w:rtl/>
              </w:rPr>
              <w:t xml:space="preserve"> בצירוף אישור בכתב מהשר בדבר סמכויותיו לפי סעיף קטן זה</w:t>
            </w:r>
            <w:r>
              <w:rPr>
                <w:rFonts w:ascii="David" w:hAnsi="David" w:hint="cs"/>
                <w:spacing w:val="-4"/>
                <w:sz w:val="26"/>
                <w:rtl/>
              </w:rPr>
              <w:t>.";</w:t>
            </w:r>
            <w:r w:rsidRPr="00DF37F9">
              <w:rPr>
                <w:rFonts w:ascii="David" w:hAnsi="David"/>
                <w:spacing w:val="-4"/>
                <w:sz w:val="26"/>
                <w:rtl/>
              </w:rPr>
              <w:tab/>
            </w:r>
          </w:p>
        </w:tc>
      </w:tr>
      <w:tr w:rsidR="00E57219" w:rsidRPr="00DF37F9" w14:paraId="0EEE59C5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AF460AC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C2D6B4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3" w:type="dxa"/>
            <w:gridSpan w:val="5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0579062B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(3)</w:t>
            </w:r>
            <w:r w:rsidRPr="00DF37F9">
              <w:rPr>
                <w:rFonts w:ascii="David" w:hAnsi="David"/>
                <w:sz w:val="26"/>
                <w:rtl/>
              </w:rPr>
              <w:tab/>
              <w:t xml:space="preserve">אחרי סעיף 6ג לחוק </w:t>
            </w:r>
            <w:r>
              <w:rPr>
                <w:rFonts w:ascii="David" w:hAnsi="David" w:hint="cs"/>
                <w:sz w:val="26"/>
                <w:rtl/>
              </w:rPr>
              <w:t>י</w:t>
            </w:r>
            <w:r w:rsidRPr="00DF37F9">
              <w:rPr>
                <w:rFonts w:ascii="David" w:hAnsi="David"/>
                <w:sz w:val="26"/>
                <w:rtl/>
              </w:rPr>
              <w:t>ב</w:t>
            </w:r>
            <w:r>
              <w:rPr>
                <w:rFonts w:ascii="David" w:hAnsi="David" w:hint="cs"/>
                <w:sz w:val="26"/>
                <w:rtl/>
              </w:rPr>
              <w:t>ו</w:t>
            </w:r>
            <w:r w:rsidRPr="00DF37F9">
              <w:rPr>
                <w:rFonts w:ascii="David" w:hAnsi="David"/>
                <w:sz w:val="26"/>
                <w:rtl/>
              </w:rPr>
              <w:t>א:</w:t>
            </w:r>
          </w:p>
        </w:tc>
      </w:tr>
      <w:tr w:rsidR="00E57219" w:rsidRPr="00DF37F9" w14:paraId="26D1436F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8F68C3E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56F10C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0E34523" w14:textId="77777777" w:rsidR="00E57219" w:rsidRPr="00DF37F9" w:rsidRDefault="00E57219" w:rsidP="00C234AF">
            <w:pPr>
              <w:pStyle w:val="TableInnerSideHeading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"ביטוח רפואי ומגורים הולמים בתקופת חירום</w:t>
            </w: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9E014F3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6ג1.</w:t>
            </w:r>
          </w:p>
        </w:tc>
        <w:tc>
          <w:tcPr>
            <w:tcW w:w="4647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49081D3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על אף הוראות סעיף 6ג, סעיפים 1ד ו</w:t>
            </w:r>
            <w:r>
              <w:rPr>
                <w:rFonts w:ascii="David" w:hAnsi="David" w:hint="cs"/>
                <w:sz w:val="26"/>
                <w:rtl/>
              </w:rPr>
              <w:t>-</w:t>
            </w:r>
            <w:r w:rsidRPr="00DF37F9">
              <w:rPr>
                <w:rFonts w:ascii="David" w:hAnsi="David"/>
                <w:sz w:val="26"/>
                <w:rtl/>
              </w:rPr>
              <w:t>1ה יחולו לגבי עובד זר כאמור בסעיף 6ג(א), השוהה בישראל כדין בהיתר שהייה</w:t>
            </w:r>
            <w:r>
              <w:rPr>
                <w:rFonts w:ascii="David" w:hAnsi="David" w:hint="cs"/>
                <w:sz w:val="26"/>
                <w:rtl/>
              </w:rPr>
              <w:t xml:space="preserve"> למטרת עבודה עם לינה כמשמעותו בסעיף 1ה(ה)</w:t>
            </w:r>
            <w:r w:rsidRPr="00DF37F9">
              <w:rPr>
                <w:rFonts w:ascii="David" w:hAnsi="David"/>
                <w:sz w:val="26"/>
                <w:rtl/>
              </w:rPr>
              <w:t>.";</w:t>
            </w:r>
          </w:p>
        </w:tc>
      </w:tr>
      <w:tr w:rsidR="00E57219" w:rsidRPr="00DF37F9" w14:paraId="0BF60CA4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514D39D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B07032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3" w:type="dxa"/>
            <w:gridSpan w:val="5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710D631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(4)</w:t>
            </w:r>
            <w:r w:rsidRPr="00DF37F9">
              <w:rPr>
                <w:rFonts w:ascii="David" w:hAnsi="David"/>
                <w:sz w:val="26"/>
                <w:rtl/>
              </w:rPr>
              <w:tab/>
              <w:t xml:space="preserve">אחרי התוספת הראשונה לחוק </w:t>
            </w:r>
            <w:r>
              <w:rPr>
                <w:rFonts w:ascii="David" w:hAnsi="David" w:hint="cs"/>
                <w:sz w:val="26"/>
                <w:rtl/>
              </w:rPr>
              <w:t>י</w:t>
            </w:r>
            <w:r w:rsidRPr="00DF37F9">
              <w:rPr>
                <w:rFonts w:ascii="David" w:hAnsi="David"/>
                <w:sz w:val="26"/>
                <w:rtl/>
              </w:rPr>
              <w:t>ב</w:t>
            </w:r>
            <w:r>
              <w:rPr>
                <w:rFonts w:ascii="David" w:hAnsi="David" w:hint="cs"/>
                <w:sz w:val="26"/>
                <w:rtl/>
              </w:rPr>
              <w:t>ו</w:t>
            </w:r>
            <w:r w:rsidRPr="00DF37F9">
              <w:rPr>
                <w:rFonts w:ascii="David" w:hAnsi="David"/>
                <w:sz w:val="26"/>
                <w:rtl/>
              </w:rPr>
              <w:t>א:</w:t>
            </w:r>
          </w:p>
        </w:tc>
      </w:tr>
      <w:tr w:rsidR="00E57219" w:rsidRPr="00DF37F9" w14:paraId="04194480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94FA633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FA7DC53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5BC4846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032D8378" w14:textId="77777777" w:rsidR="00E57219" w:rsidRPr="00DF37F9" w:rsidRDefault="00E57219" w:rsidP="00E57219">
            <w:pPr>
              <w:pStyle w:val="TableHead"/>
              <w:outlineLvl w:val="9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"תוספת ראשונה1</w:t>
            </w:r>
          </w:p>
        </w:tc>
      </w:tr>
      <w:tr w:rsidR="00E57219" w:rsidRPr="00DF37F9" w14:paraId="74CFCB26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6594EE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C0F424C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006F31FC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4DD31E4" w14:textId="77777777" w:rsidR="00E57219" w:rsidRPr="00DF37F9" w:rsidRDefault="00E57219" w:rsidP="00E57219">
            <w:pPr>
              <w:pStyle w:val="TableHead"/>
              <w:outlineLvl w:val="9"/>
              <w:rPr>
                <w:rFonts w:ascii="David" w:hAnsi="David"/>
                <w:b w:val="0"/>
                <w:bCs w:val="0"/>
                <w:sz w:val="26"/>
                <w:rtl/>
              </w:rPr>
            </w:pPr>
            <w:r w:rsidRPr="00DF37F9">
              <w:rPr>
                <w:rFonts w:ascii="David" w:hAnsi="David"/>
                <w:b w:val="0"/>
                <w:bCs w:val="0"/>
                <w:sz w:val="26"/>
                <w:rtl/>
              </w:rPr>
              <w:t>(סעיף 1ה(ה))</w:t>
            </w:r>
          </w:p>
        </w:tc>
      </w:tr>
      <w:tr w:rsidR="00E57219" w:rsidRPr="00DF37F9" w14:paraId="662D0639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2B15582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82A3ADC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3" w:type="dxa"/>
            <w:gridSpan w:val="5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720F393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מגורים הולמים</w:t>
            </w:r>
            <w:r>
              <w:rPr>
                <w:rFonts w:ascii="David" w:hAnsi="David" w:hint="cs"/>
                <w:sz w:val="26"/>
                <w:rtl/>
              </w:rPr>
              <w:t xml:space="preserve"> יכללו לפחות </w:t>
            </w:r>
            <w:r w:rsidRPr="00497E5B">
              <w:rPr>
                <w:rFonts w:ascii="David" w:hAnsi="David" w:hint="cs"/>
                <w:sz w:val="26"/>
                <w:rtl/>
              </w:rPr>
              <w:t>את כל אלה, במבנים מקורים, ראויים למגורים, שמותקנים בהם חלונות ודלתות, שיש אליהם גישה נוחה ובטוחה ושנועדו לשמש למגורי אדם, אולם מעסיק שמספק לעובדים אוכל מוכן אינו חייב בהעמדת מטבח</w:t>
            </w:r>
            <w:r w:rsidRPr="00497E5B">
              <w:rPr>
                <w:rFonts w:ascii="David" w:hAnsi="David"/>
                <w:sz w:val="26"/>
                <w:rtl/>
              </w:rPr>
              <w:t>:</w:t>
            </w:r>
          </w:p>
        </w:tc>
      </w:tr>
      <w:tr w:rsidR="00E57219" w:rsidRPr="00DF37F9" w14:paraId="518116E1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8549EE8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1612132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64338C1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BE529CA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1.</w:t>
            </w:r>
            <w:r w:rsidRPr="00DF37F9">
              <w:rPr>
                <w:rFonts w:ascii="David" w:hAnsi="David"/>
                <w:sz w:val="26"/>
                <w:rtl/>
              </w:rPr>
              <w:tab/>
            </w:r>
            <w:r>
              <w:rPr>
                <w:rFonts w:ascii="David" w:hAnsi="David" w:hint="cs"/>
                <w:sz w:val="26"/>
                <w:rtl/>
              </w:rPr>
              <w:t xml:space="preserve">חדרי שינה </w:t>
            </w:r>
            <w:r>
              <w:rPr>
                <w:rFonts w:ascii="David" w:hAnsi="David"/>
                <w:sz w:val="26"/>
                <w:rtl/>
              </w:rPr>
              <w:t>–</w:t>
            </w:r>
          </w:p>
        </w:tc>
      </w:tr>
      <w:tr w:rsidR="00E57219" w:rsidRPr="00DF37F9" w14:paraId="49A6A846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57902D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42F168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533DB3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6D2B1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1BCD7A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(א)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 xml:space="preserve">המרחב האישי של </w:t>
            </w:r>
            <w:r w:rsidRPr="00497E5B">
              <w:rPr>
                <w:rFonts w:ascii="David" w:hAnsi="David"/>
                <w:sz w:val="26"/>
                <w:rtl/>
              </w:rPr>
              <w:t>כל עובד לא יפחת מ-4 מטרים רבועים ולא ישוכנו בחדר אחד יותר משישה אנשים;</w:t>
            </w:r>
            <w:r w:rsidRPr="00497E5B">
              <w:rPr>
                <w:rFonts w:ascii="David" w:eastAsiaTheme="minorHAnsi" w:hAnsi="David" w:hint="cs"/>
                <w:snapToGrid/>
                <w:sz w:val="26"/>
                <w:szCs w:val="24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בחישוב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השטח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האמור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לא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י</w:t>
            </w:r>
            <w:r w:rsidRPr="00497E5B">
              <w:rPr>
                <w:rFonts w:ascii="David" w:hAnsi="David" w:hint="cs"/>
                <w:sz w:val="26"/>
                <w:rtl/>
              </w:rPr>
              <w:t>ו</w:t>
            </w:r>
            <w:r w:rsidRPr="00497E5B">
              <w:rPr>
                <w:rFonts w:ascii="David" w:hAnsi="David" w:hint="eastAsia"/>
                <w:sz w:val="26"/>
                <w:rtl/>
              </w:rPr>
              <w:t>באו</w:t>
            </w:r>
            <w:r w:rsidRPr="00497E5B">
              <w:rPr>
                <w:rFonts w:ascii="David" w:hAnsi="David" w:hint="cs"/>
                <w:sz w:val="26"/>
                <w:rtl/>
              </w:rPr>
              <w:t xml:space="preserve"> בחשבון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חדר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שירותים</w:t>
            </w:r>
            <w:r w:rsidRPr="00497E5B">
              <w:rPr>
                <w:rFonts w:ascii="David" w:hAnsi="David"/>
                <w:sz w:val="26"/>
                <w:rtl/>
              </w:rPr>
              <w:t xml:space="preserve">, </w:t>
            </w:r>
            <w:r w:rsidRPr="00497E5B">
              <w:rPr>
                <w:rFonts w:ascii="David" w:hAnsi="David" w:hint="eastAsia"/>
                <w:sz w:val="26"/>
                <w:rtl/>
              </w:rPr>
              <w:t>מקלחת</w:t>
            </w:r>
            <w:r w:rsidRPr="00497E5B">
              <w:rPr>
                <w:rFonts w:ascii="David" w:hAnsi="David"/>
                <w:sz w:val="26"/>
                <w:rtl/>
              </w:rPr>
              <w:t xml:space="preserve">, </w:t>
            </w:r>
            <w:r w:rsidRPr="00497E5B">
              <w:rPr>
                <w:rFonts w:ascii="David" w:hAnsi="David" w:hint="eastAsia"/>
                <w:sz w:val="26"/>
                <w:rtl/>
              </w:rPr>
              <w:t>מטבח</w:t>
            </w:r>
            <w:r w:rsidRPr="00497E5B">
              <w:rPr>
                <w:rFonts w:ascii="David" w:hAnsi="David"/>
                <w:sz w:val="26"/>
                <w:rtl/>
              </w:rPr>
              <w:t xml:space="preserve">, </w:t>
            </w:r>
            <w:r w:rsidRPr="00497E5B">
              <w:rPr>
                <w:rFonts w:ascii="David" w:hAnsi="David" w:hint="cs"/>
                <w:sz w:val="26"/>
                <w:rtl/>
              </w:rPr>
              <w:t>פינת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אוכל</w:t>
            </w:r>
            <w:r w:rsidRPr="00497E5B">
              <w:rPr>
                <w:rFonts w:ascii="David" w:hAnsi="David" w:hint="cs"/>
                <w:sz w:val="26"/>
                <w:rtl/>
              </w:rPr>
              <w:t xml:space="preserve"> ו</w:t>
            </w:r>
            <w:r w:rsidRPr="00497E5B">
              <w:rPr>
                <w:rFonts w:ascii="David" w:hAnsi="David" w:hint="eastAsia"/>
                <w:sz w:val="26"/>
                <w:rtl/>
              </w:rPr>
              <w:t>ארון</w:t>
            </w:r>
            <w:r w:rsidRPr="00497E5B"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E57219" w:rsidRPr="00DF37F9" w14:paraId="6BC3D6F6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925A67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A2D426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B16828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F5A2C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722A0C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(ב)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לכל עובד יהיו מיטה נפרדת וכלי מיטה שיכללו: מזרן, כרית, סדין, ציפוי לשמיכה ולכרית ו</w:t>
            </w:r>
            <w:r>
              <w:rPr>
                <w:rFonts w:ascii="David" w:hAnsi="David" w:hint="cs"/>
                <w:sz w:val="26"/>
                <w:rtl/>
              </w:rPr>
              <w:t xml:space="preserve">שמיכה דקה או </w:t>
            </w:r>
            <w:r w:rsidRPr="00DF37F9">
              <w:rPr>
                <w:rFonts w:ascii="David" w:hAnsi="David"/>
                <w:sz w:val="26"/>
                <w:rtl/>
              </w:rPr>
              <w:t xml:space="preserve">שמיכת צמר, לפי </w:t>
            </w:r>
            <w:r>
              <w:rPr>
                <w:rFonts w:ascii="David" w:hAnsi="David" w:hint="cs"/>
                <w:sz w:val="26"/>
                <w:rtl/>
              </w:rPr>
              <w:t>תנאי מזג האוויר</w:t>
            </w:r>
            <w:r w:rsidRPr="00DF37F9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E57219" w:rsidRPr="00DF37F9" w14:paraId="107881B4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1A9BF1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DD6111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DE18DF6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0FE67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0943BD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(ג)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המגורים יהיו מאווררים ומוסקים, לפי הצורך ו</w:t>
            </w:r>
            <w:r>
              <w:rPr>
                <w:rFonts w:ascii="David" w:hAnsi="David" w:hint="cs"/>
                <w:sz w:val="26"/>
                <w:rtl/>
              </w:rPr>
              <w:t>בהתאם ל</w:t>
            </w:r>
            <w:r w:rsidRPr="00DF37F9">
              <w:rPr>
                <w:rFonts w:ascii="David" w:hAnsi="David"/>
                <w:sz w:val="26"/>
                <w:rtl/>
              </w:rPr>
              <w:t>עונות השנה; ההסקה תהיה באמצעים חשמליים בלבד;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</w:p>
        </w:tc>
      </w:tr>
      <w:tr w:rsidR="00E57219" w:rsidRPr="00DF37F9" w14:paraId="7D4A2C3D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149A46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36F5F00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9C484F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08ED93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2FD6A5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(ד)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מבנה הנמצא במקום ביצוע העבודה יופרד ממקום ביצוע העבודה באופן שיגן מפני סיכונים פיזיים</w:t>
            </w:r>
            <w:r>
              <w:rPr>
                <w:rFonts w:ascii="David" w:hAnsi="David" w:hint="cs"/>
                <w:sz w:val="26"/>
                <w:rtl/>
              </w:rPr>
              <w:t xml:space="preserve"> ואחרים</w:t>
            </w:r>
            <w:r w:rsidRPr="00DF37F9">
              <w:rPr>
                <w:rFonts w:ascii="David" w:hAnsi="David"/>
                <w:sz w:val="26"/>
                <w:rtl/>
              </w:rPr>
              <w:t>, לרבות נפילת חפצים מגובה</w:t>
            </w:r>
            <w:r>
              <w:rPr>
                <w:rFonts w:ascii="David" w:hAnsi="David" w:hint="cs"/>
                <w:sz w:val="26"/>
                <w:rtl/>
              </w:rPr>
              <w:t>, בורות, רעש חריג</w:t>
            </w:r>
            <w:r w:rsidRPr="00DF37F9">
              <w:rPr>
                <w:rFonts w:ascii="David" w:hAnsi="David"/>
                <w:sz w:val="26"/>
                <w:rtl/>
              </w:rPr>
              <w:t xml:space="preserve"> או חומרים מסוכנים;</w:t>
            </w:r>
          </w:p>
        </w:tc>
      </w:tr>
      <w:tr w:rsidR="00E57219" w:rsidRPr="00DF37F9" w14:paraId="2053EB3D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90181F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FFA2FC2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06FECB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697901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2.</w:t>
            </w:r>
            <w:r w:rsidRPr="00DF37F9">
              <w:rPr>
                <w:rFonts w:ascii="David" w:hAnsi="David"/>
                <w:sz w:val="26"/>
                <w:rtl/>
              </w:rPr>
              <w:tab/>
            </w:r>
            <w:r>
              <w:rPr>
                <w:rFonts w:ascii="David" w:hAnsi="David" w:hint="cs"/>
                <w:sz w:val="26"/>
                <w:rtl/>
              </w:rPr>
              <w:t>במטבח</w:t>
            </w:r>
            <w:r w:rsidRPr="00DF37F9">
              <w:rPr>
                <w:rFonts w:ascii="David" w:hAnsi="David"/>
                <w:sz w:val="26"/>
                <w:rtl/>
              </w:rPr>
              <w:t xml:space="preserve"> יהיו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DF37F9">
              <w:rPr>
                <w:rFonts w:ascii="David" w:hAnsi="David"/>
                <w:sz w:val="26"/>
                <w:rtl/>
              </w:rPr>
              <w:t xml:space="preserve"> </w:t>
            </w:r>
          </w:p>
        </w:tc>
      </w:tr>
      <w:tr w:rsidR="00E57219" w:rsidRPr="00DF37F9" w14:paraId="6D7C65DA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744EC3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EFE733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97FAA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778612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5F6397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(א)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כיור אחד לפחות לכל תשעה עובדים, עם אספקת מים חמים וקרים;</w:t>
            </w:r>
          </w:p>
        </w:tc>
      </w:tr>
      <w:tr w:rsidR="00E57219" w:rsidRPr="00DF37F9" w14:paraId="4892FE01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5C5FC5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D2E0E8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70B040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A6D2D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F46351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(ב)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מערכת כיריים אחת לפחות לכל תשעה עובדים;</w:t>
            </w:r>
          </w:p>
        </w:tc>
      </w:tr>
      <w:tr w:rsidR="00E57219" w:rsidRPr="00DF37F9" w14:paraId="4081B6F7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275590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0A500D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ADDB4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C2742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F001CD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(ג)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כלי אוכל במספר ובגודל הנדרש, לפי מספר העובדים המתגוררים במבנה;</w:t>
            </w:r>
          </w:p>
        </w:tc>
      </w:tr>
      <w:tr w:rsidR="00E57219" w:rsidRPr="00DF37F9" w14:paraId="128FF2E9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5502FD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6074E9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71CFA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39398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D60B86C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(ד)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 xml:space="preserve">מקרר </w:t>
            </w:r>
            <w:r>
              <w:rPr>
                <w:rFonts w:ascii="David" w:hAnsi="David" w:hint="cs"/>
                <w:sz w:val="26"/>
                <w:rtl/>
              </w:rPr>
              <w:t xml:space="preserve">חשמלי </w:t>
            </w:r>
            <w:r w:rsidRPr="00DF37F9">
              <w:rPr>
                <w:rFonts w:ascii="David" w:hAnsi="David"/>
                <w:sz w:val="26"/>
                <w:rtl/>
              </w:rPr>
              <w:t>לאחסון מזון;</w:t>
            </w:r>
          </w:p>
        </w:tc>
      </w:tr>
      <w:tr w:rsidR="00E57219" w:rsidRPr="00DF37F9" w14:paraId="3F75EBA5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76688CC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9ABDC4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26F093C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C1EE2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DB3B11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(ה)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מכלים בעלי מכסה תקין העשויים מחומר קשיח לאחסון אשפת המטבח;</w:t>
            </w:r>
          </w:p>
        </w:tc>
      </w:tr>
      <w:tr w:rsidR="00E57219" w:rsidRPr="00DF37F9" w14:paraId="28F6C449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DDE512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A9ABFF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3821E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79E46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3C0774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(ו)</w:t>
            </w:r>
            <w:r>
              <w:rPr>
                <w:rFonts w:ascii="David" w:hAnsi="David"/>
                <w:sz w:val="26"/>
                <w:rtl/>
              </w:rPr>
              <w:tab/>
            </w:r>
            <w:r>
              <w:rPr>
                <w:rFonts w:ascii="David" w:hAnsi="David" w:hint="cs"/>
                <w:sz w:val="26"/>
                <w:rtl/>
              </w:rPr>
              <w:t>שולחן או משטח עבודה אחר;</w:t>
            </w:r>
          </w:p>
        </w:tc>
      </w:tr>
      <w:tr w:rsidR="00E57219" w:rsidRPr="00DF37F9" w14:paraId="4F2B16BE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D4E183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DC32E3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98EF34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1D7555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3.</w:t>
            </w:r>
            <w:r w:rsidRPr="00DF37F9">
              <w:rPr>
                <w:rFonts w:ascii="David" w:hAnsi="David"/>
                <w:sz w:val="26"/>
                <w:rtl/>
              </w:rPr>
              <w:tab/>
              <w:t xml:space="preserve">פינת אוכל </w:t>
            </w:r>
            <w:r>
              <w:rPr>
                <w:rFonts w:ascii="David" w:hAnsi="David"/>
                <w:sz w:val="26"/>
                <w:rtl/>
              </w:rPr>
              <w:t>–</w:t>
            </w:r>
          </w:p>
        </w:tc>
      </w:tr>
      <w:tr w:rsidR="00E57219" w:rsidRPr="00DF37F9" w14:paraId="0B1E811A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146132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E1A3C3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545F90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E2C432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8D846F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(א)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במבנה יהיה חדר או מקום אחר שהוקצה לאכילה</w:t>
            </w:r>
            <w:r>
              <w:rPr>
                <w:rFonts w:ascii="David" w:hAnsi="David" w:hint="cs"/>
                <w:sz w:val="26"/>
                <w:rtl/>
              </w:rPr>
              <w:t xml:space="preserve"> ובו שולחן וכיסאות</w:t>
            </w:r>
            <w:r w:rsidRPr="00DF37F9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E57219" w:rsidRPr="00DF37F9" w14:paraId="2B78022A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4B6FC7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0BFB02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A97424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D9389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5C8C1C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(ב)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לכל עובד יהיה מקום ישיבה נפרד בפינת האוכל;</w:t>
            </w:r>
          </w:p>
        </w:tc>
      </w:tr>
      <w:tr w:rsidR="00E57219" w:rsidRPr="00DF37F9" w14:paraId="7E2A8055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F7BFA1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7F4A11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49726D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B78A01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360A00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(ג)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לא תשמש פינת אוכל לשינה ולא ישמש חדר שינה לפינת אוכל;</w:t>
            </w:r>
          </w:p>
        </w:tc>
      </w:tr>
      <w:tr w:rsidR="00E57219" w:rsidRPr="00DF37F9" w14:paraId="1F54CDD8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8A3105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875546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9DF2AB4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763826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4.</w:t>
            </w:r>
            <w:r w:rsidRPr="00DF37F9">
              <w:rPr>
                <w:rFonts w:ascii="David" w:hAnsi="David"/>
                <w:sz w:val="26"/>
                <w:rtl/>
              </w:rPr>
              <w:tab/>
              <w:t xml:space="preserve">חדר השירותים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DF37F9">
              <w:rPr>
                <w:rFonts w:ascii="David" w:hAnsi="David"/>
                <w:sz w:val="26"/>
                <w:rtl/>
              </w:rPr>
              <w:t xml:space="preserve"> </w:t>
            </w:r>
          </w:p>
        </w:tc>
      </w:tr>
      <w:tr w:rsidR="00E57219" w:rsidRPr="00DF37F9" w14:paraId="0C35E66A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698840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9CBC3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EE6AD1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284BB08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07D2FD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(א)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חדר השירותים יהיה בתוך המבנה או במרחק סביר ממנו והגישה אליו תהיה נוחה</w:t>
            </w:r>
            <w:r>
              <w:rPr>
                <w:rFonts w:ascii="David" w:hAnsi="David" w:hint="cs"/>
                <w:sz w:val="26"/>
                <w:rtl/>
              </w:rPr>
              <w:t>, בטוחה</w:t>
            </w:r>
            <w:r w:rsidRPr="00DF37F9">
              <w:rPr>
                <w:rFonts w:ascii="David" w:hAnsi="David"/>
                <w:sz w:val="26"/>
                <w:rtl/>
              </w:rPr>
              <w:t xml:space="preserve"> ומהירה;</w:t>
            </w:r>
          </w:p>
        </w:tc>
      </w:tr>
      <w:tr w:rsidR="00E57219" w:rsidRPr="00DF37F9" w14:paraId="03784EE9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D53452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44F00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B905E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241BB9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4879DF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(ב)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 xml:space="preserve">בחדר השירותים יהיו אסלות וכיורים </w:t>
            </w:r>
            <w:r w:rsidRPr="00DE4205">
              <w:rPr>
                <w:rFonts w:ascii="David" w:hAnsi="David"/>
                <w:sz w:val="26"/>
                <w:rtl/>
              </w:rPr>
              <w:t xml:space="preserve">עם אספקת מים </w:t>
            </w:r>
            <w:r w:rsidRPr="00DF37F9">
              <w:rPr>
                <w:rFonts w:ascii="David" w:hAnsi="David"/>
                <w:sz w:val="26"/>
                <w:rtl/>
              </w:rPr>
              <w:t xml:space="preserve">במספר שלא יפחת מאסלה אחת וכיור אחד לכל תשעה עובדים הגרים </w:t>
            </w:r>
            <w:r>
              <w:rPr>
                <w:rFonts w:ascii="David" w:hAnsi="David" w:hint="cs"/>
                <w:sz w:val="26"/>
                <w:rtl/>
              </w:rPr>
              <w:t>במבנה</w:t>
            </w:r>
            <w:r w:rsidRPr="00DF37F9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E57219" w:rsidRPr="00DF37F9" w14:paraId="119AB9F1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77ED87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E02650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2AB5D6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8EA65D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910C8A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(ג)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הציוד והקבועות הסניטריות יהיו תקינים, שלמים ונאותים;</w:t>
            </w:r>
          </w:p>
        </w:tc>
      </w:tr>
      <w:tr w:rsidR="00E57219" w:rsidRPr="00DF37F9" w14:paraId="57401B65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DC01AE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396AB8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BFEE16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D1D824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1BD826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(ד)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השירותים יהיו מאווררים;</w:t>
            </w:r>
          </w:p>
        </w:tc>
      </w:tr>
      <w:tr w:rsidR="00E57219" w:rsidRPr="00DF37F9" w14:paraId="2C135A1A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67D99E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81459C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C48619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595B61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5.</w:t>
            </w:r>
            <w:r w:rsidRPr="00DF37F9">
              <w:rPr>
                <w:rFonts w:ascii="David" w:hAnsi="David"/>
                <w:sz w:val="26"/>
                <w:rtl/>
              </w:rPr>
              <w:tab/>
              <w:t xml:space="preserve">מקלחות </w:t>
            </w:r>
            <w:r>
              <w:rPr>
                <w:rFonts w:ascii="David" w:hAnsi="David"/>
                <w:sz w:val="26"/>
                <w:rtl/>
              </w:rPr>
              <w:t>–</w:t>
            </w:r>
          </w:p>
        </w:tc>
      </w:tr>
      <w:tr w:rsidR="00E57219" w:rsidRPr="00DF37F9" w14:paraId="126FF4DE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746451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398590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C5D52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9026E4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30E938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(א)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 xml:space="preserve">המקלחות יהיו בתוך המבנה או במרחק סביר ממנו והגישה אליהן </w:t>
            </w:r>
            <w:r>
              <w:rPr>
                <w:rFonts w:ascii="David" w:hAnsi="David" w:hint="cs"/>
                <w:sz w:val="26"/>
                <w:rtl/>
              </w:rPr>
              <w:t xml:space="preserve">תהיה </w:t>
            </w:r>
            <w:r w:rsidRPr="00DF37F9">
              <w:rPr>
                <w:rFonts w:ascii="David" w:hAnsi="David"/>
                <w:sz w:val="26"/>
                <w:rtl/>
              </w:rPr>
              <w:t>נוחה</w:t>
            </w:r>
            <w:r>
              <w:rPr>
                <w:rFonts w:ascii="David" w:hAnsi="David" w:hint="cs"/>
                <w:sz w:val="26"/>
                <w:rtl/>
              </w:rPr>
              <w:t xml:space="preserve"> ובטוחה</w:t>
            </w:r>
            <w:r w:rsidRPr="00DF37F9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E57219" w:rsidRPr="00DF37F9" w14:paraId="1127D97E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C11B54C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651DD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36BD6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70D4C2C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300476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(ב)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לכל תשעה עובדים הגרים במבנה תוקצה מקלחת אחת לפחות ובה תהיה אספקת מים חמים וקרים;</w:t>
            </w:r>
          </w:p>
        </w:tc>
      </w:tr>
      <w:tr w:rsidR="00E57219" w:rsidRPr="00DF37F9" w14:paraId="408AD142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CF7A36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2902F5F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07653D6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7B0A30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942BE48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(ג)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דודי המים למקלחות יהיו מותאמים לאספקת כמות מים חמים לתשעה עובדים</w:t>
            </w:r>
            <w:r>
              <w:rPr>
                <w:rFonts w:ascii="David" w:hAnsi="David" w:hint="cs"/>
                <w:sz w:val="26"/>
                <w:rtl/>
              </w:rPr>
              <w:t xml:space="preserve"> לפחות,</w:t>
            </w:r>
            <w:r w:rsidRPr="00DF37F9">
              <w:rPr>
                <w:rFonts w:ascii="David" w:hAnsi="David"/>
                <w:sz w:val="26"/>
                <w:rtl/>
              </w:rPr>
              <w:t xml:space="preserve"> או שיהיה בהם מיתקן חימום חשמלי מהיר לכל מקלחת;</w:t>
            </w:r>
          </w:p>
        </w:tc>
      </w:tr>
      <w:tr w:rsidR="00E57219" w:rsidRPr="00DF37F9" w14:paraId="17712316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8AA98B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9707CB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12EFD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87863C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E358D0D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(ד)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המקלחות יהיו מאווררות ומוסקות, לפי הצורך ו</w:t>
            </w:r>
            <w:r>
              <w:rPr>
                <w:rFonts w:ascii="David" w:hAnsi="David" w:hint="cs"/>
                <w:sz w:val="26"/>
                <w:rtl/>
              </w:rPr>
              <w:t>בהתאם ל</w:t>
            </w:r>
            <w:r w:rsidRPr="00DF37F9">
              <w:rPr>
                <w:rFonts w:ascii="David" w:hAnsi="David"/>
                <w:sz w:val="26"/>
                <w:rtl/>
              </w:rPr>
              <w:t>עונות השנה; ההסקה תהיה באמצעים חשמליים בלבד;</w:t>
            </w:r>
          </w:p>
        </w:tc>
      </w:tr>
      <w:tr w:rsidR="00E57219" w:rsidRPr="00DF37F9" w14:paraId="5CF7ABF9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5BC41A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D7F13B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24B131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AE90D8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6.</w:t>
            </w:r>
            <w:r w:rsidRPr="00DF37F9">
              <w:rPr>
                <w:rFonts w:ascii="David" w:hAnsi="David"/>
                <w:sz w:val="26"/>
                <w:rtl/>
              </w:rPr>
              <w:tab/>
              <w:t xml:space="preserve">כביסה </w:t>
            </w:r>
            <w:r>
              <w:rPr>
                <w:rFonts w:ascii="David" w:hAnsi="David"/>
                <w:sz w:val="26"/>
                <w:rtl/>
              </w:rPr>
              <w:t>–</w:t>
            </w:r>
          </w:p>
        </w:tc>
      </w:tr>
      <w:tr w:rsidR="00E57219" w:rsidRPr="00DF37F9" w14:paraId="46C61463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8D52E4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CB1A9B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6C9278D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FF240B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01668FB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ב</w:t>
            </w:r>
            <w:r>
              <w:rPr>
                <w:rFonts w:ascii="David" w:hAnsi="David" w:hint="cs"/>
                <w:sz w:val="26"/>
                <w:rtl/>
              </w:rPr>
              <w:t>מקום</w:t>
            </w:r>
            <w:r w:rsidRPr="00DF37F9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/>
                <w:sz w:val="26"/>
                <w:rtl/>
              </w:rPr>
              <w:t xml:space="preserve">שמתגוררים בו תשעה עובדים או יותר, יעמיד המעסיק </w:t>
            </w:r>
            <w:r w:rsidRPr="00497E5B">
              <w:rPr>
                <w:rFonts w:ascii="David" w:hAnsi="David" w:hint="cs"/>
                <w:sz w:val="26"/>
                <w:rtl/>
              </w:rPr>
              <w:t xml:space="preserve">לרשות העובדים </w:t>
            </w:r>
            <w:r w:rsidRPr="00497E5B">
              <w:rPr>
                <w:rFonts w:ascii="David" w:hAnsi="David"/>
                <w:sz w:val="26"/>
                <w:rtl/>
              </w:rPr>
              <w:t>מכונת כביסה</w:t>
            </w:r>
            <w:r w:rsidRPr="00497E5B">
              <w:rPr>
                <w:rFonts w:ascii="David" w:hAnsi="David" w:hint="cs"/>
                <w:sz w:val="26"/>
                <w:rtl/>
              </w:rPr>
              <w:t xml:space="preserve"> וסידורים לייבוש הכביסה</w:t>
            </w:r>
            <w:r w:rsidRPr="00497E5B">
              <w:rPr>
                <w:rFonts w:ascii="David" w:hAnsi="David"/>
                <w:sz w:val="26"/>
                <w:rtl/>
              </w:rPr>
              <w:t xml:space="preserve">;  </w:t>
            </w:r>
            <w:r w:rsidRPr="00497E5B">
              <w:rPr>
                <w:rFonts w:ascii="David" w:hAnsi="David" w:hint="cs"/>
                <w:sz w:val="26"/>
                <w:rtl/>
              </w:rPr>
              <w:t xml:space="preserve">במקום </w:t>
            </w:r>
            <w:r w:rsidRPr="00497E5B">
              <w:rPr>
                <w:rFonts w:ascii="David" w:hAnsi="David"/>
                <w:sz w:val="26"/>
                <w:rtl/>
              </w:rPr>
              <w:t xml:space="preserve">שמתגוררים בו פחות מתשעה עובדים, </w:t>
            </w:r>
            <w:r w:rsidRPr="00497E5B">
              <w:rPr>
                <w:rFonts w:ascii="David" w:hAnsi="David" w:hint="eastAsia"/>
                <w:sz w:val="26"/>
                <w:rtl/>
              </w:rPr>
              <w:t>רשאי</w:t>
            </w:r>
            <w:r w:rsidRPr="00497E5B">
              <w:rPr>
                <w:rFonts w:ascii="David" w:hAnsi="David"/>
                <w:sz w:val="26"/>
                <w:rtl/>
              </w:rPr>
              <w:t xml:space="preserve"> המעסיק </w:t>
            </w:r>
            <w:r w:rsidRPr="00497E5B">
              <w:rPr>
                <w:rFonts w:ascii="David" w:hAnsi="David" w:hint="eastAsia"/>
                <w:sz w:val="26"/>
                <w:rtl/>
              </w:rPr>
              <w:t>להעמיד</w:t>
            </w:r>
            <w:r w:rsidRPr="00497E5B">
              <w:rPr>
                <w:rFonts w:ascii="David" w:hAnsi="David" w:hint="cs"/>
                <w:sz w:val="26"/>
                <w:rtl/>
              </w:rPr>
              <w:t xml:space="preserve"> לרשות העובדים </w:t>
            </w:r>
            <w:r w:rsidRPr="00497E5B">
              <w:rPr>
                <w:rFonts w:ascii="David" w:hAnsi="David"/>
                <w:sz w:val="26"/>
                <w:rtl/>
              </w:rPr>
              <w:t>שירותי כביסה חיצוניים, על חשבונו, בתדירות שלא תפחת מפעם אחת לשבוע</w:t>
            </w:r>
            <w:r w:rsidRPr="00497E5B">
              <w:rPr>
                <w:rFonts w:ascii="David" w:hAnsi="David" w:hint="cs"/>
                <w:sz w:val="26"/>
                <w:rtl/>
              </w:rPr>
              <w:t xml:space="preserve">, </w:t>
            </w:r>
            <w:r w:rsidRPr="00497E5B">
              <w:rPr>
                <w:rFonts w:ascii="David" w:hAnsi="David" w:hint="eastAsia"/>
                <w:sz w:val="26"/>
                <w:rtl/>
              </w:rPr>
              <w:t>במקום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מכונת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כביסה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וסידורים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לייבוש</w:t>
            </w:r>
            <w:r w:rsidRPr="00497E5B">
              <w:rPr>
                <w:rFonts w:ascii="David" w:hAnsi="David"/>
                <w:sz w:val="26"/>
                <w:rtl/>
              </w:rPr>
              <w:t xml:space="preserve"> </w:t>
            </w:r>
            <w:r w:rsidRPr="00497E5B">
              <w:rPr>
                <w:rFonts w:ascii="David" w:hAnsi="David" w:hint="eastAsia"/>
                <w:sz w:val="26"/>
                <w:rtl/>
              </w:rPr>
              <w:t>הכביסה</w:t>
            </w:r>
            <w:r w:rsidRPr="00497E5B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E57219" w:rsidRPr="00DF37F9" w14:paraId="69F5FFF1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8090470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FC1ACC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9CE35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CA7BA3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7.</w:t>
            </w:r>
            <w:r w:rsidRPr="00DF37F9">
              <w:rPr>
                <w:rFonts w:ascii="David" w:hAnsi="David"/>
                <w:sz w:val="26"/>
                <w:rtl/>
              </w:rPr>
              <w:tab/>
              <w:t xml:space="preserve">מים </w:t>
            </w:r>
            <w:r>
              <w:rPr>
                <w:rFonts w:ascii="David" w:hAnsi="David"/>
                <w:sz w:val="26"/>
                <w:rtl/>
              </w:rPr>
              <w:t>–</w:t>
            </w:r>
          </w:p>
        </w:tc>
      </w:tr>
      <w:tr w:rsidR="00E57219" w:rsidRPr="00DF37F9" w14:paraId="50BC8400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68B7B0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5BAD6F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1954A4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D0DED6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701879E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 xml:space="preserve">אספקת מי </w:t>
            </w:r>
            <w:r>
              <w:rPr>
                <w:rFonts w:ascii="David" w:hAnsi="David" w:hint="cs"/>
                <w:sz w:val="26"/>
                <w:rtl/>
              </w:rPr>
              <w:t>ה</w:t>
            </w:r>
            <w:r w:rsidRPr="00DF37F9">
              <w:rPr>
                <w:rFonts w:ascii="David" w:hAnsi="David"/>
                <w:sz w:val="26"/>
                <w:rtl/>
              </w:rPr>
              <w:t xml:space="preserve">שתייה </w:t>
            </w:r>
            <w:r>
              <w:rPr>
                <w:rFonts w:ascii="David" w:hAnsi="David" w:hint="cs"/>
                <w:sz w:val="26"/>
                <w:rtl/>
              </w:rPr>
              <w:t xml:space="preserve">תהיה </w:t>
            </w:r>
            <w:r w:rsidRPr="00DF37F9">
              <w:rPr>
                <w:rFonts w:ascii="David" w:hAnsi="David"/>
                <w:sz w:val="26"/>
                <w:rtl/>
              </w:rPr>
              <w:t>מרשת מים עירונית או ממקור אחר באיכות מי שתייה כנדרש בתקנות בריאות העם (איכותם התברואית של מי שתייה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ומיתקני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מי שתייה</w:t>
            </w:r>
            <w:r w:rsidRPr="00DF37F9">
              <w:rPr>
                <w:rFonts w:ascii="David" w:hAnsi="David"/>
                <w:sz w:val="26"/>
                <w:rtl/>
              </w:rPr>
              <w:t xml:space="preserve">), </w:t>
            </w:r>
            <w:proofErr w:type="spellStart"/>
            <w:r w:rsidRPr="00DF37F9">
              <w:rPr>
                <w:rFonts w:ascii="David" w:hAnsi="David"/>
                <w:sz w:val="26"/>
                <w:rtl/>
              </w:rPr>
              <w:t>התשע"ג</w:t>
            </w:r>
            <w:proofErr w:type="spellEnd"/>
            <w:r>
              <w:rPr>
                <w:rFonts w:ascii="David" w:hAnsi="David"/>
                <w:sz w:val="26"/>
                <w:rtl/>
              </w:rPr>
              <w:t>–</w:t>
            </w:r>
            <w:r w:rsidRPr="00DF37F9">
              <w:rPr>
                <w:rFonts w:ascii="David" w:hAnsi="David"/>
                <w:sz w:val="26"/>
                <w:rtl/>
              </w:rPr>
              <w:t>2013‏</w:t>
            </w:r>
            <w:r w:rsidRPr="00E57219">
              <w:rPr>
                <w:rStyle w:val="a8"/>
                <w:rFonts w:ascii="David" w:hAnsi="David"/>
                <w:sz w:val="26"/>
                <w:rtl/>
              </w:rPr>
              <w:footnoteReference w:id="8"/>
            </w:r>
            <w:r w:rsidRPr="00DF37F9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E57219" w:rsidRPr="00DF37F9" w14:paraId="2C2AE525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20D867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1AD08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BF3858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E14543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8.</w:t>
            </w:r>
            <w:r w:rsidRPr="00DF37F9">
              <w:rPr>
                <w:rFonts w:ascii="David" w:hAnsi="David"/>
                <w:sz w:val="26"/>
                <w:rtl/>
              </w:rPr>
              <w:tab/>
              <w:t xml:space="preserve">ביוב </w:t>
            </w:r>
            <w:r>
              <w:rPr>
                <w:rFonts w:ascii="David" w:hAnsi="David"/>
                <w:sz w:val="26"/>
                <w:rtl/>
              </w:rPr>
              <w:t>–</w:t>
            </w:r>
          </w:p>
        </w:tc>
      </w:tr>
      <w:tr w:rsidR="00E57219" w:rsidRPr="00DF37F9" w14:paraId="08C7B8B0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A59310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077F63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DAEEA1B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57F249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F6CA9D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המבנים </w:t>
            </w:r>
            <w:r w:rsidRPr="00DF37F9">
              <w:rPr>
                <w:rFonts w:ascii="David" w:hAnsi="David"/>
                <w:sz w:val="26"/>
                <w:rtl/>
              </w:rPr>
              <w:t>יהי</w:t>
            </w:r>
            <w:r>
              <w:rPr>
                <w:rFonts w:ascii="David" w:hAnsi="David" w:hint="cs"/>
                <w:sz w:val="26"/>
                <w:rtl/>
              </w:rPr>
              <w:t>ו</w:t>
            </w:r>
            <w:r w:rsidRPr="00DF37F9">
              <w:rPr>
                <w:rFonts w:ascii="David" w:hAnsi="David"/>
                <w:sz w:val="26"/>
                <w:rtl/>
              </w:rPr>
              <w:t xml:space="preserve"> מחובר</w:t>
            </w:r>
            <w:r>
              <w:rPr>
                <w:rFonts w:ascii="David" w:hAnsi="David" w:hint="cs"/>
                <w:sz w:val="26"/>
                <w:rtl/>
              </w:rPr>
              <w:t xml:space="preserve">ים </w:t>
            </w:r>
            <w:r w:rsidRPr="00DF37F9">
              <w:rPr>
                <w:rFonts w:ascii="David" w:hAnsi="David"/>
                <w:sz w:val="26"/>
                <w:rtl/>
              </w:rPr>
              <w:t>למערכת ביוב ציבורית אלא אם כן התקבל אישור ממהנדס הוועדה המקומית כי השפכים והדלוחים ב</w:t>
            </w:r>
            <w:r>
              <w:rPr>
                <w:rFonts w:ascii="David" w:hAnsi="David" w:hint="cs"/>
                <w:sz w:val="26"/>
                <w:rtl/>
              </w:rPr>
              <w:t>מבנה</w:t>
            </w:r>
            <w:r w:rsidRPr="00DF37F9">
              <w:rPr>
                <w:rFonts w:ascii="David" w:hAnsi="David"/>
                <w:sz w:val="26"/>
                <w:rtl/>
              </w:rPr>
              <w:t xml:space="preserve"> מסולקים למערכת שפכים פרטית שהותקנה </w:t>
            </w:r>
            <w:r w:rsidRPr="00CF5734">
              <w:rPr>
                <w:rFonts w:ascii="David" w:hAnsi="David"/>
                <w:sz w:val="26"/>
                <w:rtl/>
              </w:rPr>
              <w:t xml:space="preserve">לפי </w:t>
            </w:r>
            <w:r>
              <w:rPr>
                <w:rFonts w:ascii="David" w:hAnsi="David" w:hint="cs"/>
                <w:sz w:val="26"/>
                <w:rtl/>
              </w:rPr>
              <w:t>ה</w:t>
            </w:r>
            <w:r w:rsidRPr="00CF5734">
              <w:rPr>
                <w:rFonts w:ascii="David" w:hAnsi="David"/>
                <w:sz w:val="26"/>
                <w:rtl/>
              </w:rPr>
              <w:t xml:space="preserve">הוראות </w:t>
            </w:r>
            <w:proofErr w:type="spellStart"/>
            <w:r w:rsidRPr="00CF5734">
              <w:rPr>
                <w:rFonts w:ascii="David" w:hAnsi="David"/>
                <w:sz w:val="26"/>
                <w:rtl/>
              </w:rPr>
              <w:t>למיתקני</w:t>
            </w:r>
            <w:proofErr w:type="spellEnd"/>
            <w:r w:rsidRPr="00CF5734">
              <w:rPr>
                <w:rFonts w:ascii="David" w:hAnsi="David"/>
                <w:sz w:val="26"/>
                <w:rtl/>
              </w:rPr>
              <w:t xml:space="preserve"> תברואה (</w:t>
            </w:r>
            <w:proofErr w:type="spellStart"/>
            <w:r w:rsidRPr="00CF5734">
              <w:rPr>
                <w:rFonts w:ascii="David" w:hAnsi="David"/>
                <w:sz w:val="26"/>
                <w:rtl/>
              </w:rPr>
              <w:t>הל"ת</w:t>
            </w:r>
            <w:proofErr w:type="spellEnd"/>
            <w:r w:rsidRPr="00CF5734">
              <w:rPr>
                <w:rFonts w:ascii="David" w:hAnsi="David"/>
                <w:sz w:val="26"/>
                <w:rtl/>
              </w:rPr>
              <w:t xml:space="preserve">), </w:t>
            </w:r>
            <w:proofErr w:type="spellStart"/>
            <w:r w:rsidRPr="00CF5734">
              <w:rPr>
                <w:rFonts w:ascii="David" w:hAnsi="David"/>
                <w:sz w:val="26"/>
                <w:rtl/>
              </w:rPr>
              <w:t>התש"ל</w:t>
            </w:r>
            <w:proofErr w:type="spellEnd"/>
            <w:r w:rsidRPr="00CF5734">
              <w:rPr>
                <w:rFonts w:ascii="David" w:hAnsi="David"/>
                <w:sz w:val="26"/>
                <w:rtl/>
              </w:rPr>
              <w:t>–1970‏</w:t>
            </w:r>
            <w:r w:rsidRPr="00E57219">
              <w:rPr>
                <w:rStyle w:val="a8"/>
                <w:rFonts w:ascii="David" w:hAnsi="David"/>
                <w:sz w:val="26"/>
                <w:rtl/>
              </w:rPr>
              <w:footnoteReference w:id="9"/>
            </w:r>
            <w:r w:rsidRPr="00CF5734">
              <w:rPr>
                <w:rFonts w:ascii="David" w:hAnsi="David"/>
                <w:sz w:val="26"/>
                <w:rtl/>
              </w:rPr>
              <w:t>, כמשמעותן</w:t>
            </w:r>
            <w:r w:rsidRPr="00DF37F9">
              <w:rPr>
                <w:rFonts w:ascii="David" w:hAnsi="David"/>
                <w:sz w:val="26"/>
                <w:rtl/>
              </w:rPr>
              <w:t xml:space="preserve"> בתקנה 1 לתקנות התכנון והבנייה (בקשה להיתר, תנאיו ואגרות), </w:t>
            </w:r>
            <w:proofErr w:type="spellStart"/>
            <w:r w:rsidRPr="00DF37F9">
              <w:rPr>
                <w:rFonts w:ascii="David" w:hAnsi="David"/>
                <w:sz w:val="26"/>
                <w:rtl/>
              </w:rPr>
              <w:t>התש"ל</w:t>
            </w:r>
            <w:proofErr w:type="spellEnd"/>
            <w:r>
              <w:rPr>
                <w:rFonts w:ascii="David" w:hAnsi="David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>1970</w:t>
            </w:r>
            <w:r w:rsidRPr="00E57219">
              <w:rPr>
                <w:rStyle w:val="a8"/>
                <w:rFonts w:ascii="David" w:hAnsi="David"/>
                <w:sz w:val="26"/>
                <w:rtl/>
              </w:rPr>
              <w:footnoteReference w:id="10"/>
            </w:r>
            <w:r w:rsidRPr="00DF37F9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E57219" w:rsidRPr="00DF37F9" w14:paraId="7D9ABCFE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04EEA2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43AD9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686E79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62FD42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9.</w:t>
            </w:r>
            <w:r w:rsidRPr="00DF37F9">
              <w:rPr>
                <w:rFonts w:ascii="David" w:hAnsi="David"/>
                <w:sz w:val="26"/>
                <w:rtl/>
              </w:rPr>
              <w:tab/>
              <w:t xml:space="preserve">מניעת מפגע </w:t>
            </w:r>
            <w:r>
              <w:rPr>
                <w:rFonts w:ascii="David" w:hAnsi="David"/>
                <w:sz w:val="26"/>
                <w:rtl/>
              </w:rPr>
              <w:t>–</w:t>
            </w:r>
          </w:p>
        </w:tc>
      </w:tr>
      <w:tr w:rsidR="00E57219" w:rsidRPr="00DF37F9" w14:paraId="6D116AA6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514B65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C6238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54ECB7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E055A4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42645E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(א)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מעסיק ינקוט כל פעולה הדרושה למניעה סדירה של מפגעי תברואה במבנ</w:t>
            </w:r>
            <w:r>
              <w:rPr>
                <w:rFonts w:ascii="David" w:hAnsi="David" w:hint="cs"/>
                <w:sz w:val="26"/>
                <w:rtl/>
              </w:rPr>
              <w:t>ה</w:t>
            </w:r>
            <w:r w:rsidRPr="00DF37F9">
              <w:rPr>
                <w:rFonts w:ascii="David" w:hAnsi="David"/>
                <w:sz w:val="26"/>
                <w:rtl/>
              </w:rPr>
              <w:t xml:space="preserve"> ובסביבת</w:t>
            </w:r>
            <w:r>
              <w:rPr>
                <w:rFonts w:ascii="David" w:hAnsi="David" w:hint="cs"/>
                <w:sz w:val="26"/>
                <w:rtl/>
              </w:rPr>
              <w:t>ו</w:t>
            </w:r>
            <w:r w:rsidRPr="00DF37F9">
              <w:rPr>
                <w:rFonts w:ascii="David" w:hAnsi="David"/>
                <w:sz w:val="26"/>
                <w:rtl/>
              </w:rPr>
              <w:t>, לרבות מניעת מפגעי חרקים, מכרסמים ומזיקים אחרים;</w:t>
            </w:r>
          </w:p>
        </w:tc>
      </w:tr>
      <w:tr w:rsidR="00E57219" w:rsidRPr="00DF37F9" w14:paraId="2D0E85CD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354FED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48070C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E4329E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AC6FBF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47B598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(ב)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מעסיק יבטיח באופן סדיר את תקינותה של הצנרת והאינסטלציה במבנ</w:t>
            </w:r>
            <w:r>
              <w:rPr>
                <w:rFonts w:ascii="David" w:hAnsi="David" w:hint="cs"/>
                <w:sz w:val="26"/>
                <w:rtl/>
              </w:rPr>
              <w:t>ה</w:t>
            </w:r>
            <w:r w:rsidRPr="00DF37F9">
              <w:rPr>
                <w:rFonts w:ascii="David" w:hAnsi="David"/>
                <w:sz w:val="26"/>
                <w:rtl/>
              </w:rPr>
              <w:t xml:space="preserve"> וידאג למניעת דליפות ונזילות;</w:t>
            </w:r>
          </w:p>
        </w:tc>
      </w:tr>
      <w:tr w:rsidR="00E57219" w:rsidRPr="00DF37F9" w14:paraId="7D5BD562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2FCD6F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E8EB7F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F9F4E9D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D97B0F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6C6B43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(ג)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מעסיק ידאג כי יהי</w:t>
            </w:r>
            <w:r>
              <w:rPr>
                <w:rFonts w:ascii="David" w:hAnsi="David" w:hint="cs"/>
                <w:sz w:val="26"/>
                <w:rtl/>
              </w:rPr>
              <w:t>ה</w:t>
            </w:r>
            <w:r w:rsidRPr="00DF37F9">
              <w:rPr>
                <w:rFonts w:ascii="David" w:hAnsi="David"/>
                <w:sz w:val="26"/>
                <w:rtl/>
              </w:rPr>
              <w:t xml:space="preserve"> במבנ</w:t>
            </w:r>
            <w:r>
              <w:rPr>
                <w:rFonts w:ascii="David" w:hAnsi="David" w:hint="cs"/>
                <w:sz w:val="26"/>
                <w:rtl/>
              </w:rPr>
              <w:t>ה</w:t>
            </w:r>
            <w:r w:rsidRPr="00DF37F9">
              <w:rPr>
                <w:rFonts w:ascii="David" w:hAnsi="David"/>
                <w:sz w:val="26"/>
                <w:rtl/>
              </w:rPr>
              <w:t xml:space="preserve"> סידור נאות לאיסוף ולסילוק אשפה;</w:t>
            </w:r>
          </w:p>
        </w:tc>
      </w:tr>
      <w:tr w:rsidR="00E57219" w:rsidRPr="00DF37F9" w14:paraId="73671A65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160E1B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28053D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5DD06B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11A236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88EFDE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(ד)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מעסיק יבטיח קיומם של אמצעים וסידורים נאותים למניעה ולכיבוי של שריפות;</w:t>
            </w:r>
          </w:p>
        </w:tc>
      </w:tr>
      <w:tr w:rsidR="00E57219" w:rsidRPr="00497E5B" w14:paraId="20FF2C38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6C938B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652944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ECF383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519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46D24F" w14:textId="77777777" w:rsidR="00E57219" w:rsidRPr="00497E5B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497E5B">
              <w:rPr>
                <w:rFonts w:ascii="David" w:hAnsi="David"/>
                <w:sz w:val="26"/>
                <w:rtl/>
              </w:rPr>
              <w:t>10.</w:t>
            </w:r>
            <w:r w:rsidRPr="00497E5B">
              <w:rPr>
                <w:rFonts w:ascii="David" w:hAnsi="David"/>
                <w:sz w:val="26"/>
                <w:rtl/>
              </w:rPr>
              <w:tab/>
              <w:t>חשמל ותאורה –</w:t>
            </w:r>
          </w:p>
        </w:tc>
      </w:tr>
      <w:tr w:rsidR="00E57219" w:rsidRPr="00497E5B" w14:paraId="0C1E6C59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8501C35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57227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D27AA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EB88527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D90840" w14:textId="77777777" w:rsidR="00E57219" w:rsidRPr="00497E5B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497E5B">
              <w:rPr>
                <w:rFonts w:ascii="David" w:hAnsi="David"/>
                <w:sz w:val="26"/>
                <w:rtl/>
              </w:rPr>
              <w:t>(א)</w:t>
            </w:r>
            <w:r w:rsidRPr="00497E5B">
              <w:rPr>
                <w:rFonts w:ascii="David" w:hAnsi="David"/>
                <w:sz w:val="26"/>
                <w:rtl/>
              </w:rPr>
              <w:tab/>
              <w:t>בכל חדר במבנ</w:t>
            </w:r>
            <w:r w:rsidRPr="00497E5B">
              <w:rPr>
                <w:rFonts w:ascii="David" w:hAnsi="David" w:hint="cs"/>
                <w:sz w:val="26"/>
                <w:rtl/>
              </w:rPr>
              <w:t>ה</w:t>
            </w:r>
            <w:r w:rsidRPr="00497E5B">
              <w:rPr>
                <w:rFonts w:ascii="David" w:hAnsi="David"/>
                <w:sz w:val="26"/>
                <w:rtl/>
              </w:rPr>
              <w:t>, לרבות בשירותים ובמקלחת, תותקן תאורה חשמלית מספקת;</w:t>
            </w:r>
          </w:p>
        </w:tc>
      </w:tr>
      <w:tr w:rsidR="00E57219" w:rsidRPr="00497E5B" w14:paraId="2FF45330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2F57CB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47C8D5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F0752A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8CB814F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22C7E40" w14:textId="77777777" w:rsidR="00E57219" w:rsidRPr="00497E5B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497E5B">
              <w:rPr>
                <w:rFonts w:ascii="David" w:hAnsi="David"/>
                <w:sz w:val="26"/>
                <w:rtl/>
              </w:rPr>
              <w:t>(ב)</w:t>
            </w:r>
            <w:r w:rsidRPr="00497E5B">
              <w:rPr>
                <w:rFonts w:ascii="David" w:hAnsi="David"/>
                <w:sz w:val="26"/>
                <w:rtl/>
              </w:rPr>
              <w:tab/>
              <w:t>בכל חדר במבנה, לרבות במקלחת, יהיה שקע חשמלי אחד לפחות; במטבח יהיו שלושה שקעים לפחות; שקעי החשמל יהיו מוגנים מפני התחשמלות;</w:t>
            </w:r>
          </w:p>
        </w:tc>
      </w:tr>
      <w:tr w:rsidR="00E57219" w:rsidRPr="00DF37F9" w14:paraId="1694193B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282EAE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93A5AC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4796DE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73A541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5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9789F3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DF37F9">
              <w:rPr>
                <w:rFonts w:ascii="David" w:hAnsi="David"/>
                <w:sz w:val="26"/>
                <w:rtl/>
              </w:rPr>
              <w:t>(ג)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DF37F9">
              <w:rPr>
                <w:rFonts w:ascii="David" w:hAnsi="David"/>
                <w:sz w:val="26"/>
                <w:rtl/>
              </w:rPr>
              <w:t>סביבת המבנ</w:t>
            </w:r>
            <w:r>
              <w:rPr>
                <w:rFonts w:ascii="David" w:hAnsi="David" w:hint="cs"/>
                <w:sz w:val="26"/>
                <w:rtl/>
              </w:rPr>
              <w:t>ה</w:t>
            </w:r>
            <w:r w:rsidRPr="00DF37F9">
              <w:rPr>
                <w:rFonts w:ascii="David" w:hAnsi="David"/>
                <w:sz w:val="26"/>
                <w:rtl/>
              </w:rPr>
              <w:t xml:space="preserve"> תהיה מוארת בלילה."</w:t>
            </w:r>
          </w:p>
        </w:tc>
      </w:tr>
      <w:tr w:rsidR="00E57219" w:rsidRPr="00DF37F9" w14:paraId="394852EE" w14:textId="77777777" w:rsidTr="00E57219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9899EA" w14:textId="77777777" w:rsidR="00E57219" w:rsidRPr="00DF37F9" w:rsidRDefault="00E57219" w:rsidP="00C234AF">
            <w:pPr>
              <w:pStyle w:val="TableSideHeading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הארכת תוקף הוראת השעה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5589A9" w14:textId="77777777" w:rsidR="00E57219" w:rsidRPr="00DF37F9" w:rsidRDefault="00E57219" w:rsidP="00C234AF">
            <w:pPr>
              <w:pStyle w:val="TableText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2.</w:t>
            </w:r>
          </w:p>
        </w:tc>
        <w:tc>
          <w:tcPr>
            <w:tcW w:w="7143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8F088F" w14:textId="77777777" w:rsidR="00E57219" w:rsidRPr="00DF37F9" w:rsidRDefault="00E57219" w:rsidP="00E57219">
            <w:pPr>
              <w:pStyle w:val="TableBlock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שר העבודה, הרווחה והשירותים החברתיים, באישור ועדת העבודה, הרווחה והבריאות של הכנסת, רשאי להאריך, בצו, את התקופה האמורה בסעיף 1 בתקופות נוספות של שלושה חודשים כל אחת, כל עוד עומדת בתוקפה</w:t>
            </w:r>
            <w:r w:rsidRPr="00D8281D">
              <w:rPr>
                <w:rFonts w:hint="cs"/>
                <w:sz w:val="26"/>
                <w:rtl/>
              </w:rPr>
              <w:t xml:space="preserve"> הכרזה על מצב חירום בשל נגיף הקורונה לפי חוק סמכויות מיוחדות להתמודדות עם נגיף הקורונה החדש (הוראת שעה), </w:t>
            </w:r>
            <w:proofErr w:type="spellStart"/>
            <w:r w:rsidRPr="00D8281D">
              <w:rPr>
                <w:rFonts w:hint="cs"/>
                <w:sz w:val="26"/>
                <w:rtl/>
              </w:rPr>
              <w:t>התש"ף</w:t>
            </w:r>
            <w:proofErr w:type="spellEnd"/>
            <w:r w:rsidRPr="00D8281D">
              <w:rPr>
                <w:rFonts w:hint="eastAsia"/>
                <w:sz w:val="26"/>
                <w:rtl/>
              </w:rPr>
              <w:t>–</w:t>
            </w:r>
            <w:r w:rsidRPr="00D8281D">
              <w:rPr>
                <w:rFonts w:hint="cs"/>
                <w:sz w:val="26"/>
                <w:rtl/>
              </w:rPr>
              <w:t>2020</w:t>
            </w:r>
            <w:r w:rsidRPr="00E57219">
              <w:rPr>
                <w:rStyle w:val="a8"/>
                <w:rFonts w:ascii="David" w:hAnsi="David"/>
                <w:sz w:val="26"/>
                <w:rtl/>
              </w:rPr>
              <w:footnoteReference w:id="11"/>
            </w:r>
            <w:r>
              <w:rPr>
                <w:rFonts w:ascii="David" w:hAnsi="David" w:hint="cs"/>
                <w:sz w:val="26"/>
                <w:rtl/>
              </w:rPr>
              <w:t>.</w:t>
            </w:r>
          </w:p>
        </w:tc>
      </w:tr>
    </w:tbl>
    <w:p w14:paraId="26A24D67" w14:textId="77777777" w:rsidR="008525E2" w:rsidRPr="00E125CC" w:rsidRDefault="008525E2" w:rsidP="00D114CA">
      <w:pPr>
        <w:pStyle w:val="Noparagraphstyle"/>
        <w:spacing w:after="1200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126"/>
        <w:gridCol w:w="2126"/>
        <w:gridCol w:w="2410"/>
        <w:gridCol w:w="2977"/>
      </w:tblGrid>
      <w:tr w:rsidR="008525E2" w:rsidRPr="00D466D4" w14:paraId="122E41A6" w14:textId="77777777" w:rsidTr="00804678">
        <w:tc>
          <w:tcPr>
            <w:tcW w:w="2126" w:type="dxa"/>
            <w:shd w:val="clear" w:color="auto" w:fill="auto"/>
          </w:tcPr>
          <w:p w14:paraId="3B80333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038E9A5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5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5"/>
          </w:p>
          <w:p w14:paraId="626828A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50ED1E2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14:paraId="33A9DB6A" w14:textId="603C868F" w:rsidR="008525E2" w:rsidRPr="00D466D4" w:rsidRDefault="00804678" w:rsidP="0080467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איציק שמולי</w:t>
            </w:r>
            <w:bookmarkStart w:id="6" w:name="_GoBack"/>
            <w:bookmarkEnd w:id="6"/>
          </w:p>
          <w:p w14:paraId="16533BEA" w14:textId="560F9BC0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804678">
              <w:rPr>
                <w:rFonts w:hint="cs"/>
                <w:sz w:val="26"/>
                <w:szCs w:val="26"/>
                <w:rtl/>
              </w:rPr>
              <w:t>עבודה, הרווחה והשירותים החברתיים</w:t>
            </w:r>
          </w:p>
        </w:tc>
      </w:tr>
      <w:tr w:rsidR="008525E2" w:rsidRPr="00D466D4" w14:paraId="0FC30F24" w14:textId="77777777" w:rsidTr="00804678">
        <w:tc>
          <w:tcPr>
            <w:tcW w:w="2126" w:type="dxa"/>
            <w:shd w:val="clear" w:color="auto" w:fill="auto"/>
          </w:tcPr>
          <w:p w14:paraId="1399354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779DB291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7D8535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1023B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14:paraId="0DBAF411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5831F64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0DEA5C1D" w14:textId="77777777" w:rsidTr="00804678">
        <w:tc>
          <w:tcPr>
            <w:tcW w:w="2126" w:type="dxa"/>
            <w:shd w:val="clear" w:color="auto" w:fill="auto"/>
          </w:tcPr>
          <w:p w14:paraId="492894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3710E7">
              <w:rPr>
                <w:rFonts w:hint="cs"/>
                <w:sz w:val="26"/>
                <w:szCs w:val="26"/>
                <w:rtl/>
              </w:rPr>
              <w:t>ראובן ריבלין</w:t>
            </w:r>
          </w:p>
          <w:p w14:paraId="34E0285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126" w:type="dxa"/>
            <w:shd w:val="clear" w:color="auto" w:fill="auto"/>
          </w:tcPr>
          <w:p w14:paraId="1678D5E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4B36E51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HeadKnessetName"/>
            <w:r>
              <w:rPr>
                <w:rFonts w:hint="cs"/>
                <w:sz w:val="26"/>
                <w:szCs w:val="26"/>
                <w:rtl/>
              </w:rPr>
              <w:t>יריב לוין</w:t>
            </w:r>
            <w:bookmarkEnd w:id="7"/>
          </w:p>
          <w:p w14:paraId="629BDA0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977" w:type="dxa"/>
            <w:shd w:val="clear" w:color="auto" w:fill="auto"/>
          </w:tcPr>
          <w:p w14:paraId="100794F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72DC8798" w14:textId="77777777" w:rsidR="002137F8" w:rsidRPr="008525E2" w:rsidRDefault="002137F8" w:rsidP="00D114CA">
      <w:pPr>
        <w:rPr>
          <w:rtl/>
        </w:rPr>
      </w:pPr>
    </w:p>
    <w:sectPr w:rsidR="002137F8" w:rsidRPr="008525E2" w:rsidSect="00E57219">
      <w:headerReference w:type="even" r:id="rId13"/>
      <w:headerReference w:type="default" r:id="rId14"/>
      <w:footerReference w:type="even" r:id="rId15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3645F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05BD720D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25072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31E4E9AD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8B05F" w14:textId="77777777" w:rsidR="00AC209E" w:rsidRDefault="00AC209E" w:rsidP="00E57219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581B669C" w14:textId="77777777" w:rsidR="00AC209E" w:rsidRPr="00696C5E" w:rsidRDefault="00AC209E" w:rsidP="00696C5E">
      <w:pPr>
        <w:pStyle w:val="HeadHatzaotHok"/>
        <w:spacing w:before="0"/>
        <w:jc w:val="left"/>
      </w:pPr>
      <w:r>
        <w:separator/>
      </w:r>
    </w:p>
  </w:footnote>
  <w:footnote w:id="1">
    <w:p w14:paraId="6FC9C578" w14:textId="77777777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</w:t>
      </w:r>
      <w:r w:rsidR="00E57219">
        <w:rPr>
          <w:rFonts w:hint="cs"/>
          <w:rtl/>
        </w:rPr>
        <w:t xml:space="preserve"> ט"ו באב </w:t>
      </w:r>
      <w:proofErr w:type="spellStart"/>
      <w:r w:rsidR="00E57219">
        <w:rPr>
          <w:rFonts w:hint="cs"/>
          <w:rtl/>
        </w:rPr>
        <w:t>התש"ף</w:t>
      </w:r>
      <w:proofErr w:type="spellEnd"/>
      <w:r w:rsidR="00E57219">
        <w:rPr>
          <w:rFonts w:hint="cs"/>
          <w:rtl/>
        </w:rPr>
        <w:t xml:space="preserve"> (5 באוגוסט 2020)</w:t>
      </w:r>
      <w:r>
        <w:rPr>
          <w:rFonts w:hint="cs"/>
          <w:rtl/>
        </w:rPr>
        <w:t xml:space="preserve">; הצעת החוק ודברי הסבר פורסמו בהצעות חוק </w:t>
      </w:r>
      <w:bookmarkStart w:id="1" w:name="LGSType"/>
      <w:r>
        <w:rPr>
          <w:rFonts w:hint="cs"/>
          <w:rtl/>
        </w:rPr>
        <w:t>הממשלה</w:t>
      </w:r>
      <w:bookmarkEnd w:id="1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2" w:name="LGSNum"/>
      <w:r>
        <w:rPr>
          <w:rFonts w:hint="cs"/>
          <w:rtl/>
        </w:rPr>
        <w:t>1303</w:t>
      </w:r>
      <w:bookmarkEnd w:id="2"/>
      <w:r>
        <w:rPr>
          <w:rFonts w:hint="eastAsia"/>
          <w:rtl/>
        </w:rPr>
        <w:t xml:space="preserve">, מיום </w:t>
      </w:r>
      <w:bookmarkStart w:id="3" w:name="HebDate"/>
      <w:r>
        <w:rPr>
          <w:rFonts w:hint="cs"/>
          <w:rtl/>
        </w:rPr>
        <w:t xml:space="preserve">י"א באייר </w:t>
      </w:r>
      <w:proofErr w:type="spellStart"/>
      <w:r>
        <w:rPr>
          <w:rFonts w:hint="cs"/>
          <w:rtl/>
        </w:rPr>
        <w:t>התש"</w:t>
      </w:r>
      <w:bookmarkEnd w:id="3"/>
      <w:r w:rsidR="00E57219">
        <w:rPr>
          <w:rFonts w:hint="cs"/>
          <w:rtl/>
        </w:rPr>
        <w:t>ף</w:t>
      </w:r>
      <w:proofErr w:type="spellEnd"/>
      <w:r w:rsidRPr="00827E61">
        <w:rPr>
          <w:rFonts w:hint="cs"/>
          <w:rtl/>
        </w:rPr>
        <w:t xml:space="preserve"> (</w:t>
      </w:r>
      <w:bookmarkStart w:id="4" w:name="EngDate"/>
      <w:r>
        <w:rPr>
          <w:rFonts w:hint="cs"/>
          <w:rtl/>
        </w:rPr>
        <w:t>5 במאי 2020</w:t>
      </w:r>
      <w:bookmarkEnd w:id="4"/>
      <w:r w:rsidRPr="00827E61">
        <w:rPr>
          <w:rFonts w:hint="cs"/>
          <w:rtl/>
        </w:rPr>
        <w:t>), עמ'</w:t>
      </w:r>
      <w:r w:rsidR="00E57219">
        <w:rPr>
          <w:rFonts w:hint="cs"/>
          <w:rtl/>
        </w:rPr>
        <w:t xml:space="preserve"> 78</w:t>
      </w:r>
      <w:r>
        <w:rPr>
          <w:rFonts w:hint="cs"/>
          <w:rtl/>
        </w:rPr>
        <w:t>.</w:t>
      </w:r>
    </w:p>
  </w:footnote>
  <w:footnote w:id="2">
    <w:p w14:paraId="2AA98F7F" w14:textId="77777777" w:rsidR="00E57219" w:rsidRDefault="00E57219" w:rsidP="00E572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התשנ"א</w:t>
      </w:r>
      <w:proofErr w:type="spellEnd"/>
      <w:r>
        <w:rPr>
          <w:rtl/>
        </w:rPr>
        <w:t xml:space="preserve">, עמ' 112; </w:t>
      </w:r>
      <w:proofErr w:type="spellStart"/>
      <w:r>
        <w:rPr>
          <w:rtl/>
        </w:rPr>
        <w:t>התשע"ז</w:t>
      </w:r>
      <w:proofErr w:type="spellEnd"/>
      <w:r>
        <w:rPr>
          <w:rtl/>
        </w:rPr>
        <w:t>, עמ' 1011.</w:t>
      </w:r>
    </w:p>
  </w:footnote>
  <w:footnote w:id="3">
    <w:p w14:paraId="45F2BB33" w14:textId="77777777" w:rsidR="00E57219" w:rsidRDefault="00E57219" w:rsidP="00E572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התשנ"</w:t>
      </w:r>
      <w:r>
        <w:rPr>
          <w:rFonts w:hint="cs"/>
          <w:rtl/>
        </w:rPr>
        <w:t>ה</w:t>
      </w:r>
      <w:proofErr w:type="spellEnd"/>
      <w:r>
        <w:rPr>
          <w:rtl/>
        </w:rPr>
        <w:t>, עמ' 66.</w:t>
      </w:r>
    </w:p>
  </w:footnote>
  <w:footnote w:id="4">
    <w:p w14:paraId="0C0478FC" w14:textId="77777777" w:rsidR="00E57219" w:rsidRDefault="00E57219" w:rsidP="00E572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התשס"ג</w:t>
      </w:r>
      <w:proofErr w:type="spellEnd"/>
      <w:r>
        <w:rPr>
          <w:rtl/>
        </w:rPr>
        <w:t>, עמ' 544.</w:t>
      </w:r>
    </w:p>
  </w:footnote>
  <w:footnote w:id="5">
    <w:p w14:paraId="22A20CC7" w14:textId="77777777" w:rsidR="00E57219" w:rsidRDefault="00E57219" w:rsidP="00E572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התשנ"ד</w:t>
      </w:r>
      <w:proofErr w:type="spellEnd"/>
      <w:r>
        <w:rPr>
          <w:rtl/>
        </w:rPr>
        <w:t>, עמ' 56.</w:t>
      </w:r>
    </w:p>
  </w:footnote>
  <w:footnote w:id="6">
    <w:p w14:paraId="3DD0EEBB" w14:textId="77777777" w:rsidR="00E57219" w:rsidRDefault="00E57219" w:rsidP="00E572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התשכ"ה</w:t>
      </w:r>
      <w:proofErr w:type="spellEnd"/>
      <w:r>
        <w:rPr>
          <w:rtl/>
        </w:rPr>
        <w:t>, עמ' 307.</w:t>
      </w:r>
    </w:p>
  </w:footnote>
  <w:footnote w:id="7">
    <w:p w14:paraId="13635DDE" w14:textId="77777777" w:rsidR="00E57219" w:rsidRDefault="00E57219" w:rsidP="00E572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התשי"ח</w:t>
      </w:r>
      <w:proofErr w:type="spellEnd"/>
      <w:r>
        <w:rPr>
          <w:rFonts w:hint="cs"/>
          <w:rtl/>
        </w:rPr>
        <w:t>, עמ' 24.</w:t>
      </w:r>
    </w:p>
  </w:footnote>
  <w:footnote w:id="8">
    <w:p w14:paraId="6614D0A2" w14:textId="77777777" w:rsidR="00E57219" w:rsidRDefault="00E57219" w:rsidP="00E572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התשע"ג</w:t>
      </w:r>
      <w:proofErr w:type="spellEnd"/>
      <w:r>
        <w:rPr>
          <w:rFonts w:hint="cs"/>
          <w:rtl/>
        </w:rPr>
        <w:t>, עמ' 1394.</w:t>
      </w:r>
    </w:p>
  </w:footnote>
  <w:footnote w:id="9">
    <w:p w14:paraId="4794BF87" w14:textId="77777777" w:rsidR="00E57219" w:rsidRDefault="00E57219" w:rsidP="00E572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י"פ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התש"ל</w:t>
      </w:r>
      <w:proofErr w:type="spellEnd"/>
      <w:r>
        <w:rPr>
          <w:rFonts w:hint="cs"/>
          <w:rtl/>
        </w:rPr>
        <w:t>, עמ' 2545.</w:t>
      </w:r>
    </w:p>
  </w:footnote>
  <w:footnote w:id="10">
    <w:p w14:paraId="30846E5E" w14:textId="77777777" w:rsidR="00E57219" w:rsidRDefault="00E57219" w:rsidP="00E572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התש"ל</w:t>
      </w:r>
      <w:proofErr w:type="spellEnd"/>
      <w:r>
        <w:rPr>
          <w:rFonts w:hint="cs"/>
          <w:rtl/>
        </w:rPr>
        <w:t>, עמ' 1841.</w:t>
      </w:r>
    </w:p>
  </w:footnote>
  <w:footnote w:id="11">
    <w:p w14:paraId="638ADB32" w14:textId="77777777" w:rsidR="00E57219" w:rsidRDefault="00E57219" w:rsidP="00E572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>, עמ' 266.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8CBA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54086860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C907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804678">
      <w:rPr>
        <w:rStyle w:val="ac"/>
        <w:noProof/>
        <w:rtl/>
      </w:rPr>
      <w:t>5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0274E4CB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3C5B"/>
    <w:rsid w:val="00097925"/>
    <w:rsid w:val="000B3A00"/>
    <w:rsid w:val="000E3B18"/>
    <w:rsid w:val="000E4563"/>
    <w:rsid w:val="000E7E08"/>
    <w:rsid w:val="000F6D7C"/>
    <w:rsid w:val="001253F6"/>
    <w:rsid w:val="00135743"/>
    <w:rsid w:val="0015124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12A85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04678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474C"/>
    <w:rsid w:val="00AA5399"/>
    <w:rsid w:val="00AC209E"/>
    <w:rsid w:val="00AC4CCE"/>
    <w:rsid w:val="00B16515"/>
    <w:rsid w:val="00B416AF"/>
    <w:rsid w:val="00B4412A"/>
    <w:rsid w:val="00B6418A"/>
    <w:rsid w:val="00B90E4C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57219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F9307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219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7219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E57219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E57219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E57219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57219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E5721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57219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E57219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E57219"/>
    <w:rPr>
      <w:sz w:val="36"/>
      <w:szCs w:val="52"/>
    </w:rPr>
  </w:style>
  <w:style w:type="paragraph" w:customStyle="1" w:styleId="Cover3-Haknesset">
    <w:name w:val="Cover 3-Haknesset"/>
    <w:basedOn w:val="Cover1-Reshumot"/>
    <w:rsid w:val="00E57219"/>
    <w:rPr>
      <w:b/>
      <w:bCs/>
      <w:spacing w:val="60"/>
    </w:rPr>
  </w:style>
  <w:style w:type="paragraph" w:customStyle="1" w:styleId="Cover4-Date">
    <w:name w:val="Cover 4-Date"/>
    <w:basedOn w:val="a"/>
    <w:rsid w:val="00E5721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E57219"/>
    <w:rPr>
      <w:vertAlign w:val="superscript"/>
    </w:rPr>
  </w:style>
  <w:style w:type="paragraph" w:customStyle="1" w:styleId="Ragil">
    <w:name w:val="Ragil"/>
    <w:basedOn w:val="a"/>
    <w:rsid w:val="00E57219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E57219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E57219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E57219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E57219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E57219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E57219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E57219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E57219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E57219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E57219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E57219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E57219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E57219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E57219"/>
    <w:rPr>
      <w:color w:val="0563C1" w:themeColor="hyperlink"/>
      <w:u w:val="single"/>
    </w:rPr>
  </w:style>
  <w:style w:type="character" w:styleId="ac">
    <w:name w:val="page number"/>
    <w:basedOn w:val="a0"/>
    <w:rsid w:val="00E57219"/>
  </w:style>
  <w:style w:type="paragraph" w:customStyle="1" w:styleId="TableText">
    <w:name w:val="Table Text"/>
    <w:basedOn w:val="a"/>
    <w:rsid w:val="00E57219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E57219"/>
    <w:pPr>
      <w:jc w:val="both"/>
    </w:pPr>
  </w:style>
  <w:style w:type="paragraph" w:customStyle="1" w:styleId="TableBlockOutdent">
    <w:name w:val="Table BlockOutdent"/>
    <w:basedOn w:val="TableBlock"/>
    <w:rsid w:val="00E57219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E57219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E57219"/>
    <w:pPr>
      <w:outlineLvl w:val="2"/>
    </w:pPr>
  </w:style>
  <w:style w:type="paragraph" w:customStyle="1" w:styleId="TableInnerSideHeading">
    <w:name w:val="Table InnerSideHeading"/>
    <w:basedOn w:val="TableSideHeading"/>
    <w:rsid w:val="00E57219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E57219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E57219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E57219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E57219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E57219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E57219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E57219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E57219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E57219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E57219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E57219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E57219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E57219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E57219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E57219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E57219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E57219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E57219"/>
    <w:rPr>
      <w:rFonts w:eastAsia="Times New Roman"/>
    </w:rPr>
  </w:style>
  <w:style w:type="paragraph" w:styleId="af1">
    <w:name w:val="List Paragraph"/>
    <w:basedOn w:val="a"/>
    <w:uiPriority w:val="34"/>
    <w:qFormat/>
    <w:rsid w:val="00E57219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E5721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E57219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E57219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E57219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E57219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90E72-2A10-47B5-8633-F22511D80AB8}"/>
</file>

<file path=customXml/itemProps2.xml><?xml version="1.0" encoding="utf-8"?>
<ds:datastoreItem xmlns:ds="http://schemas.openxmlformats.org/officeDocument/2006/customXml" ds:itemID="{C3E1657D-317C-48BB-A872-2C64BBB17B1B}"/>
</file>

<file path=customXml/itemProps3.xml><?xml version="1.0" encoding="utf-8"?>
<ds:datastoreItem xmlns:ds="http://schemas.openxmlformats.org/officeDocument/2006/customXml" ds:itemID="{9AAD3E59-1685-4866-88AE-10917921A27A}"/>
</file>

<file path=customXml/itemProps4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BFEC82-3F46-49D4-BF88-766A5024A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1053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5</cp:revision>
  <cp:lastPrinted>2020-08-05T08:43:00Z</cp:lastPrinted>
  <dcterms:created xsi:type="dcterms:W3CDTF">2018-06-18T13:53:00Z</dcterms:created>
  <dcterms:modified xsi:type="dcterms:W3CDTF">2020-08-05T08:44:00Z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67181da2-85a6-443c-af52-9c85ad9ddc0f</vt:lpwstr>
  </property>
  <property fmtid="{D5CDD505-2E9C-101B-9397-08002B2CF9AE}" pid="20" name="_docset_NoMedatataSyncRequired">
    <vt:lpwstr>False</vt:lpwstr>
  </property>
  <property fmtid="{D5CDD505-2E9C-101B-9397-08002B2CF9AE}" pid="21" name="SanhedrinItemID">
    <vt:r8>2088093</vt:r8>
  </property>
  <property fmtid="{D5CDD505-2E9C-101B-9397-08002B2CF9AE}" pid="22" name="SanhedrinDocumentType">
    <vt:r8>42</vt:r8>
  </property>
</Properties>
</file>