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65027" w14:textId="77777777" w:rsidR="008525E2" w:rsidRDefault="00C7276B" w:rsidP="008525E2">
      <w:pPr>
        <w:jc w:val="center"/>
        <w:rPr>
          <w:b/>
          <w:bCs/>
          <w:sz w:val="28"/>
          <w:szCs w:val="28"/>
          <w:rtl/>
        </w:rPr>
      </w:pPr>
      <w:r>
        <w:rPr>
          <w:noProof/>
        </w:rPr>
        <w:drawing>
          <wp:inline distT="0" distB="0" distL="0" distR="0" wp14:anchorId="5D787CD2" wp14:editId="72596219">
            <wp:extent cx="509905" cy="624205"/>
            <wp:effectExtent l="0" t="0" r="4445" b="4445"/>
            <wp:docPr id="1" name="תמונה 1" descr="סמל המדינ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סמל המדינה"/>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9905" cy="624205"/>
                    </a:xfrm>
                    <a:prstGeom prst="rect">
                      <a:avLst/>
                    </a:prstGeom>
                    <a:noFill/>
                    <a:ln>
                      <a:noFill/>
                    </a:ln>
                  </pic:spPr>
                </pic:pic>
              </a:graphicData>
            </a:graphic>
          </wp:inline>
        </w:drawing>
      </w:r>
    </w:p>
    <w:p w14:paraId="6BBDD2B7" w14:textId="77777777" w:rsidR="008525E2" w:rsidRDefault="008525E2" w:rsidP="008525E2">
      <w:pPr>
        <w:jc w:val="center"/>
        <w:rPr>
          <w:b/>
          <w:bCs/>
          <w:sz w:val="28"/>
          <w:szCs w:val="28"/>
          <w:rtl/>
        </w:rPr>
      </w:pPr>
    </w:p>
    <w:p w14:paraId="6C499BB5" w14:textId="77777777" w:rsidR="008525E2" w:rsidRDefault="00220CAF" w:rsidP="00D73C1F">
      <w:pPr>
        <w:jc w:val="center"/>
        <w:rPr>
          <w:b/>
          <w:bCs/>
          <w:sz w:val="28"/>
          <w:szCs w:val="28"/>
          <w:rtl/>
        </w:rPr>
      </w:pPr>
      <w:bookmarkStart w:id="0" w:name="LGSName"/>
      <w:r>
        <w:rPr>
          <w:rStyle w:val="HeadHatzaotHok0"/>
          <w:rFonts w:hint="cs"/>
          <w:rtl/>
        </w:rPr>
        <w:t xml:space="preserve">חוק הסמכת שירות הביטחון הכללי לסייע במאמץ הלאומי לצמצום התפשטות נגיף הקורונה החדש (הוראת שעה) (תיקון), </w:t>
      </w:r>
      <w:proofErr w:type="spellStart"/>
      <w:r>
        <w:rPr>
          <w:rStyle w:val="HeadHatzaotHok0"/>
          <w:rFonts w:hint="cs"/>
          <w:rtl/>
        </w:rPr>
        <w:t>התש"ף</w:t>
      </w:r>
      <w:proofErr w:type="spellEnd"/>
      <w:r w:rsidR="00D73C1F">
        <w:rPr>
          <w:rStyle w:val="HeadHatzaotHok0"/>
          <w:rFonts w:hint="eastAsia"/>
          <w:rtl/>
        </w:rPr>
        <w:t>–</w:t>
      </w:r>
      <w:r>
        <w:rPr>
          <w:rStyle w:val="HeadHatzaotHok0"/>
          <w:rFonts w:hint="cs"/>
          <w:rtl/>
        </w:rPr>
        <w:t>2020</w:t>
      </w:r>
      <w:bookmarkEnd w:id="0"/>
      <w:r w:rsidR="008525E2">
        <w:rPr>
          <w:rStyle w:val="a8"/>
          <w:b/>
          <w:bCs/>
          <w:sz w:val="28"/>
          <w:szCs w:val="28"/>
          <w:rtl/>
        </w:rPr>
        <w:footnoteReference w:customMarkFollows="1" w:id="1"/>
        <w:t>*</w:t>
      </w:r>
    </w:p>
    <w:tbl>
      <w:tblPr>
        <w:bidiVisual/>
        <w:tblW w:w="9637" w:type="dxa"/>
        <w:tblLayout w:type="fixed"/>
        <w:tblCellMar>
          <w:top w:w="57" w:type="dxa"/>
          <w:left w:w="0" w:type="dxa"/>
          <w:bottom w:w="57" w:type="dxa"/>
          <w:right w:w="0" w:type="dxa"/>
        </w:tblCellMar>
        <w:tblLook w:val="0000" w:firstRow="0" w:lastRow="0" w:firstColumn="0" w:lastColumn="0" w:noHBand="0" w:noVBand="0"/>
      </w:tblPr>
      <w:tblGrid>
        <w:gridCol w:w="1870"/>
        <w:gridCol w:w="624"/>
        <w:gridCol w:w="624"/>
        <w:gridCol w:w="624"/>
        <w:gridCol w:w="624"/>
        <w:gridCol w:w="624"/>
        <w:gridCol w:w="4647"/>
      </w:tblGrid>
      <w:tr w:rsidR="00D73C1F" w:rsidRPr="005E4D82" w14:paraId="65C6B9F9" w14:textId="77777777" w:rsidTr="00D73C1F">
        <w:trPr>
          <w:cantSplit/>
        </w:trPr>
        <w:tc>
          <w:tcPr>
            <w:tcW w:w="1870" w:type="dxa"/>
            <w:shd w:val="clear" w:color="auto" w:fill="auto"/>
            <w:tcMar>
              <w:top w:w="91" w:type="dxa"/>
              <w:left w:w="0" w:type="dxa"/>
              <w:bottom w:w="91" w:type="dxa"/>
              <w:right w:w="0" w:type="dxa"/>
            </w:tcMar>
          </w:tcPr>
          <w:p w14:paraId="5EE757E0" w14:textId="77777777" w:rsidR="00D73C1F" w:rsidRPr="000E32E0" w:rsidRDefault="00D73C1F" w:rsidP="006C7437">
            <w:pPr>
              <w:pStyle w:val="TableSideHeading"/>
              <w:outlineLvl w:val="9"/>
              <w:rPr>
                <w:rtl/>
              </w:rPr>
            </w:pPr>
            <w:r w:rsidRPr="000E32E0">
              <w:rPr>
                <w:rFonts w:hint="cs"/>
                <w:rtl/>
              </w:rPr>
              <w:t>תיקון שם החוק</w:t>
            </w:r>
          </w:p>
        </w:tc>
        <w:tc>
          <w:tcPr>
            <w:tcW w:w="624" w:type="dxa"/>
            <w:shd w:val="clear" w:color="auto" w:fill="auto"/>
            <w:tcMar>
              <w:top w:w="91" w:type="dxa"/>
              <w:left w:w="0" w:type="dxa"/>
              <w:bottom w:w="91" w:type="dxa"/>
              <w:right w:w="0" w:type="dxa"/>
            </w:tcMar>
          </w:tcPr>
          <w:p w14:paraId="6C232695" w14:textId="77777777" w:rsidR="00D73C1F" w:rsidRPr="003D6C57" w:rsidRDefault="00D73C1F" w:rsidP="006C7437">
            <w:pPr>
              <w:pStyle w:val="TableText"/>
              <w:jc w:val="both"/>
              <w:rPr>
                <w:rtl/>
              </w:rPr>
            </w:pPr>
            <w:r>
              <w:rPr>
                <w:rFonts w:hint="cs"/>
                <w:rtl/>
              </w:rPr>
              <w:t>1.</w:t>
            </w:r>
          </w:p>
        </w:tc>
        <w:tc>
          <w:tcPr>
            <w:tcW w:w="7143" w:type="dxa"/>
            <w:gridSpan w:val="5"/>
            <w:shd w:val="clear" w:color="auto" w:fill="auto"/>
            <w:tcMar>
              <w:top w:w="91" w:type="dxa"/>
              <w:left w:w="0" w:type="dxa"/>
              <w:bottom w:w="91" w:type="dxa"/>
              <w:right w:w="0" w:type="dxa"/>
            </w:tcMar>
          </w:tcPr>
          <w:p w14:paraId="1B8C05C9" w14:textId="77777777" w:rsidR="00D73C1F" w:rsidRPr="005E4D82" w:rsidRDefault="00D73C1F" w:rsidP="00D73C1F">
            <w:pPr>
              <w:pStyle w:val="TableBlock"/>
              <w:rPr>
                <w:rFonts w:cs="Guttman Yad-Brush"/>
                <w:b/>
                <w:bCs/>
                <w:color w:val="0070C0"/>
                <w:sz w:val="18"/>
                <w:szCs w:val="18"/>
                <w:rtl/>
              </w:rPr>
            </w:pPr>
            <w:r>
              <w:rPr>
                <w:rFonts w:hint="cs"/>
                <w:rtl/>
              </w:rPr>
              <w:t xml:space="preserve">בחוק הסמכת שירות הביטחון הכללי לסייע במאמץ הלאומי לצמצום התפשטות נגיף הקורונה החדש (הוראת שעה), </w:t>
            </w:r>
            <w:proofErr w:type="spellStart"/>
            <w:r>
              <w:rPr>
                <w:rFonts w:hint="cs"/>
                <w:rtl/>
              </w:rPr>
              <w:t>התש"ף</w:t>
            </w:r>
            <w:proofErr w:type="spellEnd"/>
            <w:r>
              <w:rPr>
                <w:rFonts w:hint="eastAsia"/>
                <w:rtl/>
              </w:rPr>
              <w:t>–</w:t>
            </w:r>
            <w:r>
              <w:rPr>
                <w:rFonts w:hint="cs"/>
                <w:rtl/>
              </w:rPr>
              <w:t>2020</w:t>
            </w:r>
            <w:r w:rsidRPr="00D73C1F">
              <w:rPr>
                <w:rStyle w:val="a8"/>
                <w:rFonts w:ascii="David" w:hAnsi="David"/>
                <w:sz w:val="26"/>
                <w:rtl/>
              </w:rPr>
              <w:footnoteReference w:id="2"/>
            </w:r>
            <w:r>
              <w:rPr>
                <w:rFonts w:hint="cs"/>
                <w:rtl/>
              </w:rPr>
              <w:t xml:space="preserve"> (להלן </w:t>
            </w:r>
            <w:r>
              <w:rPr>
                <w:rtl/>
              </w:rPr>
              <w:t>–</w:t>
            </w:r>
            <w:r>
              <w:rPr>
                <w:rFonts w:hint="cs"/>
                <w:rtl/>
              </w:rPr>
              <w:t xml:space="preserve"> החוק העיקרי), בשם החוק, אחרי "נגיף הקורונה החדש" יבוא "וקידום השימוש </w:t>
            </w:r>
            <w:r w:rsidRPr="00E1045F">
              <w:rPr>
                <w:rFonts w:hint="cs"/>
                <w:rtl/>
              </w:rPr>
              <w:t xml:space="preserve">בטכנולוגיה אזרחית </w:t>
            </w:r>
            <w:r>
              <w:rPr>
                <w:rFonts w:hint="cs"/>
                <w:rtl/>
              </w:rPr>
              <w:t xml:space="preserve">לאיתור מי שהיו במגע קרוב עם חולים". </w:t>
            </w:r>
          </w:p>
        </w:tc>
      </w:tr>
      <w:tr w:rsidR="00D73C1F" w:rsidRPr="00724CF1" w14:paraId="7F244514" w14:textId="77777777" w:rsidTr="00D73C1F">
        <w:trPr>
          <w:cantSplit/>
        </w:trPr>
        <w:tc>
          <w:tcPr>
            <w:tcW w:w="1870" w:type="dxa"/>
            <w:shd w:val="clear" w:color="auto" w:fill="auto"/>
            <w:tcMar>
              <w:top w:w="91" w:type="dxa"/>
              <w:left w:w="0" w:type="dxa"/>
              <w:bottom w:w="91" w:type="dxa"/>
              <w:right w:w="0" w:type="dxa"/>
            </w:tcMar>
          </w:tcPr>
          <w:p w14:paraId="13D96A04" w14:textId="77777777" w:rsidR="00D73C1F" w:rsidRPr="0075251B" w:rsidRDefault="00D73C1F" w:rsidP="006C7437">
            <w:pPr>
              <w:pStyle w:val="TableSideHeading"/>
              <w:outlineLvl w:val="9"/>
              <w:rPr>
                <w:rtl/>
              </w:rPr>
            </w:pPr>
            <w:r w:rsidRPr="0075251B">
              <w:rPr>
                <w:rFonts w:hint="eastAsia"/>
                <w:rtl/>
              </w:rPr>
              <w:t>תיקון</w:t>
            </w:r>
            <w:r w:rsidRPr="0075251B">
              <w:rPr>
                <w:rtl/>
              </w:rPr>
              <w:t xml:space="preserve"> </w:t>
            </w:r>
            <w:r w:rsidRPr="0075251B">
              <w:rPr>
                <w:rFonts w:hint="eastAsia"/>
                <w:rtl/>
              </w:rPr>
              <w:t>סעיף</w:t>
            </w:r>
            <w:r w:rsidRPr="0075251B">
              <w:rPr>
                <w:rtl/>
              </w:rPr>
              <w:t xml:space="preserve"> 1</w:t>
            </w:r>
          </w:p>
        </w:tc>
        <w:tc>
          <w:tcPr>
            <w:tcW w:w="624" w:type="dxa"/>
            <w:shd w:val="clear" w:color="auto" w:fill="auto"/>
            <w:tcMar>
              <w:top w:w="91" w:type="dxa"/>
              <w:left w:w="0" w:type="dxa"/>
              <w:bottom w:w="91" w:type="dxa"/>
              <w:right w:w="0" w:type="dxa"/>
            </w:tcMar>
          </w:tcPr>
          <w:p w14:paraId="16C4C5CA" w14:textId="77777777" w:rsidR="00D73C1F" w:rsidRPr="00E510DA" w:rsidRDefault="00D73C1F" w:rsidP="006C7437">
            <w:pPr>
              <w:pStyle w:val="TableText"/>
              <w:jc w:val="both"/>
              <w:rPr>
                <w:rtl/>
              </w:rPr>
            </w:pPr>
            <w:r w:rsidRPr="0075251B">
              <w:rPr>
                <w:rFonts w:hint="cs"/>
                <w:rtl/>
              </w:rPr>
              <w:t>2.</w:t>
            </w:r>
          </w:p>
        </w:tc>
        <w:tc>
          <w:tcPr>
            <w:tcW w:w="7143" w:type="dxa"/>
            <w:gridSpan w:val="5"/>
            <w:shd w:val="clear" w:color="auto" w:fill="auto"/>
            <w:tcMar>
              <w:top w:w="91" w:type="dxa"/>
              <w:left w:w="0" w:type="dxa"/>
              <w:bottom w:w="91" w:type="dxa"/>
              <w:right w:w="0" w:type="dxa"/>
            </w:tcMar>
          </w:tcPr>
          <w:p w14:paraId="15E4A1EA" w14:textId="77777777" w:rsidR="00D73C1F" w:rsidRPr="00724CF1" w:rsidRDefault="00D73C1F" w:rsidP="00D73C1F">
            <w:pPr>
              <w:pStyle w:val="TableBlock"/>
              <w:rPr>
                <w:rtl/>
              </w:rPr>
            </w:pPr>
            <w:r w:rsidRPr="00E510DA">
              <w:rPr>
                <w:rFonts w:hint="cs"/>
                <w:rtl/>
              </w:rPr>
              <w:t>בסעיף 1 לחוק העיקרי, בסופו יבוא "</w:t>
            </w:r>
            <w:r w:rsidRPr="0075251B">
              <w:rPr>
                <w:rFonts w:hint="cs"/>
                <w:rtl/>
              </w:rPr>
              <w:t xml:space="preserve">ובד בבד קידום והטמעה של </w:t>
            </w:r>
            <w:r w:rsidRPr="00E510DA">
              <w:rPr>
                <w:rFonts w:hint="cs"/>
                <w:rtl/>
              </w:rPr>
              <w:t>השימוש בקרב הציבור בטכנולוגיה אזרחית לאיתור מי שהיו במגע קרוב עם חולים</w:t>
            </w:r>
            <w:r w:rsidRPr="00724CF1">
              <w:rPr>
                <w:rFonts w:hint="cs"/>
                <w:rtl/>
              </w:rPr>
              <w:t>".</w:t>
            </w:r>
          </w:p>
        </w:tc>
      </w:tr>
      <w:tr w:rsidR="00D73C1F" w:rsidRPr="001B0B46" w14:paraId="2B7BDE6D" w14:textId="77777777" w:rsidTr="00D73C1F">
        <w:trPr>
          <w:cantSplit/>
        </w:trPr>
        <w:tc>
          <w:tcPr>
            <w:tcW w:w="1870" w:type="dxa"/>
            <w:shd w:val="clear" w:color="auto" w:fill="auto"/>
            <w:tcMar>
              <w:top w:w="91" w:type="dxa"/>
              <w:left w:w="0" w:type="dxa"/>
              <w:bottom w:w="91" w:type="dxa"/>
              <w:right w:w="0" w:type="dxa"/>
            </w:tcMar>
          </w:tcPr>
          <w:p w14:paraId="2D7AFD83" w14:textId="77777777" w:rsidR="00D73C1F" w:rsidRPr="000E32E0" w:rsidRDefault="00D73C1F" w:rsidP="006C7437">
            <w:pPr>
              <w:pStyle w:val="TableSideHeading"/>
              <w:outlineLvl w:val="9"/>
              <w:rPr>
                <w:rtl/>
              </w:rPr>
            </w:pPr>
            <w:r w:rsidRPr="000E32E0">
              <w:rPr>
                <w:rFonts w:hint="cs"/>
                <w:rtl/>
              </w:rPr>
              <w:t>תיקון סעיף 2</w:t>
            </w:r>
          </w:p>
        </w:tc>
        <w:tc>
          <w:tcPr>
            <w:tcW w:w="624" w:type="dxa"/>
            <w:shd w:val="clear" w:color="auto" w:fill="auto"/>
            <w:tcMar>
              <w:top w:w="91" w:type="dxa"/>
              <w:left w:w="0" w:type="dxa"/>
              <w:bottom w:w="91" w:type="dxa"/>
              <w:right w:w="0" w:type="dxa"/>
            </w:tcMar>
          </w:tcPr>
          <w:p w14:paraId="625C5E22" w14:textId="77777777" w:rsidR="00D73C1F" w:rsidRDefault="00D73C1F" w:rsidP="006C7437">
            <w:pPr>
              <w:pStyle w:val="TableText"/>
              <w:jc w:val="both"/>
              <w:rPr>
                <w:rtl/>
              </w:rPr>
            </w:pPr>
            <w:r>
              <w:rPr>
                <w:rFonts w:hint="cs"/>
                <w:rtl/>
              </w:rPr>
              <w:t>3.</w:t>
            </w:r>
          </w:p>
        </w:tc>
        <w:tc>
          <w:tcPr>
            <w:tcW w:w="7143" w:type="dxa"/>
            <w:gridSpan w:val="5"/>
            <w:shd w:val="clear" w:color="auto" w:fill="auto"/>
            <w:tcMar>
              <w:top w:w="91" w:type="dxa"/>
              <w:left w:w="0" w:type="dxa"/>
              <w:bottom w:w="91" w:type="dxa"/>
              <w:right w:w="0" w:type="dxa"/>
            </w:tcMar>
          </w:tcPr>
          <w:p w14:paraId="0C942C80" w14:textId="77777777" w:rsidR="00D73C1F" w:rsidRPr="001B0B46" w:rsidRDefault="00D73C1F" w:rsidP="00D73C1F">
            <w:pPr>
              <w:pStyle w:val="TableBlock"/>
              <w:rPr>
                <w:rtl/>
              </w:rPr>
            </w:pPr>
            <w:r w:rsidRPr="001B0B46">
              <w:rPr>
                <w:rFonts w:hint="cs"/>
                <w:rtl/>
              </w:rPr>
              <w:t>בסעיף 2 לחוק העיקרי, בהגדרה "פרטי בקשה לקבלת סיוע", במקום פסקה (6) יבוא:</w:t>
            </w:r>
          </w:p>
        </w:tc>
      </w:tr>
      <w:tr w:rsidR="00D73C1F" w:rsidRPr="001B0B46" w14:paraId="4AC92A04" w14:textId="77777777" w:rsidTr="00D73C1F">
        <w:trPr>
          <w:cantSplit/>
        </w:trPr>
        <w:tc>
          <w:tcPr>
            <w:tcW w:w="1870" w:type="dxa"/>
            <w:shd w:val="clear" w:color="auto" w:fill="auto"/>
            <w:tcMar>
              <w:top w:w="91" w:type="dxa"/>
              <w:left w:w="0" w:type="dxa"/>
              <w:bottom w:w="91" w:type="dxa"/>
              <w:right w:w="0" w:type="dxa"/>
            </w:tcMar>
          </w:tcPr>
          <w:p w14:paraId="4A10D0B7" w14:textId="77777777" w:rsidR="00D73C1F" w:rsidRPr="000E32E0" w:rsidRDefault="00D73C1F" w:rsidP="006C7437">
            <w:pPr>
              <w:pStyle w:val="TableSideHeading"/>
              <w:outlineLvl w:val="9"/>
              <w:rPr>
                <w:rtl/>
              </w:rPr>
            </w:pPr>
          </w:p>
        </w:tc>
        <w:tc>
          <w:tcPr>
            <w:tcW w:w="624" w:type="dxa"/>
            <w:shd w:val="clear" w:color="auto" w:fill="auto"/>
            <w:tcMar>
              <w:top w:w="91" w:type="dxa"/>
              <w:left w:w="0" w:type="dxa"/>
              <w:bottom w:w="91" w:type="dxa"/>
              <w:right w:w="0" w:type="dxa"/>
            </w:tcMar>
          </w:tcPr>
          <w:p w14:paraId="0223E383" w14:textId="77777777" w:rsidR="00D73C1F" w:rsidRDefault="00D73C1F" w:rsidP="006C7437">
            <w:pPr>
              <w:pStyle w:val="TableText"/>
              <w:jc w:val="both"/>
              <w:rPr>
                <w:rtl/>
              </w:rPr>
            </w:pPr>
          </w:p>
        </w:tc>
        <w:tc>
          <w:tcPr>
            <w:tcW w:w="7143" w:type="dxa"/>
            <w:gridSpan w:val="5"/>
            <w:shd w:val="clear" w:color="auto" w:fill="auto"/>
            <w:tcMar>
              <w:top w:w="91" w:type="dxa"/>
              <w:left w:w="0" w:type="dxa"/>
              <w:bottom w:w="91" w:type="dxa"/>
              <w:right w:w="0" w:type="dxa"/>
            </w:tcMar>
          </w:tcPr>
          <w:p w14:paraId="35DBC2B3" w14:textId="77777777" w:rsidR="00D73C1F" w:rsidRPr="001B0B46" w:rsidRDefault="00D73C1F" w:rsidP="00D73C1F">
            <w:pPr>
              <w:pStyle w:val="TableBlock"/>
              <w:rPr>
                <w:rtl/>
              </w:rPr>
            </w:pPr>
            <w:r w:rsidRPr="001B0B46">
              <w:rPr>
                <w:rFonts w:hint="cs"/>
                <w:rtl/>
              </w:rPr>
              <w:t>"(6)</w:t>
            </w:r>
            <w:r w:rsidRPr="001B0B46">
              <w:rPr>
                <w:rtl/>
              </w:rPr>
              <w:tab/>
            </w:r>
            <w:r w:rsidRPr="001B0B46">
              <w:rPr>
                <w:rFonts w:hint="cs"/>
                <w:rtl/>
              </w:rPr>
              <w:t xml:space="preserve">התאריך שממנו נדרשת הבדיקה </w:t>
            </w:r>
            <w:r w:rsidRPr="00F2199E">
              <w:rPr>
                <w:rFonts w:hint="eastAsia"/>
                <w:rtl/>
              </w:rPr>
              <w:t>שחל</w:t>
            </w:r>
            <w:r w:rsidRPr="00F2199E">
              <w:rPr>
                <w:rtl/>
              </w:rPr>
              <w:t xml:space="preserve"> </w:t>
            </w:r>
            <w:r w:rsidRPr="00F2199E">
              <w:rPr>
                <w:rFonts w:hint="cs"/>
                <w:rtl/>
              </w:rPr>
              <w:t xml:space="preserve">עד </w:t>
            </w:r>
            <w:r w:rsidRPr="00F2199E">
              <w:rPr>
                <w:rtl/>
              </w:rPr>
              <w:t xml:space="preserve">14 ימים לפני תאריך אבחונו כחולה ולפי ההנחיות המקצועיות של </w:t>
            </w:r>
            <w:r w:rsidRPr="00F2199E">
              <w:rPr>
                <w:rFonts w:hint="eastAsia"/>
                <w:rtl/>
              </w:rPr>
              <w:t>נציג</w:t>
            </w:r>
            <w:r w:rsidRPr="00F2199E">
              <w:rPr>
                <w:rtl/>
              </w:rPr>
              <w:t xml:space="preserve"> </w:t>
            </w:r>
            <w:r w:rsidRPr="00F2199E">
              <w:rPr>
                <w:rFonts w:hint="eastAsia"/>
                <w:rtl/>
              </w:rPr>
              <w:t>משרד</w:t>
            </w:r>
            <w:r w:rsidRPr="00F2199E">
              <w:rPr>
                <w:rtl/>
              </w:rPr>
              <w:t xml:space="preserve"> </w:t>
            </w:r>
            <w:r w:rsidRPr="00F2199E">
              <w:rPr>
                <w:rFonts w:hint="eastAsia"/>
                <w:rtl/>
              </w:rPr>
              <w:t>הבריאות</w:t>
            </w:r>
            <w:r w:rsidRPr="001B0B46">
              <w:rPr>
                <w:rFonts w:hint="cs"/>
                <w:rtl/>
              </w:rPr>
              <w:t>;".</w:t>
            </w:r>
          </w:p>
        </w:tc>
      </w:tr>
      <w:tr w:rsidR="00D73C1F" w:rsidRPr="003D6C57" w14:paraId="42D7DFB0" w14:textId="77777777" w:rsidTr="00D73C1F">
        <w:trPr>
          <w:cantSplit/>
        </w:trPr>
        <w:tc>
          <w:tcPr>
            <w:tcW w:w="1870" w:type="dxa"/>
            <w:shd w:val="clear" w:color="auto" w:fill="auto"/>
            <w:tcMar>
              <w:top w:w="91" w:type="dxa"/>
              <w:left w:w="0" w:type="dxa"/>
              <w:bottom w:w="91" w:type="dxa"/>
              <w:right w:w="0" w:type="dxa"/>
            </w:tcMar>
          </w:tcPr>
          <w:p w14:paraId="225DB5E5" w14:textId="77777777" w:rsidR="00D73C1F" w:rsidRPr="003D6C57" w:rsidRDefault="00D73C1F" w:rsidP="006C7437">
            <w:pPr>
              <w:pStyle w:val="TableSideHeading"/>
              <w:outlineLvl w:val="9"/>
              <w:rPr>
                <w:rtl/>
              </w:rPr>
            </w:pPr>
            <w:r>
              <w:rPr>
                <w:rFonts w:hint="cs"/>
                <w:rtl/>
              </w:rPr>
              <w:t>החלפת סעיף 3 והוספת סעיף 3א</w:t>
            </w:r>
          </w:p>
        </w:tc>
        <w:tc>
          <w:tcPr>
            <w:tcW w:w="624" w:type="dxa"/>
            <w:shd w:val="clear" w:color="auto" w:fill="auto"/>
            <w:tcMar>
              <w:top w:w="91" w:type="dxa"/>
              <w:left w:w="0" w:type="dxa"/>
              <w:bottom w:w="91" w:type="dxa"/>
              <w:right w:w="0" w:type="dxa"/>
            </w:tcMar>
          </w:tcPr>
          <w:p w14:paraId="0017CEE3" w14:textId="77777777" w:rsidR="00D73C1F" w:rsidRPr="003D6C57" w:rsidRDefault="00D73C1F" w:rsidP="006C7437">
            <w:pPr>
              <w:pStyle w:val="TableText"/>
              <w:jc w:val="both"/>
              <w:rPr>
                <w:rtl/>
              </w:rPr>
            </w:pPr>
            <w:r>
              <w:rPr>
                <w:rFonts w:hint="cs"/>
                <w:rtl/>
              </w:rPr>
              <w:t>4</w:t>
            </w:r>
            <w:r w:rsidRPr="003D6C57">
              <w:rPr>
                <w:rtl/>
              </w:rPr>
              <w:t>.</w:t>
            </w:r>
            <w:r w:rsidRPr="003D6C57">
              <w:rPr>
                <w:rtl/>
              </w:rPr>
              <w:tab/>
            </w:r>
          </w:p>
        </w:tc>
        <w:tc>
          <w:tcPr>
            <w:tcW w:w="7143" w:type="dxa"/>
            <w:gridSpan w:val="5"/>
            <w:shd w:val="clear" w:color="auto" w:fill="auto"/>
            <w:tcMar>
              <w:top w:w="91" w:type="dxa"/>
              <w:left w:w="0" w:type="dxa"/>
              <w:bottom w:w="91" w:type="dxa"/>
              <w:right w:w="0" w:type="dxa"/>
            </w:tcMar>
          </w:tcPr>
          <w:p w14:paraId="2C6892E3" w14:textId="77777777" w:rsidR="00D73C1F" w:rsidRPr="003D6C57" w:rsidRDefault="00D73C1F" w:rsidP="00D73C1F">
            <w:pPr>
              <w:pStyle w:val="TableBlock"/>
              <w:rPr>
                <w:rtl/>
              </w:rPr>
            </w:pPr>
            <w:r>
              <w:rPr>
                <w:rFonts w:hint="cs"/>
                <w:rtl/>
              </w:rPr>
              <w:t>במקום סעיף 3 לחוק העיקרי יבוא:</w:t>
            </w:r>
          </w:p>
        </w:tc>
      </w:tr>
      <w:tr w:rsidR="00D73C1F" w14:paraId="268F5726" w14:textId="77777777" w:rsidTr="00D73C1F">
        <w:tblPrEx>
          <w:tblLook w:val="01E0" w:firstRow="1" w:lastRow="1" w:firstColumn="1" w:lastColumn="1" w:noHBand="0" w:noVBand="0"/>
        </w:tblPrEx>
        <w:trPr>
          <w:cantSplit/>
        </w:trPr>
        <w:tc>
          <w:tcPr>
            <w:tcW w:w="1870" w:type="dxa"/>
          </w:tcPr>
          <w:p w14:paraId="6EAD4684" w14:textId="77777777" w:rsidR="00D73C1F" w:rsidRDefault="00D73C1F" w:rsidP="006C7437">
            <w:pPr>
              <w:pStyle w:val="TableSideHeading"/>
              <w:keepLines w:val="0"/>
            </w:pPr>
          </w:p>
        </w:tc>
        <w:tc>
          <w:tcPr>
            <w:tcW w:w="624" w:type="dxa"/>
          </w:tcPr>
          <w:p w14:paraId="08771F28" w14:textId="77777777" w:rsidR="00D73C1F" w:rsidRDefault="00D73C1F" w:rsidP="006C7437">
            <w:pPr>
              <w:pStyle w:val="TableText"/>
              <w:keepLines w:val="0"/>
            </w:pPr>
          </w:p>
        </w:tc>
        <w:tc>
          <w:tcPr>
            <w:tcW w:w="1872" w:type="dxa"/>
            <w:gridSpan w:val="3"/>
          </w:tcPr>
          <w:p w14:paraId="5CF2F5E8" w14:textId="77777777" w:rsidR="00D73C1F" w:rsidRPr="006954AC" w:rsidRDefault="00D73C1F" w:rsidP="006C7437">
            <w:pPr>
              <w:pStyle w:val="TableInnerSideHeading"/>
            </w:pPr>
            <w:r>
              <w:rPr>
                <w:rFonts w:hint="cs"/>
                <w:rtl/>
              </w:rPr>
              <w:t>"הכרזה על הסמכת השירות</w:t>
            </w:r>
          </w:p>
        </w:tc>
        <w:tc>
          <w:tcPr>
            <w:tcW w:w="624" w:type="dxa"/>
          </w:tcPr>
          <w:p w14:paraId="6FD09DD8" w14:textId="77777777" w:rsidR="00D73C1F" w:rsidRDefault="00D73C1F" w:rsidP="006C7437">
            <w:pPr>
              <w:pStyle w:val="TableText"/>
            </w:pPr>
            <w:r>
              <w:rPr>
                <w:rFonts w:hint="cs"/>
                <w:rtl/>
              </w:rPr>
              <w:t>3.</w:t>
            </w:r>
          </w:p>
        </w:tc>
        <w:tc>
          <w:tcPr>
            <w:tcW w:w="4647" w:type="dxa"/>
          </w:tcPr>
          <w:p w14:paraId="31445C22" w14:textId="40D7648D" w:rsidR="00D73C1F" w:rsidRDefault="00D73C1F" w:rsidP="00D73C1F">
            <w:pPr>
              <w:pStyle w:val="TableBlock"/>
            </w:pPr>
            <w:r>
              <w:rPr>
                <w:rFonts w:hint="cs"/>
                <w:rtl/>
              </w:rPr>
              <w:t>(א)</w:t>
            </w:r>
            <w:r>
              <w:rPr>
                <w:rtl/>
              </w:rPr>
              <w:tab/>
            </w:r>
            <w:r w:rsidRPr="00F2199E">
              <w:rPr>
                <w:rtl/>
              </w:rPr>
              <w:t>שוכנעה</w:t>
            </w:r>
            <w:r w:rsidRPr="000E32E0">
              <w:rPr>
                <w:rtl/>
              </w:rPr>
              <w:t xml:space="preserve"> </w:t>
            </w:r>
            <w:r w:rsidRPr="006954AC">
              <w:rPr>
                <w:rtl/>
              </w:rPr>
              <w:t xml:space="preserve">הממשלה </w:t>
            </w:r>
            <w:r w:rsidRPr="000E32E0">
              <w:rPr>
                <w:rtl/>
              </w:rPr>
              <w:t xml:space="preserve">כי בשל חשש להתפשטות רחבת היקף של המחלה </w:t>
            </w:r>
            <w:r>
              <w:rPr>
                <w:rFonts w:hint="cs"/>
                <w:rtl/>
              </w:rPr>
              <w:t>יש</w:t>
            </w:r>
            <w:r w:rsidRPr="000E32E0">
              <w:rPr>
                <w:rtl/>
              </w:rPr>
              <w:t xml:space="preserve"> צורך </w:t>
            </w:r>
            <w:proofErr w:type="spellStart"/>
            <w:r w:rsidRPr="000E32E0">
              <w:rPr>
                <w:rtl/>
              </w:rPr>
              <w:t>מיידי</w:t>
            </w:r>
            <w:proofErr w:type="spellEnd"/>
            <w:r w:rsidRPr="000E32E0">
              <w:rPr>
                <w:rtl/>
              </w:rPr>
              <w:t xml:space="preserve"> וממשי בהסתייעות בשירות</w:t>
            </w:r>
            <w:r>
              <w:rPr>
                <w:rFonts w:hint="cs"/>
                <w:rtl/>
              </w:rPr>
              <w:t>,</w:t>
            </w:r>
            <w:r w:rsidRPr="006954AC">
              <w:rPr>
                <w:rtl/>
              </w:rPr>
              <w:t xml:space="preserve"> </w:t>
            </w:r>
            <w:r w:rsidRPr="00647E30">
              <w:rPr>
                <w:rtl/>
              </w:rPr>
              <w:t xml:space="preserve">רשאית </w:t>
            </w:r>
            <w:r>
              <w:rPr>
                <w:rFonts w:hint="cs"/>
                <w:rtl/>
              </w:rPr>
              <w:t xml:space="preserve">היא </w:t>
            </w:r>
            <w:r w:rsidRPr="00647E30">
              <w:rPr>
                <w:rtl/>
              </w:rPr>
              <w:t xml:space="preserve">להכריז על הסמכת השירות לבצע פעולות </w:t>
            </w:r>
            <w:r>
              <w:rPr>
                <w:rFonts w:hint="cs"/>
                <w:rtl/>
              </w:rPr>
              <w:t xml:space="preserve">סיוע כאמור בסעיף 5, </w:t>
            </w:r>
            <w:r w:rsidRPr="00647E30">
              <w:rPr>
                <w:rtl/>
              </w:rPr>
              <w:t>לש</w:t>
            </w:r>
            <w:r>
              <w:rPr>
                <w:rtl/>
              </w:rPr>
              <w:t xml:space="preserve">ם איתור מי שהיו עלולים </w:t>
            </w:r>
            <w:r w:rsidRPr="00A84A3D">
              <w:rPr>
                <w:rtl/>
              </w:rPr>
              <w:t>להידבק מחולים</w:t>
            </w:r>
            <w:r w:rsidRPr="00A84A3D">
              <w:rPr>
                <w:rFonts w:hint="cs"/>
                <w:rtl/>
              </w:rPr>
              <w:t>,</w:t>
            </w:r>
            <w:r>
              <w:rPr>
                <w:rFonts w:hint="cs"/>
                <w:rtl/>
              </w:rPr>
              <w:t xml:space="preserve"> </w:t>
            </w:r>
            <w:r w:rsidRPr="00647E30">
              <w:rPr>
                <w:rtl/>
              </w:rPr>
              <w:t xml:space="preserve">לצורך סיוע למשרד הבריאות בביצוע חקירות אפידמיולוגיות </w:t>
            </w:r>
            <w:r>
              <w:rPr>
                <w:rFonts w:hint="cs"/>
                <w:rtl/>
              </w:rPr>
              <w:t>למטרת</w:t>
            </w:r>
            <w:r w:rsidRPr="00647E30">
              <w:rPr>
                <w:rtl/>
              </w:rPr>
              <w:t xml:space="preserve"> זיהוי נתוני מיקומם של חולים בתקופה של</w:t>
            </w:r>
            <w:r>
              <w:rPr>
                <w:rFonts w:hint="cs"/>
                <w:rtl/>
              </w:rPr>
              <w:t xml:space="preserve"> עד </w:t>
            </w:r>
            <w:r w:rsidRPr="001B0B46">
              <w:rPr>
                <w:rtl/>
              </w:rPr>
              <w:t>14 ימים</w:t>
            </w:r>
            <w:r w:rsidRPr="001B0B46">
              <w:rPr>
                <w:rFonts w:hint="cs"/>
                <w:rtl/>
              </w:rPr>
              <w:t xml:space="preserve"> </w:t>
            </w:r>
            <w:r>
              <w:rPr>
                <w:rFonts w:hint="cs"/>
                <w:rtl/>
              </w:rPr>
              <w:t xml:space="preserve">ולפי </w:t>
            </w:r>
            <w:r w:rsidR="00B23452">
              <w:rPr>
                <w:rFonts w:hint="cs"/>
                <w:rtl/>
              </w:rPr>
              <w:t>ה</w:t>
            </w:r>
            <w:r>
              <w:rPr>
                <w:rFonts w:hint="cs"/>
                <w:rtl/>
              </w:rPr>
              <w:t xml:space="preserve">הנחיות המקצועיות של </w:t>
            </w:r>
            <w:r w:rsidRPr="00A84A3D">
              <w:rPr>
                <w:rFonts w:hint="cs"/>
                <w:rtl/>
              </w:rPr>
              <w:t xml:space="preserve">נציג משרד </w:t>
            </w:r>
            <w:r>
              <w:rPr>
                <w:rFonts w:hint="cs"/>
                <w:rtl/>
              </w:rPr>
              <w:t>הבריאות,</w:t>
            </w:r>
            <w:r w:rsidRPr="00647E30">
              <w:rPr>
                <w:rtl/>
              </w:rPr>
              <w:t xml:space="preserve"> לפני תאריך אבחונם במחלה וזיהוי האנשים שבאו במגע קרוב עם החולים בתקופה האמורה</w:t>
            </w:r>
            <w:r>
              <w:rPr>
                <w:rFonts w:hint="cs"/>
                <w:rtl/>
              </w:rPr>
              <w:t xml:space="preserve"> (בחוק זה </w:t>
            </w:r>
            <w:r>
              <w:rPr>
                <w:rtl/>
              </w:rPr>
              <w:t>–</w:t>
            </w:r>
            <w:r>
              <w:rPr>
                <w:rFonts w:hint="cs"/>
                <w:rtl/>
              </w:rPr>
              <w:t xml:space="preserve"> הכרזה).</w:t>
            </w:r>
          </w:p>
        </w:tc>
      </w:tr>
      <w:tr w:rsidR="00D73C1F" w14:paraId="619AF83E" w14:textId="77777777" w:rsidTr="00D73C1F">
        <w:tblPrEx>
          <w:tblLook w:val="01E0" w:firstRow="1" w:lastRow="1" w:firstColumn="1" w:lastColumn="1" w:noHBand="0" w:noVBand="0"/>
        </w:tblPrEx>
        <w:trPr>
          <w:cantSplit/>
        </w:trPr>
        <w:tc>
          <w:tcPr>
            <w:tcW w:w="1870" w:type="dxa"/>
          </w:tcPr>
          <w:p w14:paraId="640F1BA1" w14:textId="77777777" w:rsidR="00D73C1F" w:rsidRDefault="00D73C1F" w:rsidP="006C7437">
            <w:pPr>
              <w:pStyle w:val="TableSideHeading"/>
            </w:pPr>
          </w:p>
        </w:tc>
        <w:tc>
          <w:tcPr>
            <w:tcW w:w="624" w:type="dxa"/>
          </w:tcPr>
          <w:p w14:paraId="32A3CCA0" w14:textId="77777777" w:rsidR="00D73C1F" w:rsidRDefault="00D73C1F" w:rsidP="006C7437">
            <w:pPr>
              <w:pStyle w:val="TableText"/>
            </w:pPr>
          </w:p>
        </w:tc>
        <w:tc>
          <w:tcPr>
            <w:tcW w:w="624" w:type="dxa"/>
          </w:tcPr>
          <w:p w14:paraId="50EDE77F" w14:textId="77777777" w:rsidR="00D73C1F" w:rsidRDefault="00D73C1F" w:rsidP="006C7437">
            <w:pPr>
              <w:pStyle w:val="TableText"/>
            </w:pPr>
          </w:p>
        </w:tc>
        <w:tc>
          <w:tcPr>
            <w:tcW w:w="624" w:type="dxa"/>
          </w:tcPr>
          <w:p w14:paraId="51D6D704" w14:textId="77777777" w:rsidR="00D73C1F" w:rsidRDefault="00D73C1F" w:rsidP="006C7437">
            <w:pPr>
              <w:pStyle w:val="TableText"/>
            </w:pPr>
          </w:p>
        </w:tc>
        <w:tc>
          <w:tcPr>
            <w:tcW w:w="624" w:type="dxa"/>
          </w:tcPr>
          <w:p w14:paraId="3A03932A" w14:textId="77777777" w:rsidR="00D73C1F" w:rsidRDefault="00D73C1F" w:rsidP="006C7437">
            <w:pPr>
              <w:pStyle w:val="TableText"/>
            </w:pPr>
          </w:p>
        </w:tc>
        <w:tc>
          <w:tcPr>
            <w:tcW w:w="624" w:type="dxa"/>
          </w:tcPr>
          <w:p w14:paraId="36317C83" w14:textId="77777777" w:rsidR="00D73C1F" w:rsidRDefault="00D73C1F" w:rsidP="006C7437">
            <w:pPr>
              <w:pStyle w:val="TableText"/>
            </w:pPr>
          </w:p>
        </w:tc>
        <w:tc>
          <w:tcPr>
            <w:tcW w:w="4647" w:type="dxa"/>
          </w:tcPr>
          <w:p w14:paraId="238287A8" w14:textId="0987300D" w:rsidR="00D73C1F" w:rsidRPr="00B23452" w:rsidRDefault="00D73C1F" w:rsidP="00D73C1F">
            <w:pPr>
              <w:pStyle w:val="TableBlock"/>
              <w:rPr>
                <w:sz w:val="26"/>
              </w:rPr>
            </w:pPr>
            <w:r w:rsidRPr="006954AC">
              <w:rPr>
                <w:rFonts w:hint="cs"/>
                <w:rtl/>
              </w:rPr>
              <w:t>(ב)</w:t>
            </w:r>
            <w:r w:rsidRPr="006954AC">
              <w:rPr>
                <w:rtl/>
              </w:rPr>
              <w:tab/>
            </w:r>
            <w:r w:rsidRPr="00F2199E">
              <w:rPr>
                <w:rFonts w:hint="eastAsia"/>
                <w:rtl/>
              </w:rPr>
              <w:t>הממשלה</w:t>
            </w:r>
            <w:r w:rsidRPr="00F2199E">
              <w:rPr>
                <w:rtl/>
              </w:rPr>
              <w:t xml:space="preserve"> </w:t>
            </w:r>
            <w:r w:rsidRPr="00F2199E">
              <w:rPr>
                <w:rFonts w:hint="eastAsia"/>
                <w:rtl/>
              </w:rPr>
              <w:t>לא</w:t>
            </w:r>
            <w:r w:rsidRPr="00F2199E">
              <w:rPr>
                <w:rtl/>
              </w:rPr>
              <w:t xml:space="preserve"> </w:t>
            </w:r>
            <w:r w:rsidRPr="00F2199E">
              <w:rPr>
                <w:rFonts w:hint="eastAsia"/>
                <w:rtl/>
              </w:rPr>
              <w:t>תכריז</w:t>
            </w:r>
            <w:r w:rsidRPr="00F2199E">
              <w:rPr>
                <w:rtl/>
              </w:rPr>
              <w:t xml:space="preserve"> </w:t>
            </w:r>
            <w:r w:rsidRPr="00F2199E">
              <w:rPr>
                <w:rFonts w:hint="eastAsia"/>
                <w:rtl/>
              </w:rPr>
              <w:t>כאמור</w:t>
            </w:r>
            <w:r w:rsidRPr="00F2199E">
              <w:rPr>
                <w:rtl/>
              </w:rPr>
              <w:t xml:space="preserve"> </w:t>
            </w:r>
            <w:r w:rsidRPr="00F2199E">
              <w:rPr>
                <w:rFonts w:hint="eastAsia"/>
                <w:rtl/>
              </w:rPr>
              <w:t>בסעיף</w:t>
            </w:r>
            <w:r w:rsidRPr="00F2199E">
              <w:rPr>
                <w:rtl/>
              </w:rPr>
              <w:t xml:space="preserve"> </w:t>
            </w:r>
            <w:r w:rsidRPr="00F2199E">
              <w:rPr>
                <w:rFonts w:hint="eastAsia"/>
                <w:rtl/>
              </w:rPr>
              <w:t>קטן</w:t>
            </w:r>
            <w:r w:rsidRPr="00F2199E">
              <w:rPr>
                <w:rtl/>
              </w:rPr>
              <w:t xml:space="preserve"> (</w:t>
            </w:r>
            <w:r w:rsidRPr="00F2199E">
              <w:rPr>
                <w:rFonts w:hint="eastAsia"/>
                <w:rtl/>
              </w:rPr>
              <w:t>א</w:t>
            </w:r>
            <w:r w:rsidRPr="00F2199E">
              <w:rPr>
                <w:rtl/>
              </w:rPr>
              <w:t xml:space="preserve">) </w:t>
            </w:r>
            <w:r w:rsidRPr="00F2199E">
              <w:rPr>
                <w:rFonts w:hint="eastAsia"/>
                <w:rtl/>
              </w:rPr>
              <w:t>אלא</w:t>
            </w:r>
            <w:r w:rsidRPr="00F2199E">
              <w:rPr>
                <w:rtl/>
              </w:rPr>
              <w:t xml:space="preserve"> </w:t>
            </w:r>
            <w:r w:rsidRPr="00F2199E">
              <w:rPr>
                <w:rFonts w:hint="eastAsia"/>
                <w:rtl/>
              </w:rPr>
              <w:t>אם</w:t>
            </w:r>
            <w:r w:rsidRPr="00F2199E">
              <w:rPr>
                <w:rtl/>
              </w:rPr>
              <w:t xml:space="preserve"> </w:t>
            </w:r>
            <w:r w:rsidRPr="00F2199E">
              <w:rPr>
                <w:rFonts w:hint="eastAsia"/>
                <w:rtl/>
              </w:rPr>
              <w:t>כן</w:t>
            </w:r>
            <w:r w:rsidRPr="00F2199E">
              <w:rPr>
                <w:rtl/>
              </w:rPr>
              <w:t xml:space="preserve"> </w:t>
            </w:r>
            <w:r w:rsidRPr="00F2199E">
              <w:rPr>
                <w:rFonts w:hint="eastAsia"/>
                <w:rtl/>
              </w:rPr>
              <w:t>שוכנעה</w:t>
            </w:r>
            <w:r w:rsidRPr="00F2199E">
              <w:rPr>
                <w:rtl/>
              </w:rPr>
              <w:t xml:space="preserve"> </w:t>
            </w:r>
            <w:r w:rsidRPr="00F2199E">
              <w:rPr>
                <w:rFonts w:hint="eastAsia"/>
                <w:rtl/>
              </w:rPr>
              <w:t>כי</w:t>
            </w:r>
            <w:r w:rsidRPr="00F2199E">
              <w:rPr>
                <w:rtl/>
              </w:rPr>
              <w:t xml:space="preserve"> אין </w:t>
            </w:r>
            <w:r w:rsidRPr="00F2199E">
              <w:rPr>
                <w:rFonts w:hint="eastAsia"/>
                <w:rtl/>
              </w:rPr>
              <w:t>חלופה</w:t>
            </w:r>
            <w:r w:rsidRPr="00F2199E">
              <w:rPr>
                <w:rtl/>
              </w:rPr>
              <w:t xml:space="preserve"> </w:t>
            </w:r>
            <w:r w:rsidRPr="00F2199E">
              <w:rPr>
                <w:rFonts w:hint="eastAsia"/>
                <w:rtl/>
              </w:rPr>
              <w:t>מתאימה</w:t>
            </w:r>
            <w:r w:rsidRPr="00F2199E">
              <w:rPr>
                <w:rtl/>
              </w:rPr>
              <w:t xml:space="preserve"> </w:t>
            </w:r>
            <w:r w:rsidRPr="00F2199E">
              <w:rPr>
                <w:rFonts w:hint="eastAsia"/>
                <w:rtl/>
              </w:rPr>
              <w:t>להסתייעות</w:t>
            </w:r>
            <w:r w:rsidRPr="00F2199E">
              <w:rPr>
                <w:rtl/>
              </w:rPr>
              <w:t xml:space="preserve"> </w:t>
            </w:r>
            <w:r w:rsidRPr="00F2199E">
              <w:rPr>
                <w:rFonts w:hint="eastAsia"/>
                <w:rtl/>
              </w:rPr>
              <w:t>בשירות</w:t>
            </w:r>
            <w:r w:rsidRPr="00F2199E">
              <w:rPr>
                <w:rFonts w:hint="cs"/>
                <w:rtl/>
              </w:rPr>
              <w:t>,</w:t>
            </w:r>
            <w:r w:rsidRPr="00F2199E">
              <w:rPr>
                <w:rtl/>
              </w:rPr>
              <w:t xml:space="preserve"> </w:t>
            </w:r>
            <w:r w:rsidRPr="00F2199E">
              <w:rPr>
                <w:rFonts w:hint="cs"/>
                <w:rtl/>
              </w:rPr>
              <w:t>בשים לב ל</w:t>
            </w:r>
            <w:r w:rsidRPr="00F2199E">
              <w:rPr>
                <w:rFonts w:hint="eastAsia"/>
                <w:rtl/>
              </w:rPr>
              <w:t>סיכון</w:t>
            </w:r>
            <w:r w:rsidRPr="00F2199E">
              <w:rPr>
                <w:rtl/>
              </w:rPr>
              <w:t xml:space="preserve"> </w:t>
            </w:r>
            <w:r w:rsidRPr="00F2199E">
              <w:rPr>
                <w:rFonts w:hint="eastAsia"/>
                <w:rtl/>
              </w:rPr>
              <w:t>הנשקף</w:t>
            </w:r>
            <w:r w:rsidRPr="00F2199E">
              <w:rPr>
                <w:rtl/>
              </w:rPr>
              <w:t xml:space="preserve"> </w:t>
            </w:r>
            <w:r w:rsidRPr="00F2199E">
              <w:rPr>
                <w:rFonts w:hint="eastAsia"/>
                <w:rtl/>
              </w:rPr>
              <w:t>לציבור</w:t>
            </w:r>
            <w:r w:rsidRPr="00F2199E">
              <w:rPr>
                <w:rtl/>
              </w:rPr>
              <w:t xml:space="preserve"> </w:t>
            </w:r>
            <w:r w:rsidRPr="00F2199E">
              <w:rPr>
                <w:rFonts w:hint="eastAsia"/>
                <w:rtl/>
              </w:rPr>
              <w:t>מהמחלה</w:t>
            </w:r>
            <w:r w:rsidRPr="00F2199E">
              <w:rPr>
                <w:rtl/>
              </w:rPr>
              <w:t xml:space="preserve"> </w:t>
            </w:r>
            <w:r w:rsidRPr="00F2199E">
              <w:rPr>
                <w:rFonts w:hint="eastAsia"/>
                <w:rtl/>
              </w:rPr>
              <w:t>ולאחר</w:t>
            </w:r>
            <w:r w:rsidRPr="00F2199E">
              <w:rPr>
                <w:rtl/>
              </w:rPr>
              <w:t xml:space="preserve"> </w:t>
            </w:r>
            <w:r w:rsidRPr="00F2199E">
              <w:rPr>
                <w:rFonts w:hint="eastAsia"/>
                <w:rtl/>
              </w:rPr>
              <w:t>שהונח</w:t>
            </w:r>
            <w:r w:rsidRPr="00F2199E">
              <w:rPr>
                <w:rFonts w:hint="cs"/>
                <w:rtl/>
              </w:rPr>
              <w:t>ו</w:t>
            </w:r>
            <w:r w:rsidRPr="00F2199E">
              <w:rPr>
                <w:rtl/>
              </w:rPr>
              <w:t xml:space="preserve"> </w:t>
            </w:r>
            <w:r w:rsidRPr="00F2199E">
              <w:rPr>
                <w:rFonts w:hint="eastAsia"/>
                <w:rtl/>
              </w:rPr>
              <w:t>לפניה</w:t>
            </w:r>
            <w:r w:rsidRPr="00F2199E">
              <w:rPr>
                <w:rtl/>
              </w:rPr>
              <w:t xml:space="preserve"> </w:t>
            </w:r>
            <w:r w:rsidRPr="00F2199E">
              <w:rPr>
                <w:rFonts w:hint="eastAsia"/>
                <w:rtl/>
              </w:rPr>
              <w:t>המלצ</w:t>
            </w:r>
            <w:r w:rsidRPr="00F2199E">
              <w:rPr>
                <w:rFonts w:hint="cs"/>
                <w:rtl/>
              </w:rPr>
              <w:t>ו</w:t>
            </w:r>
            <w:r w:rsidRPr="00F2199E">
              <w:rPr>
                <w:rFonts w:hint="eastAsia"/>
                <w:rtl/>
              </w:rPr>
              <w:t>ת</w:t>
            </w:r>
            <w:r w:rsidRPr="00F2199E">
              <w:rPr>
                <w:rFonts w:hint="cs"/>
                <w:rtl/>
              </w:rPr>
              <w:t>יו</w:t>
            </w:r>
            <w:r w:rsidRPr="00F2199E">
              <w:rPr>
                <w:rtl/>
              </w:rPr>
              <w:t xml:space="preserve"> </w:t>
            </w:r>
            <w:r>
              <w:rPr>
                <w:rFonts w:hint="cs"/>
                <w:rtl/>
              </w:rPr>
              <w:t xml:space="preserve"> של </w:t>
            </w:r>
            <w:r w:rsidRPr="00F2199E">
              <w:rPr>
                <w:rFonts w:hint="eastAsia"/>
                <w:rtl/>
              </w:rPr>
              <w:t>צוות</w:t>
            </w:r>
            <w:r w:rsidRPr="00F2199E">
              <w:rPr>
                <w:rtl/>
              </w:rPr>
              <w:t xml:space="preserve"> </w:t>
            </w:r>
            <w:r w:rsidRPr="00F2199E">
              <w:rPr>
                <w:rFonts w:hint="eastAsia"/>
                <w:rtl/>
              </w:rPr>
              <w:t>השרים</w:t>
            </w:r>
            <w:r w:rsidRPr="00F2199E">
              <w:rPr>
                <w:rtl/>
              </w:rPr>
              <w:t xml:space="preserve"> </w:t>
            </w:r>
            <w:r w:rsidRPr="00F2199E">
              <w:rPr>
                <w:rFonts w:hint="eastAsia"/>
                <w:rtl/>
              </w:rPr>
              <w:t>כאמור</w:t>
            </w:r>
            <w:r w:rsidRPr="00F2199E">
              <w:rPr>
                <w:rtl/>
              </w:rPr>
              <w:t xml:space="preserve"> </w:t>
            </w:r>
            <w:r w:rsidRPr="00F2199E">
              <w:rPr>
                <w:rFonts w:hint="eastAsia"/>
                <w:rtl/>
              </w:rPr>
              <w:t>בסעיף</w:t>
            </w:r>
            <w:r w:rsidRPr="00F2199E">
              <w:rPr>
                <w:rtl/>
              </w:rPr>
              <w:t xml:space="preserve"> </w:t>
            </w:r>
            <w:r w:rsidRPr="00F2199E">
              <w:rPr>
                <w:rFonts w:hint="cs"/>
                <w:rtl/>
              </w:rPr>
              <w:t>12</w:t>
            </w:r>
            <w:r w:rsidRPr="00F2199E">
              <w:rPr>
                <w:rtl/>
              </w:rPr>
              <w:t xml:space="preserve">; </w:t>
            </w:r>
            <w:r w:rsidRPr="00F2199E">
              <w:rPr>
                <w:rFonts w:hint="eastAsia"/>
                <w:rtl/>
              </w:rPr>
              <w:t>הצעה</w:t>
            </w:r>
            <w:r w:rsidRPr="00F2199E">
              <w:rPr>
                <w:rtl/>
              </w:rPr>
              <w:t xml:space="preserve"> </w:t>
            </w:r>
            <w:r w:rsidRPr="00F2199E">
              <w:rPr>
                <w:rFonts w:hint="eastAsia"/>
                <w:rtl/>
              </w:rPr>
              <w:t>להכרזה</w:t>
            </w:r>
            <w:r w:rsidRPr="00F2199E">
              <w:rPr>
                <w:rtl/>
              </w:rPr>
              <w:t xml:space="preserve"> </w:t>
            </w:r>
            <w:r w:rsidRPr="00F2199E">
              <w:rPr>
                <w:rFonts w:hint="eastAsia"/>
                <w:rtl/>
              </w:rPr>
              <w:t>תובא</w:t>
            </w:r>
            <w:r w:rsidRPr="00F2199E">
              <w:rPr>
                <w:rtl/>
              </w:rPr>
              <w:t xml:space="preserve"> </w:t>
            </w:r>
            <w:r w:rsidRPr="00F2199E">
              <w:rPr>
                <w:rFonts w:hint="eastAsia"/>
                <w:rtl/>
              </w:rPr>
              <w:t>לממשלה</w:t>
            </w:r>
            <w:r w:rsidRPr="00F2199E">
              <w:rPr>
                <w:rtl/>
              </w:rPr>
              <w:t xml:space="preserve"> </w:t>
            </w:r>
            <w:r w:rsidRPr="00F2199E">
              <w:rPr>
                <w:rFonts w:hint="eastAsia"/>
                <w:rtl/>
              </w:rPr>
              <w:t>על</w:t>
            </w:r>
            <w:r w:rsidRPr="00F2199E">
              <w:rPr>
                <w:rtl/>
              </w:rPr>
              <w:t xml:space="preserve"> </w:t>
            </w:r>
            <w:r w:rsidRPr="00F2199E">
              <w:rPr>
                <w:rFonts w:hint="eastAsia"/>
                <w:rtl/>
              </w:rPr>
              <w:t>ידי</w:t>
            </w:r>
            <w:r w:rsidRPr="00F2199E">
              <w:rPr>
                <w:rtl/>
              </w:rPr>
              <w:t xml:space="preserve"> </w:t>
            </w:r>
            <w:r w:rsidRPr="00F2199E">
              <w:rPr>
                <w:rFonts w:hint="eastAsia"/>
                <w:rtl/>
              </w:rPr>
              <w:t>ראש</w:t>
            </w:r>
            <w:r w:rsidRPr="00F2199E">
              <w:rPr>
                <w:rtl/>
              </w:rPr>
              <w:t xml:space="preserve"> </w:t>
            </w:r>
            <w:r w:rsidRPr="00F2199E">
              <w:rPr>
                <w:rFonts w:hint="eastAsia"/>
                <w:rtl/>
              </w:rPr>
              <w:t>הממשלה</w:t>
            </w:r>
            <w:r w:rsidRPr="00F2199E">
              <w:rPr>
                <w:rtl/>
              </w:rPr>
              <w:t xml:space="preserve"> </w:t>
            </w:r>
            <w:r w:rsidRPr="00F2199E">
              <w:rPr>
                <w:rFonts w:hint="eastAsia"/>
                <w:rtl/>
              </w:rPr>
              <w:t>וראש</w:t>
            </w:r>
            <w:r w:rsidRPr="00F2199E">
              <w:rPr>
                <w:rtl/>
              </w:rPr>
              <w:t xml:space="preserve"> </w:t>
            </w:r>
            <w:r w:rsidRPr="00F2199E">
              <w:rPr>
                <w:rFonts w:hint="eastAsia"/>
                <w:rtl/>
              </w:rPr>
              <w:t>הממשלה</w:t>
            </w:r>
            <w:r w:rsidRPr="00F2199E">
              <w:rPr>
                <w:rtl/>
              </w:rPr>
              <w:t xml:space="preserve"> </w:t>
            </w:r>
            <w:r w:rsidRPr="00F2199E">
              <w:rPr>
                <w:rFonts w:hint="eastAsia"/>
                <w:rtl/>
              </w:rPr>
              <w:t>החלופי</w:t>
            </w:r>
            <w:r w:rsidR="00B23452">
              <w:rPr>
                <w:rFonts w:hint="cs"/>
                <w:rtl/>
              </w:rPr>
              <w:t>.</w:t>
            </w:r>
          </w:p>
        </w:tc>
      </w:tr>
      <w:tr w:rsidR="00D73C1F" w14:paraId="53112AD0" w14:textId="77777777" w:rsidTr="00D73C1F">
        <w:tblPrEx>
          <w:tblLook w:val="01E0" w:firstRow="1" w:lastRow="1" w:firstColumn="1" w:lastColumn="1" w:noHBand="0" w:noVBand="0"/>
        </w:tblPrEx>
        <w:trPr>
          <w:cantSplit/>
        </w:trPr>
        <w:tc>
          <w:tcPr>
            <w:tcW w:w="1870" w:type="dxa"/>
          </w:tcPr>
          <w:p w14:paraId="113255EB" w14:textId="77777777" w:rsidR="00D73C1F" w:rsidRDefault="00D73C1F" w:rsidP="006C7437">
            <w:pPr>
              <w:pStyle w:val="TableSideHeading"/>
            </w:pPr>
          </w:p>
        </w:tc>
        <w:tc>
          <w:tcPr>
            <w:tcW w:w="624" w:type="dxa"/>
          </w:tcPr>
          <w:p w14:paraId="5316C15B" w14:textId="77777777" w:rsidR="00D73C1F" w:rsidRDefault="00D73C1F" w:rsidP="006C7437">
            <w:pPr>
              <w:pStyle w:val="TableText"/>
            </w:pPr>
          </w:p>
        </w:tc>
        <w:tc>
          <w:tcPr>
            <w:tcW w:w="624" w:type="dxa"/>
          </w:tcPr>
          <w:p w14:paraId="2B04A79C" w14:textId="77777777" w:rsidR="00D73C1F" w:rsidRDefault="00D73C1F" w:rsidP="006C7437">
            <w:pPr>
              <w:pStyle w:val="TableText"/>
            </w:pPr>
          </w:p>
        </w:tc>
        <w:tc>
          <w:tcPr>
            <w:tcW w:w="624" w:type="dxa"/>
          </w:tcPr>
          <w:p w14:paraId="6C9EE68F" w14:textId="77777777" w:rsidR="00D73C1F" w:rsidRDefault="00D73C1F" w:rsidP="006C7437">
            <w:pPr>
              <w:pStyle w:val="TableText"/>
            </w:pPr>
          </w:p>
        </w:tc>
        <w:tc>
          <w:tcPr>
            <w:tcW w:w="624" w:type="dxa"/>
          </w:tcPr>
          <w:p w14:paraId="26FFE274" w14:textId="77777777" w:rsidR="00D73C1F" w:rsidRDefault="00D73C1F" w:rsidP="006C7437">
            <w:pPr>
              <w:pStyle w:val="TableText"/>
            </w:pPr>
          </w:p>
        </w:tc>
        <w:tc>
          <w:tcPr>
            <w:tcW w:w="624" w:type="dxa"/>
          </w:tcPr>
          <w:p w14:paraId="419F4233" w14:textId="77777777" w:rsidR="00D73C1F" w:rsidRDefault="00D73C1F" w:rsidP="006C7437">
            <w:pPr>
              <w:pStyle w:val="TableText"/>
            </w:pPr>
          </w:p>
        </w:tc>
        <w:tc>
          <w:tcPr>
            <w:tcW w:w="4647" w:type="dxa"/>
          </w:tcPr>
          <w:p w14:paraId="15BB7200" w14:textId="77777777" w:rsidR="00D73C1F" w:rsidRDefault="00D73C1F" w:rsidP="00D73C1F">
            <w:pPr>
              <w:pStyle w:val="TableBlock"/>
            </w:pPr>
            <w:r w:rsidRPr="006954AC">
              <w:rPr>
                <w:rFonts w:hint="cs"/>
                <w:rtl/>
              </w:rPr>
              <w:t>(ג)</w:t>
            </w:r>
            <w:r w:rsidRPr="006954AC">
              <w:rPr>
                <w:rtl/>
              </w:rPr>
              <w:tab/>
            </w:r>
            <w:r>
              <w:rPr>
                <w:rFonts w:hint="cs"/>
                <w:rtl/>
              </w:rPr>
              <w:t xml:space="preserve"> בתקופת תוקפה של ההכרזה</w:t>
            </w:r>
            <w:r w:rsidRPr="006954AC">
              <w:rPr>
                <w:rtl/>
              </w:rPr>
              <w:t xml:space="preserve"> יהיה משרד הבריאות </w:t>
            </w:r>
            <w:r>
              <w:rPr>
                <w:rFonts w:hint="cs"/>
                <w:rtl/>
              </w:rPr>
              <w:t xml:space="preserve">רשאי </w:t>
            </w:r>
            <w:r w:rsidRPr="006954AC">
              <w:rPr>
                <w:rtl/>
              </w:rPr>
              <w:t xml:space="preserve">להעביר לשירות בקשה לקבלת סיוע, ובלבד שמספר </w:t>
            </w:r>
            <w:r w:rsidRPr="00183239">
              <w:rPr>
                <w:rtl/>
              </w:rPr>
              <w:t xml:space="preserve">החולים </w:t>
            </w:r>
            <w:r w:rsidRPr="00183239">
              <w:rPr>
                <w:rFonts w:hint="cs"/>
                <w:rtl/>
              </w:rPr>
              <w:t xml:space="preserve">החדשים </w:t>
            </w:r>
            <w:r w:rsidRPr="006954AC">
              <w:rPr>
                <w:rtl/>
              </w:rPr>
              <w:t>באותו יום או ביום שקדם לו עלה על 200</w:t>
            </w:r>
            <w:r w:rsidRPr="00466D44">
              <w:rPr>
                <w:rFonts w:hint="cs"/>
                <w:rtl/>
              </w:rPr>
              <w:t>.</w:t>
            </w:r>
          </w:p>
        </w:tc>
      </w:tr>
      <w:tr w:rsidR="00D73C1F" w14:paraId="12AF062B" w14:textId="77777777" w:rsidTr="00D73C1F">
        <w:tblPrEx>
          <w:tblLook w:val="01E0" w:firstRow="1" w:lastRow="1" w:firstColumn="1" w:lastColumn="1" w:noHBand="0" w:noVBand="0"/>
        </w:tblPrEx>
        <w:trPr>
          <w:cantSplit/>
        </w:trPr>
        <w:tc>
          <w:tcPr>
            <w:tcW w:w="1870" w:type="dxa"/>
          </w:tcPr>
          <w:p w14:paraId="54A44BF9" w14:textId="77777777" w:rsidR="00D73C1F" w:rsidRDefault="00D73C1F" w:rsidP="006C7437">
            <w:pPr>
              <w:pStyle w:val="TableSideHeading"/>
            </w:pPr>
          </w:p>
        </w:tc>
        <w:tc>
          <w:tcPr>
            <w:tcW w:w="624" w:type="dxa"/>
          </w:tcPr>
          <w:p w14:paraId="3E036434" w14:textId="77777777" w:rsidR="00D73C1F" w:rsidRDefault="00D73C1F" w:rsidP="006C7437">
            <w:pPr>
              <w:pStyle w:val="TableText"/>
            </w:pPr>
          </w:p>
        </w:tc>
        <w:tc>
          <w:tcPr>
            <w:tcW w:w="624" w:type="dxa"/>
          </w:tcPr>
          <w:p w14:paraId="2327E314" w14:textId="77777777" w:rsidR="00D73C1F" w:rsidRDefault="00D73C1F" w:rsidP="006C7437">
            <w:pPr>
              <w:pStyle w:val="TableText"/>
            </w:pPr>
          </w:p>
        </w:tc>
        <w:tc>
          <w:tcPr>
            <w:tcW w:w="624" w:type="dxa"/>
          </w:tcPr>
          <w:p w14:paraId="4C3F34FB" w14:textId="77777777" w:rsidR="00D73C1F" w:rsidRDefault="00D73C1F" w:rsidP="006C7437">
            <w:pPr>
              <w:pStyle w:val="TableText"/>
            </w:pPr>
          </w:p>
        </w:tc>
        <w:tc>
          <w:tcPr>
            <w:tcW w:w="624" w:type="dxa"/>
          </w:tcPr>
          <w:p w14:paraId="2FE05C4C" w14:textId="77777777" w:rsidR="00D73C1F" w:rsidRDefault="00D73C1F" w:rsidP="006C7437">
            <w:pPr>
              <w:pStyle w:val="TableText"/>
            </w:pPr>
          </w:p>
        </w:tc>
        <w:tc>
          <w:tcPr>
            <w:tcW w:w="624" w:type="dxa"/>
          </w:tcPr>
          <w:p w14:paraId="4D41A4A7" w14:textId="77777777" w:rsidR="00D73C1F" w:rsidRDefault="00D73C1F" w:rsidP="006C7437">
            <w:pPr>
              <w:pStyle w:val="TableText"/>
            </w:pPr>
          </w:p>
        </w:tc>
        <w:tc>
          <w:tcPr>
            <w:tcW w:w="4647" w:type="dxa"/>
          </w:tcPr>
          <w:p w14:paraId="6A567AB9" w14:textId="77777777" w:rsidR="00D73C1F" w:rsidRDefault="00D73C1F" w:rsidP="00D73C1F">
            <w:pPr>
              <w:pStyle w:val="TableBlock"/>
            </w:pPr>
            <w:r w:rsidRPr="006954AC">
              <w:rPr>
                <w:rFonts w:hint="cs"/>
                <w:rtl/>
              </w:rPr>
              <w:t>(ד)</w:t>
            </w:r>
            <w:r w:rsidRPr="006954AC">
              <w:rPr>
                <w:rtl/>
              </w:rPr>
              <w:tab/>
            </w:r>
            <w:r w:rsidRPr="006954AC">
              <w:rPr>
                <w:rFonts w:hint="eastAsia"/>
                <w:rtl/>
              </w:rPr>
              <w:t>ההכרזה</w:t>
            </w:r>
            <w:r w:rsidRPr="006954AC">
              <w:rPr>
                <w:rtl/>
              </w:rPr>
              <w:t xml:space="preserve"> </w:t>
            </w:r>
            <w:r w:rsidRPr="006954AC">
              <w:rPr>
                <w:rFonts w:hint="eastAsia"/>
                <w:rtl/>
              </w:rPr>
              <w:t>תעמוד</w:t>
            </w:r>
            <w:r w:rsidRPr="006954AC">
              <w:rPr>
                <w:rtl/>
              </w:rPr>
              <w:t xml:space="preserve"> </w:t>
            </w:r>
            <w:r w:rsidRPr="006954AC">
              <w:rPr>
                <w:rFonts w:hint="eastAsia"/>
                <w:rtl/>
              </w:rPr>
              <w:t>בתוקפה</w:t>
            </w:r>
            <w:r w:rsidRPr="006954AC">
              <w:rPr>
                <w:rtl/>
              </w:rPr>
              <w:t xml:space="preserve"> </w:t>
            </w:r>
            <w:r w:rsidRPr="006954AC">
              <w:rPr>
                <w:rFonts w:hint="eastAsia"/>
                <w:rtl/>
              </w:rPr>
              <w:t>לתקופה</w:t>
            </w:r>
            <w:r w:rsidRPr="006954AC">
              <w:rPr>
                <w:rtl/>
              </w:rPr>
              <w:t xml:space="preserve"> </w:t>
            </w:r>
            <w:r w:rsidRPr="006954AC">
              <w:rPr>
                <w:rFonts w:hint="eastAsia"/>
                <w:rtl/>
              </w:rPr>
              <w:t>שתיקבע</w:t>
            </w:r>
            <w:r w:rsidRPr="006954AC">
              <w:rPr>
                <w:rtl/>
              </w:rPr>
              <w:t xml:space="preserve"> </w:t>
            </w:r>
            <w:r w:rsidRPr="006954AC">
              <w:rPr>
                <w:rFonts w:hint="eastAsia"/>
                <w:rtl/>
              </w:rPr>
              <w:t>בה</w:t>
            </w:r>
            <w:r>
              <w:rPr>
                <w:rFonts w:hint="cs"/>
                <w:rtl/>
              </w:rPr>
              <w:t>,</w:t>
            </w:r>
            <w:r w:rsidRPr="006954AC">
              <w:rPr>
                <w:rtl/>
              </w:rPr>
              <w:t xml:space="preserve"> </w:t>
            </w:r>
            <w:r w:rsidRPr="006954AC">
              <w:rPr>
                <w:rFonts w:hint="eastAsia"/>
                <w:rtl/>
              </w:rPr>
              <w:t>בהתחשב</w:t>
            </w:r>
            <w:r w:rsidRPr="006954AC">
              <w:rPr>
                <w:rtl/>
              </w:rPr>
              <w:t xml:space="preserve"> </w:t>
            </w:r>
            <w:r w:rsidRPr="006954AC">
              <w:rPr>
                <w:rFonts w:hint="eastAsia"/>
                <w:rtl/>
              </w:rPr>
              <w:t>בהתפשטות</w:t>
            </w:r>
            <w:r w:rsidRPr="006954AC">
              <w:rPr>
                <w:rtl/>
              </w:rPr>
              <w:t xml:space="preserve"> </w:t>
            </w:r>
            <w:r w:rsidRPr="006954AC">
              <w:rPr>
                <w:rFonts w:hint="eastAsia"/>
                <w:rtl/>
              </w:rPr>
              <w:t>הצפויה</w:t>
            </w:r>
            <w:r w:rsidRPr="006954AC">
              <w:rPr>
                <w:rtl/>
              </w:rPr>
              <w:t xml:space="preserve"> </w:t>
            </w:r>
            <w:r w:rsidRPr="006954AC">
              <w:rPr>
                <w:rFonts w:hint="eastAsia"/>
                <w:rtl/>
              </w:rPr>
              <w:t>של</w:t>
            </w:r>
            <w:r w:rsidRPr="006954AC">
              <w:rPr>
                <w:rtl/>
              </w:rPr>
              <w:t xml:space="preserve"> </w:t>
            </w:r>
            <w:r w:rsidRPr="006954AC">
              <w:rPr>
                <w:rFonts w:hint="eastAsia"/>
                <w:rtl/>
              </w:rPr>
              <w:t>נגיף</w:t>
            </w:r>
            <w:r w:rsidRPr="006954AC">
              <w:rPr>
                <w:rtl/>
              </w:rPr>
              <w:t xml:space="preserve"> </w:t>
            </w:r>
            <w:r w:rsidRPr="006954AC">
              <w:rPr>
                <w:rFonts w:hint="eastAsia"/>
                <w:rtl/>
              </w:rPr>
              <w:t>הקורונה</w:t>
            </w:r>
            <w:r w:rsidRPr="006954AC">
              <w:rPr>
                <w:rtl/>
              </w:rPr>
              <w:t xml:space="preserve"> </w:t>
            </w:r>
            <w:r w:rsidRPr="006954AC">
              <w:rPr>
                <w:rFonts w:hint="eastAsia"/>
                <w:rtl/>
              </w:rPr>
              <w:t>החדש</w:t>
            </w:r>
            <w:r w:rsidRPr="006954AC">
              <w:rPr>
                <w:rtl/>
              </w:rPr>
              <w:t xml:space="preserve"> </w:t>
            </w:r>
            <w:r w:rsidRPr="006954AC">
              <w:rPr>
                <w:rFonts w:hint="eastAsia"/>
                <w:rtl/>
              </w:rPr>
              <w:t>בישראל</w:t>
            </w:r>
            <w:r w:rsidRPr="006954AC">
              <w:rPr>
                <w:rtl/>
              </w:rPr>
              <w:t xml:space="preserve"> </w:t>
            </w:r>
            <w:r w:rsidRPr="006954AC">
              <w:rPr>
                <w:rFonts w:hint="eastAsia"/>
                <w:rtl/>
              </w:rPr>
              <w:t>ושלא</w:t>
            </w:r>
            <w:r w:rsidRPr="006954AC">
              <w:rPr>
                <w:rtl/>
              </w:rPr>
              <w:t xml:space="preserve"> </w:t>
            </w:r>
            <w:r w:rsidRPr="006954AC">
              <w:rPr>
                <w:rFonts w:hint="eastAsia"/>
                <w:rtl/>
              </w:rPr>
              <w:t>תעלה</w:t>
            </w:r>
            <w:r w:rsidRPr="006954AC">
              <w:rPr>
                <w:rtl/>
              </w:rPr>
              <w:t xml:space="preserve"> </w:t>
            </w:r>
            <w:r w:rsidRPr="006954AC">
              <w:rPr>
                <w:rFonts w:hint="eastAsia"/>
                <w:rtl/>
              </w:rPr>
              <w:t>על</w:t>
            </w:r>
            <w:r w:rsidRPr="006954AC">
              <w:rPr>
                <w:rtl/>
              </w:rPr>
              <w:t xml:space="preserve"> 21 </w:t>
            </w:r>
            <w:r w:rsidRPr="006954AC">
              <w:rPr>
                <w:rFonts w:hint="eastAsia"/>
                <w:rtl/>
              </w:rPr>
              <w:t>ימים</w:t>
            </w:r>
            <w:r w:rsidRPr="006954AC">
              <w:rPr>
                <w:rFonts w:hint="cs"/>
                <w:rtl/>
              </w:rPr>
              <w:t>.</w:t>
            </w:r>
          </w:p>
        </w:tc>
      </w:tr>
      <w:tr w:rsidR="00D73C1F" w14:paraId="64DBB39C" w14:textId="77777777" w:rsidTr="00D73C1F">
        <w:tblPrEx>
          <w:tblLook w:val="01E0" w:firstRow="1" w:lastRow="1" w:firstColumn="1" w:lastColumn="1" w:noHBand="0" w:noVBand="0"/>
        </w:tblPrEx>
        <w:trPr>
          <w:cantSplit/>
        </w:trPr>
        <w:tc>
          <w:tcPr>
            <w:tcW w:w="1870" w:type="dxa"/>
          </w:tcPr>
          <w:p w14:paraId="5F8C55DE" w14:textId="77777777" w:rsidR="00D73C1F" w:rsidRDefault="00D73C1F" w:rsidP="006C7437">
            <w:pPr>
              <w:pStyle w:val="TableSideHeading"/>
            </w:pPr>
          </w:p>
        </w:tc>
        <w:tc>
          <w:tcPr>
            <w:tcW w:w="624" w:type="dxa"/>
          </w:tcPr>
          <w:p w14:paraId="25C712F9" w14:textId="77777777" w:rsidR="00D73C1F" w:rsidRDefault="00D73C1F" w:rsidP="006C7437">
            <w:pPr>
              <w:pStyle w:val="TableText"/>
            </w:pPr>
          </w:p>
        </w:tc>
        <w:tc>
          <w:tcPr>
            <w:tcW w:w="624" w:type="dxa"/>
          </w:tcPr>
          <w:p w14:paraId="612F8E75" w14:textId="77777777" w:rsidR="00D73C1F" w:rsidRDefault="00D73C1F" w:rsidP="006C7437">
            <w:pPr>
              <w:pStyle w:val="TableText"/>
            </w:pPr>
          </w:p>
        </w:tc>
        <w:tc>
          <w:tcPr>
            <w:tcW w:w="624" w:type="dxa"/>
          </w:tcPr>
          <w:p w14:paraId="7878FA96" w14:textId="77777777" w:rsidR="00D73C1F" w:rsidRDefault="00D73C1F" w:rsidP="006C7437">
            <w:pPr>
              <w:pStyle w:val="TableText"/>
            </w:pPr>
          </w:p>
        </w:tc>
        <w:tc>
          <w:tcPr>
            <w:tcW w:w="624" w:type="dxa"/>
          </w:tcPr>
          <w:p w14:paraId="543255C3" w14:textId="77777777" w:rsidR="00D73C1F" w:rsidRDefault="00D73C1F" w:rsidP="006C7437">
            <w:pPr>
              <w:pStyle w:val="TableText"/>
            </w:pPr>
          </w:p>
        </w:tc>
        <w:tc>
          <w:tcPr>
            <w:tcW w:w="624" w:type="dxa"/>
          </w:tcPr>
          <w:p w14:paraId="2A10EAB0" w14:textId="77777777" w:rsidR="00D73C1F" w:rsidRDefault="00D73C1F" w:rsidP="006C7437">
            <w:pPr>
              <w:pStyle w:val="TableText"/>
            </w:pPr>
          </w:p>
        </w:tc>
        <w:tc>
          <w:tcPr>
            <w:tcW w:w="4647" w:type="dxa"/>
          </w:tcPr>
          <w:p w14:paraId="66083B66" w14:textId="77777777" w:rsidR="00D73C1F" w:rsidRDefault="00D73C1F" w:rsidP="00D73C1F">
            <w:pPr>
              <w:pStyle w:val="TableBlock"/>
            </w:pPr>
            <w:r w:rsidRPr="006954AC">
              <w:rPr>
                <w:rFonts w:hint="cs"/>
                <w:rtl/>
              </w:rPr>
              <w:t>(ה)</w:t>
            </w:r>
            <w:r w:rsidRPr="006954AC">
              <w:rPr>
                <w:rtl/>
              </w:rPr>
              <w:tab/>
            </w:r>
            <w:r w:rsidRPr="006954AC">
              <w:rPr>
                <w:rFonts w:hint="cs"/>
                <w:rtl/>
              </w:rPr>
              <w:t>ההכרזה תפורסם ברשומות ובאתר האינטרנט של משרד הבריאות ותיכנס לתוקף עם פרסומה ברשומות.</w:t>
            </w:r>
          </w:p>
        </w:tc>
      </w:tr>
      <w:tr w:rsidR="00D73C1F" w:rsidRPr="006954AC" w14:paraId="0E411D1E" w14:textId="77777777" w:rsidTr="00D73C1F">
        <w:tblPrEx>
          <w:tblLook w:val="01E0" w:firstRow="1" w:lastRow="1" w:firstColumn="1" w:lastColumn="1" w:noHBand="0" w:noVBand="0"/>
        </w:tblPrEx>
        <w:trPr>
          <w:cantSplit/>
        </w:trPr>
        <w:tc>
          <w:tcPr>
            <w:tcW w:w="1870" w:type="dxa"/>
          </w:tcPr>
          <w:p w14:paraId="5B8655AA" w14:textId="77777777" w:rsidR="00D73C1F" w:rsidRDefault="00D73C1F" w:rsidP="006C7437">
            <w:pPr>
              <w:pStyle w:val="TableSideHeading"/>
              <w:keepLines w:val="0"/>
            </w:pPr>
          </w:p>
        </w:tc>
        <w:tc>
          <w:tcPr>
            <w:tcW w:w="624" w:type="dxa"/>
          </w:tcPr>
          <w:p w14:paraId="4B914D79" w14:textId="77777777" w:rsidR="00D73C1F" w:rsidRDefault="00D73C1F" w:rsidP="006C7437">
            <w:pPr>
              <w:pStyle w:val="TableText"/>
              <w:keepLines w:val="0"/>
            </w:pPr>
          </w:p>
        </w:tc>
        <w:tc>
          <w:tcPr>
            <w:tcW w:w="1872" w:type="dxa"/>
            <w:gridSpan w:val="3"/>
          </w:tcPr>
          <w:p w14:paraId="2055F852" w14:textId="77777777" w:rsidR="00D73C1F" w:rsidRDefault="00D73C1F" w:rsidP="006C7437">
            <w:pPr>
              <w:pStyle w:val="TableInnerSideHeading"/>
              <w:rPr>
                <w:rtl/>
              </w:rPr>
            </w:pPr>
            <w:r>
              <w:rPr>
                <w:rFonts w:hint="cs"/>
                <w:rtl/>
              </w:rPr>
              <w:t>הבאת ההכרזה לאישור ועדת החוץ והביטחון</w:t>
            </w:r>
          </w:p>
        </w:tc>
        <w:tc>
          <w:tcPr>
            <w:tcW w:w="624" w:type="dxa"/>
          </w:tcPr>
          <w:p w14:paraId="1D2421B5" w14:textId="77777777" w:rsidR="00D73C1F" w:rsidRDefault="00D73C1F" w:rsidP="006C7437">
            <w:pPr>
              <w:pStyle w:val="TableText"/>
              <w:rPr>
                <w:rtl/>
              </w:rPr>
            </w:pPr>
            <w:r>
              <w:rPr>
                <w:rFonts w:hint="cs"/>
                <w:rtl/>
              </w:rPr>
              <w:t>3א.</w:t>
            </w:r>
          </w:p>
        </w:tc>
        <w:tc>
          <w:tcPr>
            <w:tcW w:w="4647" w:type="dxa"/>
          </w:tcPr>
          <w:p w14:paraId="0E2DCDE9" w14:textId="77777777" w:rsidR="00D73C1F" w:rsidRPr="006954AC" w:rsidRDefault="00D73C1F" w:rsidP="00D73C1F">
            <w:pPr>
              <w:pStyle w:val="TableBlock"/>
              <w:rPr>
                <w:rtl/>
              </w:rPr>
            </w:pPr>
            <w:r w:rsidRPr="006954AC">
              <w:rPr>
                <w:rFonts w:hint="cs"/>
                <w:rtl/>
              </w:rPr>
              <w:t>(א)</w:t>
            </w:r>
            <w:r w:rsidRPr="006954AC">
              <w:rPr>
                <w:rtl/>
              </w:rPr>
              <w:tab/>
            </w:r>
            <w:r w:rsidRPr="006954AC">
              <w:rPr>
                <w:rFonts w:hint="cs"/>
                <w:rtl/>
              </w:rPr>
              <w:t>הכרזה לפי סעיף 3 תובא לאישור ועדת החוץ והביטחון של הכנסת</w:t>
            </w:r>
            <w:r>
              <w:rPr>
                <w:rFonts w:hint="cs"/>
                <w:rtl/>
              </w:rPr>
              <w:t>.</w:t>
            </w:r>
            <w:r w:rsidRPr="006954AC">
              <w:rPr>
                <w:rFonts w:hint="cs"/>
                <w:rtl/>
              </w:rPr>
              <w:t xml:space="preserve"> </w:t>
            </w:r>
          </w:p>
        </w:tc>
      </w:tr>
      <w:tr w:rsidR="00D73C1F" w14:paraId="3F229197" w14:textId="77777777" w:rsidTr="00D73C1F">
        <w:tblPrEx>
          <w:tblLook w:val="01E0" w:firstRow="1" w:lastRow="1" w:firstColumn="1" w:lastColumn="1" w:noHBand="0" w:noVBand="0"/>
        </w:tblPrEx>
        <w:trPr>
          <w:cantSplit/>
        </w:trPr>
        <w:tc>
          <w:tcPr>
            <w:tcW w:w="1870" w:type="dxa"/>
          </w:tcPr>
          <w:p w14:paraId="7306C796" w14:textId="77777777" w:rsidR="00D73C1F" w:rsidRDefault="00D73C1F" w:rsidP="006C7437">
            <w:pPr>
              <w:pStyle w:val="TableSideHeading"/>
            </w:pPr>
          </w:p>
        </w:tc>
        <w:tc>
          <w:tcPr>
            <w:tcW w:w="624" w:type="dxa"/>
          </w:tcPr>
          <w:p w14:paraId="6623AE77" w14:textId="77777777" w:rsidR="00D73C1F" w:rsidRDefault="00D73C1F" w:rsidP="006C7437">
            <w:pPr>
              <w:pStyle w:val="TableText"/>
            </w:pPr>
          </w:p>
        </w:tc>
        <w:tc>
          <w:tcPr>
            <w:tcW w:w="624" w:type="dxa"/>
          </w:tcPr>
          <w:p w14:paraId="01E8F782" w14:textId="77777777" w:rsidR="00D73C1F" w:rsidRDefault="00D73C1F" w:rsidP="006C7437">
            <w:pPr>
              <w:pStyle w:val="TableText"/>
            </w:pPr>
          </w:p>
        </w:tc>
        <w:tc>
          <w:tcPr>
            <w:tcW w:w="624" w:type="dxa"/>
          </w:tcPr>
          <w:p w14:paraId="616BD565" w14:textId="77777777" w:rsidR="00D73C1F" w:rsidRDefault="00D73C1F" w:rsidP="006C7437">
            <w:pPr>
              <w:pStyle w:val="TableText"/>
            </w:pPr>
          </w:p>
        </w:tc>
        <w:tc>
          <w:tcPr>
            <w:tcW w:w="624" w:type="dxa"/>
          </w:tcPr>
          <w:p w14:paraId="00E6731E" w14:textId="77777777" w:rsidR="00D73C1F" w:rsidRDefault="00D73C1F" w:rsidP="006C7437">
            <w:pPr>
              <w:pStyle w:val="TableText"/>
            </w:pPr>
          </w:p>
        </w:tc>
        <w:tc>
          <w:tcPr>
            <w:tcW w:w="624" w:type="dxa"/>
          </w:tcPr>
          <w:p w14:paraId="23DAEDD6" w14:textId="77777777" w:rsidR="00D73C1F" w:rsidRDefault="00D73C1F" w:rsidP="006C7437">
            <w:pPr>
              <w:pStyle w:val="TableText"/>
            </w:pPr>
          </w:p>
        </w:tc>
        <w:tc>
          <w:tcPr>
            <w:tcW w:w="4647" w:type="dxa"/>
          </w:tcPr>
          <w:p w14:paraId="20E2FD77" w14:textId="77777777" w:rsidR="00D73C1F" w:rsidRDefault="00D73C1F" w:rsidP="00D73C1F">
            <w:pPr>
              <w:pStyle w:val="TableBlock"/>
            </w:pPr>
            <w:r w:rsidRPr="006954AC">
              <w:rPr>
                <w:rFonts w:hint="cs"/>
                <w:rtl/>
              </w:rPr>
              <w:t>(ב)</w:t>
            </w:r>
            <w:r>
              <w:rPr>
                <w:rtl/>
              </w:rPr>
              <w:tab/>
            </w:r>
            <w:r w:rsidRPr="006954AC">
              <w:rPr>
                <w:rFonts w:hint="cs"/>
                <w:rtl/>
              </w:rPr>
              <w:t>הווע</w:t>
            </w:r>
            <w:r w:rsidRPr="006954AC">
              <w:rPr>
                <w:rFonts w:hint="eastAsia"/>
                <w:rtl/>
              </w:rPr>
              <w:t>דה</w:t>
            </w:r>
            <w:r w:rsidRPr="006954AC">
              <w:rPr>
                <w:rtl/>
              </w:rPr>
              <w:t xml:space="preserve"> </w:t>
            </w:r>
            <w:r w:rsidRPr="006954AC">
              <w:rPr>
                <w:rFonts w:hint="cs"/>
                <w:rtl/>
              </w:rPr>
              <w:t xml:space="preserve">רשאית לאשר את ההכרזה, לא לאשרה או </w:t>
            </w:r>
            <w:r w:rsidRPr="006954AC">
              <w:rPr>
                <w:rtl/>
              </w:rPr>
              <w:t>לאשרה לתקופה קצרה יותר</w:t>
            </w:r>
            <w:r>
              <w:rPr>
                <w:rFonts w:hint="cs"/>
                <w:rtl/>
              </w:rPr>
              <w:t xml:space="preserve">; </w:t>
            </w:r>
            <w:r w:rsidRPr="006954AC">
              <w:rPr>
                <w:rFonts w:hint="cs"/>
                <w:rtl/>
              </w:rPr>
              <w:t>החליטה הוועדה שלא לאשר את ההכרזה, יפקע תוקפה</w:t>
            </w:r>
            <w:r>
              <w:rPr>
                <w:rFonts w:hint="cs"/>
                <w:rtl/>
              </w:rPr>
              <w:t xml:space="preserve"> בתום</w:t>
            </w:r>
            <w:r w:rsidRPr="006954AC">
              <w:rPr>
                <w:rFonts w:hint="cs"/>
                <w:rtl/>
              </w:rPr>
              <w:t xml:space="preserve"> 24</w:t>
            </w:r>
            <w:r w:rsidRPr="006954AC">
              <w:rPr>
                <w:rtl/>
              </w:rPr>
              <w:t xml:space="preserve"> שעות ממועד מת</w:t>
            </w:r>
            <w:r w:rsidRPr="006954AC">
              <w:rPr>
                <w:rFonts w:hint="eastAsia"/>
                <w:rtl/>
              </w:rPr>
              <w:t>ן</w:t>
            </w:r>
            <w:r w:rsidRPr="006954AC">
              <w:rPr>
                <w:rtl/>
              </w:rPr>
              <w:t xml:space="preserve"> ההחלטה.</w:t>
            </w:r>
          </w:p>
        </w:tc>
      </w:tr>
      <w:tr w:rsidR="00D73C1F" w:rsidRPr="002506E6" w14:paraId="6D134964" w14:textId="77777777" w:rsidTr="00D73C1F">
        <w:tblPrEx>
          <w:tblLook w:val="01E0" w:firstRow="1" w:lastRow="1" w:firstColumn="1" w:lastColumn="1" w:noHBand="0" w:noVBand="0"/>
        </w:tblPrEx>
        <w:trPr>
          <w:cantSplit/>
        </w:trPr>
        <w:tc>
          <w:tcPr>
            <w:tcW w:w="1870" w:type="dxa"/>
          </w:tcPr>
          <w:p w14:paraId="2C381766" w14:textId="77777777" w:rsidR="00D73C1F" w:rsidRDefault="00D73C1F" w:rsidP="006C7437">
            <w:pPr>
              <w:pStyle w:val="TableSideHeading"/>
            </w:pPr>
          </w:p>
        </w:tc>
        <w:tc>
          <w:tcPr>
            <w:tcW w:w="624" w:type="dxa"/>
          </w:tcPr>
          <w:p w14:paraId="7EE6756C" w14:textId="77777777" w:rsidR="00D73C1F" w:rsidRDefault="00D73C1F" w:rsidP="006C7437">
            <w:pPr>
              <w:pStyle w:val="TableText"/>
            </w:pPr>
          </w:p>
        </w:tc>
        <w:tc>
          <w:tcPr>
            <w:tcW w:w="624" w:type="dxa"/>
          </w:tcPr>
          <w:p w14:paraId="6A33BA7A" w14:textId="77777777" w:rsidR="00D73C1F" w:rsidRDefault="00D73C1F" w:rsidP="006C7437">
            <w:pPr>
              <w:pStyle w:val="TableText"/>
            </w:pPr>
          </w:p>
        </w:tc>
        <w:tc>
          <w:tcPr>
            <w:tcW w:w="624" w:type="dxa"/>
          </w:tcPr>
          <w:p w14:paraId="5D85B91A" w14:textId="77777777" w:rsidR="00D73C1F" w:rsidRDefault="00D73C1F" w:rsidP="006C7437">
            <w:pPr>
              <w:pStyle w:val="TableText"/>
            </w:pPr>
          </w:p>
        </w:tc>
        <w:tc>
          <w:tcPr>
            <w:tcW w:w="624" w:type="dxa"/>
          </w:tcPr>
          <w:p w14:paraId="6E1B1207" w14:textId="77777777" w:rsidR="00D73C1F" w:rsidRDefault="00D73C1F" w:rsidP="006C7437">
            <w:pPr>
              <w:pStyle w:val="TableText"/>
            </w:pPr>
          </w:p>
        </w:tc>
        <w:tc>
          <w:tcPr>
            <w:tcW w:w="624" w:type="dxa"/>
          </w:tcPr>
          <w:p w14:paraId="1F8F92DA" w14:textId="77777777" w:rsidR="00D73C1F" w:rsidRDefault="00D73C1F" w:rsidP="006C7437">
            <w:pPr>
              <w:pStyle w:val="TableText"/>
            </w:pPr>
          </w:p>
        </w:tc>
        <w:tc>
          <w:tcPr>
            <w:tcW w:w="4647" w:type="dxa"/>
            <w:hideMark/>
          </w:tcPr>
          <w:p w14:paraId="620175DB" w14:textId="77777777" w:rsidR="00D73C1F" w:rsidRPr="002506E6" w:rsidRDefault="00D73C1F" w:rsidP="00D73C1F">
            <w:pPr>
              <w:pStyle w:val="TableBlock"/>
            </w:pPr>
            <w:r w:rsidRPr="002506E6">
              <w:rPr>
                <w:rFonts w:hint="cs"/>
                <w:rtl/>
              </w:rPr>
              <w:t>(ג)</w:t>
            </w:r>
            <w:r>
              <w:rPr>
                <w:rtl/>
              </w:rPr>
              <w:tab/>
            </w:r>
            <w:r w:rsidRPr="002506E6">
              <w:rPr>
                <w:rFonts w:hint="cs"/>
                <w:rtl/>
              </w:rPr>
              <w:t>לא דנה הוועדה בהכרזה שהובאה לאישורה, יראו את ההכרזה כאילו אושרה</w:t>
            </w:r>
            <w:r>
              <w:rPr>
                <w:rFonts w:hint="cs"/>
                <w:rtl/>
              </w:rPr>
              <w:t xml:space="preserve">; ואולם ההכרזה שתוכרז אחרי אותה הכרזה תהיה טעונה את </w:t>
            </w:r>
            <w:r w:rsidRPr="002506E6">
              <w:rPr>
                <w:rFonts w:hint="cs"/>
                <w:rtl/>
              </w:rPr>
              <w:t>אישור ועדת החוץ והביטחון</w:t>
            </w:r>
            <w:r>
              <w:rPr>
                <w:rFonts w:hint="cs"/>
                <w:rtl/>
              </w:rPr>
              <w:t xml:space="preserve"> בתוך חמישה ימים  מיום פרסומה ברשומות </w:t>
            </w:r>
            <w:r w:rsidRPr="00F2199E">
              <w:rPr>
                <w:rFonts w:hint="eastAsia"/>
                <w:rtl/>
              </w:rPr>
              <w:t>ויחולו</w:t>
            </w:r>
            <w:r w:rsidRPr="00F2199E">
              <w:rPr>
                <w:rtl/>
              </w:rPr>
              <w:t xml:space="preserve"> </w:t>
            </w:r>
            <w:r w:rsidRPr="00F2199E">
              <w:rPr>
                <w:rFonts w:hint="eastAsia"/>
                <w:rtl/>
              </w:rPr>
              <w:t>הוראות</w:t>
            </w:r>
            <w:r w:rsidRPr="00F2199E">
              <w:rPr>
                <w:rtl/>
              </w:rPr>
              <w:t xml:space="preserve"> </w:t>
            </w:r>
            <w:r w:rsidRPr="00F2199E">
              <w:rPr>
                <w:rFonts w:hint="eastAsia"/>
                <w:rtl/>
              </w:rPr>
              <w:t>סעיף</w:t>
            </w:r>
            <w:r w:rsidRPr="00F2199E">
              <w:rPr>
                <w:rtl/>
              </w:rPr>
              <w:t xml:space="preserve"> </w:t>
            </w:r>
            <w:r w:rsidRPr="00F2199E">
              <w:rPr>
                <w:rFonts w:hint="eastAsia"/>
                <w:rtl/>
              </w:rPr>
              <w:t>קטן</w:t>
            </w:r>
            <w:r w:rsidRPr="00F2199E">
              <w:rPr>
                <w:rtl/>
              </w:rPr>
              <w:t xml:space="preserve"> (ב).</w:t>
            </w:r>
          </w:p>
        </w:tc>
      </w:tr>
      <w:tr w:rsidR="00D73C1F" w14:paraId="4D8CC45B" w14:textId="77777777" w:rsidTr="00D73C1F">
        <w:tblPrEx>
          <w:tblLook w:val="01E0" w:firstRow="1" w:lastRow="1" w:firstColumn="1" w:lastColumn="1" w:noHBand="0" w:noVBand="0"/>
        </w:tblPrEx>
        <w:trPr>
          <w:cantSplit/>
        </w:trPr>
        <w:tc>
          <w:tcPr>
            <w:tcW w:w="1870" w:type="dxa"/>
          </w:tcPr>
          <w:p w14:paraId="17F384AE" w14:textId="77777777" w:rsidR="00D73C1F" w:rsidRPr="008769F1" w:rsidRDefault="00D73C1F" w:rsidP="006C7437">
            <w:pPr>
              <w:pStyle w:val="TableSideHeading"/>
            </w:pPr>
          </w:p>
        </w:tc>
        <w:tc>
          <w:tcPr>
            <w:tcW w:w="624" w:type="dxa"/>
          </w:tcPr>
          <w:p w14:paraId="7435CAB8" w14:textId="77777777" w:rsidR="00D73C1F" w:rsidRDefault="00D73C1F" w:rsidP="006C7437">
            <w:pPr>
              <w:pStyle w:val="TableText"/>
            </w:pPr>
          </w:p>
        </w:tc>
        <w:tc>
          <w:tcPr>
            <w:tcW w:w="624" w:type="dxa"/>
          </w:tcPr>
          <w:p w14:paraId="4EAEE7EF" w14:textId="77777777" w:rsidR="00D73C1F" w:rsidRDefault="00D73C1F" w:rsidP="006C7437">
            <w:pPr>
              <w:pStyle w:val="TableText"/>
            </w:pPr>
          </w:p>
        </w:tc>
        <w:tc>
          <w:tcPr>
            <w:tcW w:w="624" w:type="dxa"/>
          </w:tcPr>
          <w:p w14:paraId="270495AA" w14:textId="77777777" w:rsidR="00D73C1F" w:rsidRDefault="00D73C1F" w:rsidP="006C7437">
            <w:pPr>
              <w:pStyle w:val="TableText"/>
            </w:pPr>
          </w:p>
        </w:tc>
        <w:tc>
          <w:tcPr>
            <w:tcW w:w="624" w:type="dxa"/>
          </w:tcPr>
          <w:p w14:paraId="75EE6C6D" w14:textId="77777777" w:rsidR="00D73C1F" w:rsidRDefault="00D73C1F" w:rsidP="006C7437">
            <w:pPr>
              <w:pStyle w:val="TableText"/>
            </w:pPr>
          </w:p>
        </w:tc>
        <w:tc>
          <w:tcPr>
            <w:tcW w:w="624" w:type="dxa"/>
          </w:tcPr>
          <w:p w14:paraId="56C29159" w14:textId="77777777" w:rsidR="00D73C1F" w:rsidRDefault="00D73C1F" w:rsidP="006C7437">
            <w:pPr>
              <w:pStyle w:val="TableText"/>
            </w:pPr>
          </w:p>
        </w:tc>
        <w:tc>
          <w:tcPr>
            <w:tcW w:w="4647" w:type="dxa"/>
          </w:tcPr>
          <w:p w14:paraId="014EF800" w14:textId="77777777" w:rsidR="00D73C1F" w:rsidRDefault="00D73C1F" w:rsidP="00D73C1F">
            <w:pPr>
              <w:pStyle w:val="TableBlock"/>
            </w:pPr>
            <w:r w:rsidRPr="006954AC">
              <w:rPr>
                <w:rFonts w:hint="cs"/>
                <w:rtl/>
              </w:rPr>
              <w:t>(ד)</w:t>
            </w:r>
            <w:r>
              <w:rPr>
                <w:rtl/>
              </w:rPr>
              <w:tab/>
            </w:r>
            <w:r w:rsidRPr="006954AC">
              <w:rPr>
                <w:rFonts w:hint="cs"/>
                <w:rtl/>
              </w:rPr>
              <w:t>החלטת ועדת החוץ והביטחון תפורסם ברשומות</w:t>
            </w:r>
            <w:r>
              <w:rPr>
                <w:rFonts w:hint="cs"/>
                <w:rtl/>
              </w:rPr>
              <w:t xml:space="preserve"> מטעם הכנסת."</w:t>
            </w:r>
          </w:p>
        </w:tc>
      </w:tr>
      <w:tr w:rsidR="00D73C1F" w14:paraId="24C9E0AB" w14:textId="77777777" w:rsidTr="00D73C1F">
        <w:trPr>
          <w:cantSplit/>
        </w:trPr>
        <w:tc>
          <w:tcPr>
            <w:tcW w:w="1870" w:type="dxa"/>
            <w:shd w:val="clear" w:color="auto" w:fill="auto"/>
            <w:tcMar>
              <w:top w:w="91" w:type="dxa"/>
              <w:left w:w="0" w:type="dxa"/>
              <w:bottom w:w="91" w:type="dxa"/>
              <w:right w:w="0" w:type="dxa"/>
            </w:tcMar>
          </w:tcPr>
          <w:p w14:paraId="2C55C548" w14:textId="77777777" w:rsidR="00D73C1F" w:rsidRPr="006954AC" w:rsidRDefault="00D73C1F" w:rsidP="006C7437">
            <w:pPr>
              <w:pStyle w:val="TableSideHeading"/>
              <w:outlineLvl w:val="9"/>
              <w:rPr>
                <w:rtl/>
              </w:rPr>
            </w:pPr>
            <w:r>
              <w:rPr>
                <w:rFonts w:hint="cs"/>
                <w:rtl/>
              </w:rPr>
              <w:lastRenderedPageBreak/>
              <w:t>תיקון סעיף 4</w:t>
            </w:r>
          </w:p>
        </w:tc>
        <w:tc>
          <w:tcPr>
            <w:tcW w:w="624" w:type="dxa"/>
            <w:shd w:val="clear" w:color="auto" w:fill="auto"/>
            <w:tcMar>
              <w:top w:w="91" w:type="dxa"/>
              <w:left w:w="0" w:type="dxa"/>
              <w:bottom w:w="91" w:type="dxa"/>
              <w:right w:w="0" w:type="dxa"/>
            </w:tcMar>
          </w:tcPr>
          <w:p w14:paraId="717E2183" w14:textId="77777777" w:rsidR="00D73C1F" w:rsidRPr="003D6C57" w:rsidRDefault="00D73C1F" w:rsidP="006C7437">
            <w:pPr>
              <w:pStyle w:val="TableText"/>
              <w:jc w:val="both"/>
              <w:rPr>
                <w:rtl/>
              </w:rPr>
            </w:pPr>
            <w:r>
              <w:rPr>
                <w:rFonts w:hint="cs"/>
                <w:rtl/>
              </w:rPr>
              <w:t>5.</w:t>
            </w:r>
          </w:p>
        </w:tc>
        <w:tc>
          <w:tcPr>
            <w:tcW w:w="7143" w:type="dxa"/>
            <w:gridSpan w:val="5"/>
            <w:shd w:val="clear" w:color="auto" w:fill="auto"/>
            <w:tcMar>
              <w:top w:w="91" w:type="dxa"/>
              <w:left w:w="0" w:type="dxa"/>
              <w:bottom w:w="91" w:type="dxa"/>
              <w:right w:w="0" w:type="dxa"/>
            </w:tcMar>
          </w:tcPr>
          <w:p w14:paraId="0ED88DF0" w14:textId="77777777" w:rsidR="00D73C1F" w:rsidRDefault="00D73C1F" w:rsidP="00D73C1F">
            <w:pPr>
              <w:pStyle w:val="TableBlock"/>
              <w:rPr>
                <w:rtl/>
              </w:rPr>
            </w:pPr>
            <w:r>
              <w:rPr>
                <w:rFonts w:hint="cs"/>
                <w:rtl/>
              </w:rPr>
              <w:t xml:space="preserve">בסעיף 4 לחוק העיקרי </w:t>
            </w:r>
            <w:r>
              <w:rPr>
                <w:rFonts w:hint="eastAsia"/>
                <w:rtl/>
              </w:rPr>
              <w:t>–</w:t>
            </w:r>
            <w:r>
              <w:rPr>
                <w:rFonts w:hint="cs"/>
                <w:rtl/>
              </w:rPr>
              <w:t xml:space="preserve"> </w:t>
            </w:r>
          </w:p>
        </w:tc>
      </w:tr>
      <w:tr w:rsidR="00D73C1F" w:rsidRPr="002506E6" w14:paraId="14E1CB9A" w14:textId="77777777" w:rsidTr="00D73C1F">
        <w:trPr>
          <w:cantSplit/>
        </w:trPr>
        <w:tc>
          <w:tcPr>
            <w:tcW w:w="1870" w:type="dxa"/>
            <w:shd w:val="clear" w:color="auto" w:fill="auto"/>
            <w:tcMar>
              <w:top w:w="91" w:type="dxa"/>
              <w:left w:w="0" w:type="dxa"/>
              <w:bottom w:w="91" w:type="dxa"/>
              <w:right w:w="0" w:type="dxa"/>
            </w:tcMar>
          </w:tcPr>
          <w:p w14:paraId="6FBCC79A" w14:textId="77777777" w:rsidR="00D73C1F" w:rsidRPr="002506E6" w:rsidRDefault="00D73C1F" w:rsidP="006C7437">
            <w:pPr>
              <w:pStyle w:val="TableSideHeading"/>
              <w:outlineLvl w:val="9"/>
              <w:rPr>
                <w:rtl/>
              </w:rPr>
            </w:pPr>
          </w:p>
        </w:tc>
        <w:tc>
          <w:tcPr>
            <w:tcW w:w="624" w:type="dxa"/>
            <w:shd w:val="clear" w:color="auto" w:fill="auto"/>
            <w:tcMar>
              <w:top w:w="91" w:type="dxa"/>
              <w:left w:w="0" w:type="dxa"/>
              <w:bottom w:w="91" w:type="dxa"/>
              <w:right w:w="0" w:type="dxa"/>
            </w:tcMar>
          </w:tcPr>
          <w:p w14:paraId="384243BA" w14:textId="77777777" w:rsidR="00D73C1F" w:rsidRPr="002506E6" w:rsidRDefault="00D73C1F" w:rsidP="006C7437">
            <w:pPr>
              <w:pStyle w:val="TableText"/>
              <w:jc w:val="both"/>
              <w:rPr>
                <w:rtl/>
              </w:rPr>
            </w:pPr>
          </w:p>
        </w:tc>
        <w:tc>
          <w:tcPr>
            <w:tcW w:w="7143" w:type="dxa"/>
            <w:gridSpan w:val="5"/>
            <w:shd w:val="clear" w:color="auto" w:fill="auto"/>
            <w:tcMar>
              <w:top w:w="91" w:type="dxa"/>
              <w:left w:w="0" w:type="dxa"/>
              <w:bottom w:w="91" w:type="dxa"/>
              <w:right w:w="0" w:type="dxa"/>
            </w:tcMar>
          </w:tcPr>
          <w:p w14:paraId="612CF5E2" w14:textId="77777777" w:rsidR="00D73C1F" w:rsidRPr="002506E6" w:rsidRDefault="00D73C1F" w:rsidP="00D73C1F">
            <w:pPr>
              <w:pStyle w:val="TableBlock"/>
              <w:rPr>
                <w:rtl/>
              </w:rPr>
            </w:pPr>
            <w:r w:rsidRPr="002506E6">
              <w:rPr>
                <w:rFonts w:hint="cs"/>
                <w:rtl/>
              </w:rPr>
              <w:t>(1)</w:t>
            </w:r>
            <w:r w:rsidRPr="002506E6">
              <w:rPr>
                <w:rtl/>
              </w:rPr>
              <w:tab/>
            </w:r>
            <w:r w:rsidRPr="002506E6">
              <w:rPr>
                <w:rFonts w:hint="cs"/>
                <w:rtl/>
              </w:rPr>
              <w:t>בכותרת השוליים, בסופה יבוא "על ידי הממשלה";</w:t>
            </w:r>
          </w:p>
        </w:tc>
      </w:tr>
      <w:tr w:rsidR="00D73C1F" w14:paraId="1F16BD55" w14:textId="77777777" w:rsidTr="00D73C1F">
        <w:trPr>
          <w:cantSplit/>
        </w:trPr>
        <w:tc>
          <w:tcPr>
            <w:tcW w:w="1870" w:type="dxa"/>
            <w:shd w:val="clear" w:color="auto" w:fill="auto"/>
            <w:tcMar>
              <w:top w:w="91" w:type="dxa"/>
              <w:left w:w="0" w:type="dxa"/>
              <w:bottom w:w="91" w:type="dxa"/>
              <w:right w:w="0" w:type="dxa"/>
            </w:tcMar>
          </w:tcPr>
          <w:p w14:paraId="354C8705" w14:textId="77777777" w:rsidR="00D73C1F" w:rsidRDefault="00D73C1F" w:rsidP="006C7437">
            <w:pPr>
              <w:pStyle w:val="TableSideHeading"/>
              <w:outlineLvl w:val="9"/>
              <w:rPr>
                <w:rtl/>
              </w:rPr>
            </w:pPr>
          </w:p>
        </w:tc>
        <w:tc>
          <w:tcPr>
            <w:tcW w:w="624" w:type="dxa"/>
            <w:shd w:val="clear" w:color="auto" w:fill="auto"/>
            <w:tcMar>
              <w:top w:w="91" w:type="dxa"/>
              <w:left w:w="0" w:type="dxa"/>
              <w:bottom w:w="91" w:type="dxa"/>
              <w:right w:w="0" w:type="dxa"/>
            </w:tcMar>
          </w:tcPr>
          <w:p w14:paraId="53E4ADDF" w14:textId="77777777" w:rsidR="00D73C1F" w:rsidRDefault="00D73C1F" w:rsidP="006C7437">
            <w:pPr>
              <w:pStyle w:val="TableText"/>
              <w:rPr>
                <w:rtl/>
              </w:rPr>
            </w:pPr>
          </w:p>
        </w:tc>
        <w:tc>
          <w:tcPr>
            <w:tcW w:w="7143" w:type="dxa"/>
            <w:gridSpan w:val="5"/>
            <w:shd w:val="clear" w:color="auto" w:fill="auto"/>
            <w:tcMar>
              <w:top w:w="91" w:type="dxa"/>
              <w:left w:w="0" w:type="dxa"/>
              <w:bottom w:w="91" w:type="dxa"/>
              <w:right w:w="0" w:type="dxa"/>
            </w:tcMar>
          </w:tcPr>
          <w:p w14:paraId="06EF22CD" w14:textId="77777777" w:rsidR="00D73C1F" w:rsidRDefault="00D73C1F" w:rsidP="00D73C1F">
            <w:pPr>
              <w:pStyle w:val="TableBlock"/>
              <w:rPr>
                <w:rtl/>
              </w:rPr>
            </w:pPr>
            <w:r>
              <w:rPr>
                <w:rFonts w:hint="cs"/>
                <w:rtl/>
              </w:rPr>
              <w:t>(2)</w:t>
            </w:r>
            <w:r>
              <w:rPr>
                <w:rtl/>
              </w:rPr>
              <w:tab/>
            </w:r>
            <w:r>
              <w:rPr>
                <w:rFonts w:hint="cs"/>
                <w:rtl/>
              </w:rPr>
              <w:t xml:space="preserve">סעיפים קטנים (א) ו-(ג) </w:t>
            </w:r>
            <w:r>
              <w:rPr>
                <w:rtl/>
              </w:rPr>
              <w:t>–</w:t>
            </w:r>
            <w:r>
              <w:rPr>
                <w:rFonts w:hint="cs"/>
                <w:rtl/>
              </w:rPr>
              <w:t xml:space="preserve"> בטלים;</w:t>
            </w:r>
          </w:p>
        </w:tc>
      </w:tr>
      <w:tr w:rsidR="00D73C1F" w:rsidRPr="002506E6" w14:paraId="312FEFBA" w14:textId="77777777" w:rsidTr="00D73C1F">
        <w:trPr>
          <w:cantSplit/>
        </w:trPr>
        <w:tc>
          <w:tcPr>
            <w:tcW w:w="1870" w:type="dxa"/>
            <w:shd w:val="clear" w:color="auto" w:fill="auto"/>
            <w:tcMar>
              <w:top w:w="91" w:type="dxa"/>
              <w:left w:w="0" w:type="dxa"/>
              <w:bottom w:w="91" w:type="dxa"/>
              <w:right w:w="0" w:type="dxa"/>
            </w:tcMar>
          </w:tcPr>
          <w:p w14:paraId="466A3BD2" w14:textId="77777777" w:rsidR="00D73C1F" w:rsidRPr="002506E6" w:rsidRDefault="00D73C1F" w:rsidP="006C7437">
            <w:pPr>
              <w:pStyle w:val="TableSideHeading"/>
              <w:outlineLvl w:val="9"/>
              <w:rPr>
                <w:rtl/>
              </w:rPr>
            </w:pPr>
          </w:p>
        </w:tc>
        <w:tc>
          <w:tcPr>
            <w:tcW w:w="624" w:type="dxa"/>
            <w:shd w:val="clear" w:color="auto" w:fill="auto"/>
            <w:tcMar>
              <w:top w:w="91" w:type="dxa"/>
              <w:left w:w="0" w:type="dxa"/>
              <w:bottom w:w="91" w:type="dxa"/>
              <w:right w:w="0" w:type="dxa"/>
            </w:tcMar>
          </w:tcPr>
          <w:p w14:paraId="7485CE3D" w14:textId="77777777" w:rsidR="00D73C1F" w:rsidRPr="002506E6" w:rsidRDefault="00D73C1F" w:rsidP="006C7437">
            <w:pPr>
              <w:pStyle w:val="TableText"/>
              <w:rPr>
                <w:rtl/>
              </w:rPr>
            </w:pPr>
          </w:p>
        </w:tc>
        <w:tc>
          <w:tcPr>
            <w:tcW w:w="7143" w:type="dxa"/>
            <w:gridSpan w:val="5"/>
            <w:shd w:val="clear" w:color="auto" w:fill="auto"/>
            <w:tcMar>
              <w:top w:w="91" w:type="dxa"/>
              <w:left w:w="0" w:type="dxa"/>
              <w:bottom w:w="91" w:type="dxa"/>
              <w:right w:w="0" w:type="dxa"/>
            </w:tcMar>
          </w:tcPr>
          <w:p w14:paraId="4C45EA07" w14:textId="77777777" w:rsidR="00D73C1F" w:rsidRPr="002506E6" w:rsidRDefault="00D73C1F" w:rsidP="00D73C1F">
            <w:pPr>
              <w:pStyle w:val="TableBlock"/>
              <w:rPr>
                <w:rtl/>
              </w:rPr>
            </w:pPr>
            <w:r w:rsidRPr="002506E6">
              <w:rPr>
                <w:rFonts w:hint="cs"/>
                <w:rtl/>
              </w:rPr>
              <w:t>(3)</w:t>
            </w:r>
            <w:r w:rsidRPr="002506E6">
              <w:rPr>
                <w:rtl/>
              </w:rPr>
              <w:tab/>
            </w:r>
            <w:r w:rsidRPr="00F2199E">
              <w:rPr>
                <w:rFonts w:hint="eastAsia"/>
                <w:rtl/>
              </w:rPr>
              <w:t>בסעיף</w:t>
            </w:r>
            <w:r w:rsidRPr="00F2199E">
              <w:rPr>
                <w:rtl/>
              </w:rPr>
              <w:t xml:space="preserve"> </w:t>
            </w:r>
            <w:r w:rsidRPr="00F2199E">
              <w:rPr>
                <w:rFonts w:hint="eastAsia"/>
                <w:rtl/>
              </w:rPr>
              <w:t>קטן</w:t>
            </w:r>
            <w:r w:rsidRPr="00F2199E">
              <w:rPr>
                <w:rtl/>
              </w:rPr>
              <w:t xml:space="preserve"> (ד), אחרי "ברשומות" יבוא "ובאתר האינטרנט של משרד הבריאות".</w:t>
            </w:r>
          </w:p>
        </w:tc>
      </w:tr>
      <w:tr w:rsidR="00D73C1F" w14:paraId="05C2E6DF" w14:textId="77777777" w:rsidTr="00D73C1F">
        <w:tblPrEx>
          <w:tblLook w:val="01E0" w:firstRow="1" w:lastRow="1" w:firstColumn="1" w:lastColumn="1" w:noHBand="0" w:noVBand="0"/>
        </w:tblPrEx>
        <w:trPr>
          <w:cantSplit/>
        </w:trPr>
        <w:tc>
          <w:tcPr>
            <w:tcW w:w="1870" w:type="dxa"/>
          </w:tcPr>
          <w:p w14:paraId="170C7C9A" w14:textId="77777777" w:rsidR="00D73C1F" w:rsidRDefault="00D73C1F" w:rsidP="006C7437">
            <w:pPr>
              <w:pStyle w:val="TableSideHeading"/>
              <w:rPr>
                <w:rtl/>
              </w:rPr>
            </w:pPr>
            <w:r>
              <w:rPr>
                <w:rFonts w:hint="cs"/>
                <w:rtl/>
              </w:rPr>
              <w:t>תיקון סעיף 5</w:t>
            </w:r>
          </w:p>
        </w:tc>
        <w:tc>
          <w:tcPr>
            <w:tcW w:w="624" w:type="dxa"/>
          </w:tcPr>
          <w:p w14:paraId="5514E51A" w14:textId="77777777" w:rsidR="00D73C1F" w:rsidRDefault="00D73C1F" w:rsidP="006C7437">
            <w:pPr>
              <w:pStyle w:val="TableText"/>
              <w:rPr>
                <w:rtl/>
              </w:rPr>
            </w:pPr>
            <w:r>
              <w:rPr>
                <w:rFonts w:hint="cs"/>
                <w:rtl/>
              </w:rPr>
              <w:t>6.</w:t>
            </w:r>
          </w:p>
        </w:tc>
        <w:tc>
          <w:tcPr>
            <w:tcW w:w="7143" w:type="dxa"/>
            <w:gridSpan w:val="5"/>
          </w:tcPr>
          <w:p w14:paraId="1DA60963" w14:textId="77777777" w:rsidR="00D73C1F" w:rsidRDefault="00D73C1F" w:rsidP="00D73C1F">
            <w:pPr>
              <w:pStyle w:val="TableBlock"/>
              <w:rPr>
                <w:rtl/>
              </w:rPr>
            </w:pPr>
            <w:r>
              <w:rPr>
                <w:rFonts w:hint="cs"/>
                <w:rtl/>
              </w:rPr>
              <w:t xml:space="preserve">בסעיף 5 לחוק העיקרי </w:t>
            </w:r>
            <w:r>
              <w:rPr>
                <w:rFonts w:hint="eastAsia"/>
                <w:rtl/>
              </w:rPr>
              <w:t>–</w:t>
            </w:r>
            <w:r>
              <w:rPr>
                <w:rFonts w:hint="cs"/>
                <w:rtl/>
              </w:rPr>
              <w:t xml:space="preserve"> </w:t>
            </w:r>
          </w:p>
        </w:tc>
      </w:tr>
      <w:tr w:rsidR="00D73C1F" w14:paraId="44E0923F" w14:textId="77777777" w:rsidTr="00D73C1F">
        <w:tblPrEx>
          <w:tblLook w:val="01E0" w:firstRow="1" w:lastRow="1" w:firstColumn="1" w:lastColumn="1" w:noHBand="0" w:noVBand="0"/>
        </w:tblPrEx>
        <w:trPr>
          <w:cantSplit/>
        </w:trPr>
        <w:tc>
          <w:tcPr>
            <w:tcW w:w="1870" w:type="dxa"/>
          </w:tcPr>
          <w:p w14:paraId="211FAC91" w14:textId="77777777" w:rsidR="00D73C1F" w:rsidRDefault="00D73C1F" w:rsidP="006C7437">
            <w:pPr>
              <w:pStyle w:val="TableSideHeading"/>
              <w:rPr>
                <w:rtl/>
              </w:rPr>
            </w:pPr>
          </w:p>
        </w:tc>
        <w:tc>
          <w:tcPr>
            <w:tcW w:w="624" w:type="dxa"/>
          </w:tcPr>
          <w:p w14:paraId="572BE8F4" w14:textId="77777777" w:rsidR="00D73C1F" w:rsidRDefault="00D73C1F" w:rsidP="006C7437">
            <w:pPr>
              <w:pStyle w:val="TableText"/>
              <w:rPr>
                <w:rtl/>
              </w:rPr>
            </w:pPr>
          </w:p>
        </w:tc>
        <w:tc>
          <w:tcPr>
            <w:tcW w:w="7143" w:type="dxa"/>
            <w:gridSpan w:val="5"/>
          </w:tcPr>
          <w:p w14:paraId="4A94ADE9" w14:textId="77777777" w:rsidR="00D73C1F" w:rsidRDefault="00D73C1F" w:rsidP="00D73C1F">
            <w:pPr>
              <w:pStyle w:val="TableBlock"/>
              <w:rPr>
                <w:rtl/>
              </w:rPr>
            </w:pPr>
            <w:r>
              <w:rPr>
                <w:rFonts w:hint="cs"/>
                <w:rtl/>
              </w:rPr>
              <w:t>(1)</w:t>
            </w:r>
            <w:r>
              <w:rPr>
                <w:rtl/>
              </w:rPr>
              <w:tab/>
            </w:r>
            <w:r>
              <w:rPr>
                <w:rFonts w:hint="cs"/>
                <w:rtl/>
              </w:rPr>
              <w:t>בסעיף קטן (א), בכל מקום, במקום "של 14 ימים לפני תאריך אבחונו כחולה" יבוא "שחל עד 14 ימים לפני תאריך אבחונו כחולה ולפי ההנחיות המקצועיות של נציג משרד הבריאות;";</w:t>
            </w:r>
          </w:p>
        </w:tc>
      </w:tr>
      <w:tr w:rsidR="00D73C1F" w14:paraId="66567374" w14:textId="77777777" w:rsidTr="00D73C1F">
        <w:tblPrEx>
          <w:tblLook w:val="01E0" w:firstRow="1" w:lastRow="1" w:firstColumn="1" w:lastColumn="1" w:noHBand="0" w:noVBand="0"/>
        </w:tblPrEx>
        <w:trPr>
          <w:cantSplit/>
        </w:trPr>
        <w:tc>
          <w:tcPr>
            <w:tcW w:w="1870" w:type="dxa"/>
          </w:tcPr>
          <w:p w14:paraId="7657431D" w14:textId="77777777" w:rsidR="00D73C1F" w:rsidRDefault="00D73C1F" w:rsidP="006C7437">
            <w:pPr>
              <w:pStyle w:val="TableSideHeading"/>
              <w:rPr>
                <w:rtl/>
              </w:rPr>
            </w:pPr>
          </w:p>
        </w:tc>
        <w:tc>
          <w:tcPr>
            <w:tcW w:w="624" w:type="dxa"/>
          </w:tcPr>
          <w:p w14:paraId="0CB6B3A3" w14:textId="77777777" w:rsidR="00D73C1F" w:rsidRDefault="00D73C1F" w:rsidP="006C7437">
            <w:pPr>
              <w:pStyle w:val="TableText"/>
              <w:rPr>
                <w:rtl/>
              </w:rPr>
            </w:pPr>
          </w:p>
        </w:tc>
        <w:tc>
          <w:tcPr>
            <w:tcW w:w="7143" w:type="dxa"/>
            <w:gridSpan w:val="5"/>
          </w:tcPr>
          <w:p w14:paraId="581630AE" w14:textId="77777777" w:rsidR="00D73C1F" w:rsidRDefault="00D73C1F" w:rsidP="00D73C1F">
            <w:pPr>
              <w:pStyle w:val="TableBlock"/>
              <w:rPr>
                <w:rtl/>
              </w:rPr>
            </w:pPr>
            <w:r>
              <w:rPr>
                <w:rFonts w:hint="cs"/>
                <w:rtl/>
              </w:rPr>
              <w:t>(2)</w:t>
            </w:r>
            <w:r>
              <w:rPr>
                <w:rtl/>
              </w:rPr>
              <w:tab/>
            </w:r>
            <w:r>
              <w:rPr>
                <w:rFonts w:hint="cs"/>
                <w:rtl/>
              </w:rPr>
              <w:t xml:space="preserve"> סעיף קטן (ב) </w:t>
            </w:r>
            <w:r>
              <w:rPr>
                <w:rtl/>
              </w:rPr>
              <w:t>–</w:t>
            </w:r>
            <w:r>
              <w:rPr>
                <w:rFonts w:hint="cs"/>
                <w:rtl/>
              </w:rPr>
              <w:t xml:space="preserve"> בטל.</w:t>
            </w:r>
          </w:p>
        </w:tc>
      </w:tr>
      <w:tr w:rsidR="00D73C1F" w14:paraId="0A420CB8" w14:textId="77777777" w:rsidTr="00D73C1F">
        <w:tblPrEx>
          <w:tblLook w:val="01E0" w:firstRow="1" w:lastRow="1" w:firstColumn="1" w:lastColumn="1" w:noHBand="0" w:noVBand="0"/>
        </w:tblPrEx>
        <w:trPr>
          <w:cantSplit/>
        </w:trPr>
        <w:tc>
          <w:tcPr>
            <w:tcW w:w="1870" w:type="dxa"/>
          </w:tcPr>
          <w:p w14:paraId="1D9806BA" w14:textId="77777777" w:rsidR="00D73C1F" w:rsidRDefault="00D73C1F" w:rsidP="006C7437">
            <w:pPr>
              <w:pStyle w:val="TableSideHeading"/>
              <w:rPr>
                <w:rtl/>
              </w:rPr>
            </w:pPr>
            <w:r>
              <w:rPr>
                <w:rFonts w:hint="cs"/>
                <w:rtl/>
              </w:rPr>
              <w:t>תיקון סעיף 8</w:t>
            </w:r>
          </w:p>
        </w:tc>
        <w:tc>
          <w:tcPr>
            <w:tcW w:w="624" w:type="dxa"/>
          </w:tcPr>
          <w:p w14:paraId="6C46E263" w14:textId="77777777" w:rsidR="00D73C1F" w:rsidRDefault="00D73C1F" w:rsidP="006C7437">
            <w:pPr>
              <w:pStyle w:val="TableText"/>
              <w:rPr>
                <w:rtl/>
              </w:rPr>
            </w:pPr>
            <w:r>
              <w:rPr>
                <w:rFonts w:hint="cs"/>
                <w:rtl/>
              </w:rPr>
              <w:t>7.</w:t>
            </w:r>
          </w:p>
        </w:tc>
        <w:tc>
          <w:tcPr>
            <w:tcW w:w="7143" w:type="dxa"/>
            <w:gridSpan w:val="5"/>
          </w:tcPr>
          <w:p w14:paraId="7667E17A" w14:textId="77777777" w:rsidR="00D73C1F" w:rsidRDefault="00D73C1F" w:rsidP="00D73C1F">
            <w:pPr>
              <w:pStyle w:val="TableBlock"/>
              <w:rPr>
                <w:rtl/>
              </w:rPr>
            </w:pPr>
            <w:r>
              <w:rPr>
                <w:rFonts w:hint="cs"/>
                <w:rtl/>
              </w:rPr>
              <w:t xml:space="preserve">בסעיף 8 לחוק העיקרי </w:t>
            </w:r>
            <w:r>
              <w:rPr>
                <w:rFonts w:hint="eastAsia"/>
                <w:rtl/>
              </w:rPr>
              <w:t>–</w:t>
            </w:r>
          </w:p>
        </w:tc>
      </w:tr>
      <w:tr w:rsidR="00D73C1F" w14:paraId="13D0CEBA" w14:textId="77777777" w:rsidTr="00D73C1F">
        <w:tblPrEx>
          <w:tblLook w:val="01E0" w:firstRow="1" w:lastRow="1" w:firstColumn="1" w:lastColumn="1" w:noHBand="0" w:noVBand="0"/>
        </w:tblPrEx>
        <w:trPr>
          <w:cantSplit/>
        </w:trPr>
        <w:tc>
          <w:tcPr>
            <w:tcW w:w="1870" w:type="dxa"/>
          </w:tcPr>
          <w:p w14:paraId="22EEAB03" w14:textId="77777777" w:rsidR="00D73C1F" w:rsidRDefault="00D73C1F" w:rsidP="006C7437">
            <w:pPr>
              <w:pStyle w:val="TableSideHeading"/>
              <w:rPr>
                <w:rtl/>
              </w:rPr>
            </w:pPr>
          </w:p>
        </w:tc>
        <w:tc>
          <w:tcPr>
            <w:tcW w:w="624" w:type="dxa"/>
          </w:tcPr>
          <w:p w14:paraId="39236676" w14:textId="77777777" w:rsidR="00D73C1F" w:rsidRDefault="00D73C1F" w:rsidP="006C7437">
            <w:pPr>
              <w:pStyle w:val="TableText"/>
              <w:rPr>
                <w:rtl/>
              </w:rPr>
            </w:pPr>
          </w:p>
        </w:tc>
        <w:tc>
          <w:tcPr>
            <w:tcW w:w="7143" w:type="dxa"/>
            <w:gridSpan w:val="5"/>
          </w:tcPr>
          <w:p w14:paraId="1E1E8493" w14:textId="77777777" w:rsidR="00D73C1F" w:rsidRDefault="00D73C1F" w:rsidP="00D73C1F">
            <w:pPr>
              <w:pStyle w:val="TableBlock"/>
              <w:rPr>
                <w:rtl/>
              </w:rPr>
            </w:pPr>
            <w:r>
              <w:rPr>
                <w:rFonts w:hint="cs"/>
                <w:rtl/>
              </w:rPr>
              <w:t>(1)</w:t>
            </w:r>
            <w:r>
              <w:rPr>
                <w:rtl/>
              </w:rPr>
              <w:tab/>
            </w:r>
            <w:r>
              <w:rPr>
                <w:rFonts w:hint="cs"/>
                <w:rtl/>
              </w:rPr>
              <w:t>בכותרת הסעיף, בסופה יבוא "והשגה עליה";</w:t>
            </w:r>
          </w:p>
        </w:tc>
      </w:tr>
      <w:tr w:rsidR="00D73C1F" w14:paraId="29B52737" w14:textId="77777777" w:rsidTr="00D73C1F">
        <w:tblPrEx>
          <w:tblLook w:val="01E0" w:firstRow="1" w:lastRow="1" w:firstColumn="1" w:lastColumn="1" w:noHBand="0" w:noVBand="0"/>
        </w:tblPrEx>
        <w:trPr>
          <w:cantSplit/>
        </w:trPr>
        <w:tc>
          <w:tcPr>
            <w:tcW w:w="1870" w:type="dxa"/>
          </w:tcPr>
          <w:p w14:paraId="4C976872" w14:textId="77777777" w:rsidR="00D73C1F" w:rsidRDefault="00D73C1F" w:rsidP="006C7437">
            <w:pPr>
              <w:pStyle w:val="TableSideHeading"/>
              <w:rPr>
                <w:rtl/>
              </w:rPr>
            </w:pPr>
          </w:p>
        </w:tc>
        <w:tc>
          <w:tcPr>
            <w:tcW w:w="624" w:type="dxa"/>
          </w:tcPr>
          <w:p w14:paraId="678EC410" w14:textId="77777777" w:rsidR="00D73C1F" w:rsidRDefault="00D73C1F" w:rsidP="006C7437">
            <w:pPr>
              <w:pStyle w:val="TableText"/>
              <w:rPr>
                <w:rtl/>
              </w:rPr>
            </w:pPr>
          </w:p>
        </w:tc>
        <w:tc>
          <w:tcPr>
            <w:tcW w:w="7143" w:type="dxa"/>
            <w:gridSpan w:val="5"/>
          </w:tcPr>
          <w:p w14:paraId="6B04942B" w14:textId="77777777" w:rsidR="00D73C1F" w:rsidRDefault="00D73C1F" w:rsidP="00D73C1F">
            <w:pPr>
              <w:pStyle w:val="TableBlock"/>
              <w:rPr>
                <w:rtl/>
              </w:rPr>
            </w:pPr>
            <w:r>
              <w:rPr>
                <w:rFonts w:hint="cs"/>
                <w:rtl/>
              </w:rPr>
              <w:t>(2)</w:t>
            </w:r>
            <w:r>
              <w:rPr>
                <w:rtl/>
              </w:rPr>
              <w:tab/>
            </w:r>
            <w:r>
              <w:rPr>
                <w:rFonts w:hint="cs"/>
                <w:rtl/>
              </w:rPr>
              <w:t>במקום סעיף קטן (ג) יבוא:</w:t>
            </w:r>
          </w:p>
        </w:tc>
      </w:tr>
      <w:tr w:rsidR="00D73C1F" w14:paraId="102AC697" w14:textId="77777777" w:rsidTr="00D73C1F">
        <w:tblPrEx>
          <w:tblLook w:val="01E0" w:firstRow="1" w:lastRow="1" w:firstColumn="1" w:lastColumn="1" w:noHBand="0" w:noVBand="0"/>
        </w:tblPrEx>
        <w:trPr>
          <w:cantSplit/>
        </w:trPr>
        <w:tc>
          <w:tcPr>
            <w:tcW w:w="1870" w:type="dxa"/>
          </w:tcPr>
          <w:p w14:paraId="25AE2A8B" w14:textId="77777777" w:rsidR="00D73C1F" w:rsidRDefault="00D73C1F" w:rsidP="006C7437">
            <w:pPr>
              <w:pStyle w:val="TableSideHeading"/>
            </w:pPr>
          </w:p>
        </w:tc>
        <w:tc>
          <w:tcPr>
            <w:tcW w:w="624" w:type="dxa"/>
          </w:tcPr>
          <w:p w14:paraId="25A2EDDD" w14:textId="77777777" w:rsidR="00D73C1F" w:rsidRDefault="00D73C1F" w:rsidP="006C7437">
            <w:pPr>
              <w:pStyle w:val="TableText"/>
            </w:pPr>
          </w:p>
        </w:tc>
        <w:tc>
          <w:tcPr>
            <w:tcW w:w="624" w:type="dxa"/>
          </w:tcPr>
          <w:p w14:paraId="768C092E" w14:textId="77777777" w:rsidR="00D73C1F" w:rsidRDefault="00D73C1F" w:rsidP="006C7437">
            <w:pPr>
              <w:pStyle w:val="TableText"/>
            </w:pPr>
          </w:p>
        </w:tc>
        <w:tc>
          <w:tcPr>
            <w:tcW w:w="6519" w:type="dxa"/>
            <w:gridSpan w:val="4"/>
          </w:tcPr>
          <w:p w14:paraId="75491801" w14:textId="77777777" w:rsidR="00D73C1F" w:rsidRDefault="00D73C1F" w:rsidP="00D73C1F">
            <w:pPr>
              <w:pStyle w:val="TableBlock"/>
              <w:rPr>
                <w:rtl/>
              </w:rPr>
            </w:pPr>
            <w:r>
              <w:rPr>
                <w:rFonts w:hint="cs"/>
                <w:rtl/>
              </w:rPr>
              <w:t>"(ג)</w:t>
            </w:r>
            <w:r>
              <w:rPr>
                <w:rtl/>
              </w:rPr>
              <w:tab/>
            </w:r>
            <w:r w:rsidRPr="00084030">
              <w:rPr>
                <w:rtl/>
              </w:rPr>
              <w:t>אדם שקיבל הודעה לפי סעיף קטן (א), רשאי לפנות למשרד הבריאות בבקשה לבחינה חוזרת של הנתונים שעל בסיסם</w:t>
            </w:r>
            <w:r>
              <w:rPr>
                <w:rtl/>
              </w:rPr>
              <w:t xml:space="preserve"> התקבלה ההודעה (בחוק זה – השגה)</w:t>
            </w:r>
            <w:r>
              <w:rPr>
                <w:rFonts w:hint="cs"/>
                <w:rtl/>
              </w:rPr>
              <w:t>.</w:t>
            </w:r>
          </w:p>
        </w:tc>
      </w:tr>
      <w:tr w:rsidR="00D73C1F" w14:paraId="6ED9B28C" w14:textId="77777777" w:rsidTr="00D73C1F">
        <w:tblPrEx>
          <w:tblLook w:val="01E0" w:firstRow="1" w:lastRow="1" w:firstColumn="1" w:lastColumn="1" w:noHBand="0" w:noVBand="0"/>
        </w:tblPrEx>
        <w:trPr>
          <w:cantSplit/>
        </w:trPr>
        <w:tc>
          <w:tcPr>
            <w:tcW w:w="1870" w:type="dxa"/>
          </w:tcPr>
          <w:p w14:paraId="54115BCE" w14:textId="77777777" w:rsidR="00D73C1F" w:rsidRDefault="00D73C1F" w:rsidP="006C7437">
            <w:pPr>
              <w:pStyle w:val="TableSideHeading"/>
            </w:pPr>
          </w:p>
        </w:tc>
        <w:tc>
          <w:tcPr>
            <w:tcW w:w="624" w:type="dxa"/>
          </w:tcPr>
          <w:p w14:paraId="38FBDC95" w14:textId="77777777" w:rsidR="00D73C1F" w:rsidRDefault="00D73C1F" w:rsidP="006C7437">
            <w:pPr>
              <w:pStyle w:val="TableText"/>
            </w:pPr>
          </w:p>
        </w:tc>
        <w:tc>
          <w:tcPr>
            <w:tcW w:w="624" w:type="dxa"/>
          </w:tcPr>
          <w:p w14:paraId="314A0570" w14:textId="77777777" w:rsidR="00D73C1F" w:rsidRDefault="00D73C1F" w:rsidP="006C7437">
            <w:pPr>
              <w:pStyle w:val="TableText"/>
            </w:pPr>
          </w:p>
        </w:tc>
        <w:tc>
          <w:tcPr>
            <w:tcW w:w="6519" w:type="dxa"/>
            <w:gridSpan w:val="4"/>
          </w:tcPr>
          <w:p w14:paraId="7FBF7433" w14:textId="17F2AC67" w:rsidR="00D73C1F" w:rsidRDefault="00D73C1F" w:rsidP="00D73C1F">
            <w:pPr>
              <w:pStyle w:val="TableBlock"/>
              <w:rPr>
                <w:rtl/>
              </w:rPr>
            </w:pPr>
            <w:r>
              <w:rPr>
                <w:rFonts w:hint="cs"/>
                <w:rtl/>
              </w:rPr>
              <w:t>(ד)</w:t>
            </w:r>
            <w:r>
              <w:rPr>
                <w:rtl/>
              </w:rPr>
              <w:tab/>
            </w:r>
            <w:r w:rsidRPr="00084030">
              <w:rPr>
                <w:rtl/>
              </w:rPr>
              <w:t>פנה אדם בהשגה</w:t>
            </w:r>
            <w:r>
              <w:rPr>
                <w:rFonts w:hint="cs"/>
                <w:rtl/>
              </w:rPr>
              <w:t xml:space="preserve">, יתחשב משרד הבריאות בהחלטתו בה, בין היתר, בהצהרתו של המשיג לעניין מיקומו במועד הנקוב בהודעה והיותו </w:t>
            </w:r>
            <w:r w:rsidRPr="00647E30">
              <w:rPr>
                <w:rtl/>
              </w:rPr>
              <w:t>במגע קרוב עם חולה במועד מסוים</w:t>
            </w:r>
            <w:r w:rsidR="00B23452">
              <w:rPr>
                <w:rFonts w:hint="cs"/>
                <w:rtl/>
              </w:rPr>
              <w:t>.</w:t>
            </w:r>
            <w:bookmarkStart w:id="4" w:name="_GoBack"/>
            <w:bookmarkEnd w:id="4"/>
          </w:p>
        </w:tc>
      </w:tr>
      <w:tr w:rsidR="00D73C1F" w:rsidRPr="00084030" w14:paraId="2A2DE978" w14:textId="77777777" w:rsidTr="00D73C1F">
        <w:tblPrEx>
          <w:tblLook w:val="01E0" w:firstRow="1" w:lastRow="1" w:firstColumn="1" w:lastColumn="1" w:noHBand="0" w:noVBand="0"/>
        </w:tblPrEx>
        <w:trPr>
          <w:cantSplit/>
        </w:trPr>
        <w:tc>
          <w:tcPr>
            <w:tcW w:w="1870" w:type="dxa"/>
          </w:tcPr>
          <w:p w14:paraId="30A3A5F6" w14:textId="77777777" w:rsidR="00D73C1F" w:rsidRDefault="00D73C1F" w:rsidP="006C7437">
            <w:pPr>
              <w:pStyle w:val="TableSideHeading"/>
            </w:pPr>
          </w:p>
        </w:tc>
        <w:tc>
          <w:tcPr>
            <w:tcW w:w="624" w:type="dxa"/>
          </w:tcPr>
          <w:p w14:paraId="1122A703" w14:textId="77777777" w:rsidR="00D73C1F" w:rsidRDefault="00D73C1F" w:rsidP="006C7437">
            <w:pPr>
              <w:pStyle w:val="TableText"/>
            </w:pPr>
          </w:p>
        </w:tc>
        <w:tc>
          <w:tcPr>
            <w:tcW w:w="624" w:type="dxa"/>
          </w:tcPr>
          <w:p w14:paraId="796DCCFE" w14:textId="77777777" w:rsidR="00D73C1F" w:rsidRDefault="00D73C1F" w:rsidP="006C7437">
            <w:pPr>
              <w:pStyle w:val="TableText"/>
            </w:pPr>
          </w:p>
        </w:tc>
        <w:tc>
          <w:tcPr>
            <w:tcW w:w="6519" w:type="dxa"/>
            <w:gridSpan w:val="4"/>
          </w:tcPr>
          <w:p w14:paraId="045E213E" w14:textId="77777777" w:rsidR="00D73C1F" w:rsidRPr="00084030" w:rsidRDefault="00D73C1F" w:rsidP="00D73C1F">
            <w:pPr>
              <w:pStyle w:val="TableBlock"/>
              <w:rPr>
                <w:rtl/>
              </w:rPr>
            </w:pPr>
            <w:r>
              <w:rPr>
                <w:rFonts w:hint="cs"/>
                <w:rtl/>
              </w:rPr>
              <w:t>(ה)</w:t>
            </w:r>
            <w:r>
              <w:rPr>
                <w:rtl/>
              </w:rPr>
              <w:tab/>
            </w:r>
            <w:r w:rsidRPr="00E30BAF">
              <w:rPr>
                <w:rFonts w:hint="cs"/>
                <w:rtl/>
              </w:rPr>
              <w:t>פנה</w:t>
            </w:r>
            <w:r w:rsidRPr="00E30BAF">
              <w:rPr>
                <w:rtl/>
              </w:rPr>
              <w:t xml:space="preserve"> </w:t>
            </w:r>
            <w:r w:rsidRPr="00E30BAF">
              <w:rPr>
                <w:rFonts w:hint="cs"/>
                <w:rtl/>
              </w:rPr>
              <w:t>אדם</w:t>
            </w:r>
            <w:r w:rsidRPr="00E30BAF">
              <w:rPr>
                <w:rtl/>
              </w:rPr>
              <w:t xml:space="preserve"> </w:t>
            </w:r>
            <w:r w:rsidRPr="00E30BAF">
              <w:rPr>
                <w:rFonts w:hint="cs"/>
                <w:rtl/>
              </w:rPr>
              <w:t>בהשגה</w:t>
            </w:r>
            <w:r w:rsidRPr="00F2199E">
              <w:rPr>
                <w:rtl/>
              </w:rPr>
              <w:t>,</w:t>
            </w:r>
            <w:r w:rsidRPr="00E30BAF">
              <w:rPr>
                <w:rtl/>
              </w:rPr>
              <w:t xml:space="preserve"> </w:t>
            </w:r>
            <w:r w:rsidRPr="00E30BAF">
              <w:rPr>
                <w:rFonts w:hint="cs"/>
                <w:rtl/>
              </w:rPr>
              <w:t xml:space="preserve">רשאי </w:t>
            </w:r>
            <w:r w:rsidRPr="00E30BAF">
              <w:rPr>
                <w:rtl/>
              </w:rPr>
              <w:t>משרד הבריאות להעביר לשירות בקשה נוספת לביצוע פעולות הסיוע לגבי החולה שאותו אדם היה במגע קרוב עמו ואת פרטי ההשגה, ככל הנדרש, והשירות יהיה רשאי לבצע פעולות סיוע לגבי אותו חולה פעם נוספת, אם הדבר נדרש</w:t>
            </w:r>
            <w:r w:rsidRPr="00E30BAF">
              <w:rPr>
                <w:rFonts w:hint="cs"/>
                <w:rtl/>
              </w:rPr>
              <w:t xml:space="preserve">. </w:t>
            </w:r>
          </w:p>
        </w:tc>
      </w:tr>
      <w:tr w:rsidR="00D73C1F" w:rsidRPr="00084030" w14:paraId="1AC82BFA" w14:textId="77777777" w:rsidTr="00D73C1F">
        <w:tblPrEx>
          <w:tblLook w:val="01E0" w:firstRow="1" w:lastRow="1" w:firstColumn="1" w:lastColumn="1" w:noHBand="0" w:noVBand="0"/>
        </w:tblPrEx>
        <w:trPr>
          <w:cantSplit/>
        </w:trPr>
        <w:tc>
          <w:tcPr>
            <w:tcW w:w="1870" w:type="dxa"/>
          </w:tcPr>
          <w:p w14:paraId="3E625EEF" w14:textId="77777777" w:rsidR="00D73C1F" w:rsidRDefault="00D73C1F" w:rsidP="006C7437">
            <w:pPr>
              <w:pStyle w:val="TableSideHeading"/>
            </w:pPr>
          </w:p>
        </w:tc>
        <w:tc>
          <w:tcPr>
            <w:tcW w:w="624" w:type="dxa"/>
          </w:tcPr>
          <w:p w14:paraId="5EE0D575" w14:textId="77777777" w:rsidR="00D73C1F" w:rsidRDefault="00D73C1F" w:rsidP="006C7437">
            <w:pPr>
              <w:pStyle w:val="TableText"/>
            </w:pPr>
          </w:p>
        </w:tc>
        <w:tc>
          <w:tcPr>
            <w:tcW w:w="624" w:type="dxa"/>
          </w:tcPr>
          <w:p w14:paraId="7269D326" w14:textId="77777777" w:rsidR="00D73C1F" w:rsidRDefault="00D73C1F" w:rsidP="006C7437">
            <w:pPr>
              <w:pStyle w:val="TableText"/>
            </w:pPr>
          </w:p>
        </w:tc>
        <w:tc>
          <w:tcPr>
            <w:tcW w:w="6519" w:type="dxa"/>
            <w:gridSpan w:val="4"/>
          </w:tcPr>
          <w:p w14:paraId="60D65D5A" w14:textId="77777777" w:rsidR="00D73C1F" w:rsidRPr="00084030" w:rsidRDefault="00D73C1F" w:rsidP="00D73C1F">
            <w:pPr>
              <w:pStyle w:val="TableBlock"/>
              <w:rPr>
                <w:rtl/>
              </w:rPr>
            </w:pPr>
            <w:r>
              <w:rPr>
                <w:rFonts w:hint="cs"/>
                <w:rtl/>
              </w:rPr>
              <w:t>(ו)</w:t>
            </w:r>
            <w:r>
              <w:rPr>
                <w:rtl/>
              </w:rPr>
              <w:tab/>
            </w:r>
            <w:r>
              <w:rPr>
                <w:rFonts w:hint="cs"/>
                <w:rtl/>
              </w:rPr>
              <w:t xml:space="preserve">ההחלטה על דחיית ההשגה לפי סעיף זה תהיה מנומקת ותימסר לפונה </w:t>
            </w:r>
            <w:r w:rsidRPr="00084030">
              <w:rPr>
                <w:rtl/>
              </w:rPr>
              <w:t xml:space="preserve">בהקדם האפשרי בנסיבות העניין, </w:t>
            </w:r>
            <w:r w:rsidRPr="00BB51A4">
              <w:rPr>
                <w:rtl/>
              </w:rPr>
              <w:t xml:space="preserve">ולא יאוחר </w:t>
            </w:r>
            <w:r w:rsidRPr="00F2199E">
              <w:rPr>
                <w:rFonts w:hint="eastAsia"/>
                <w:rtl/>
              </w:rPr>
              <w:t>מ</w:t>
            </w:r>
            <w:r w:rsidRPr="00F2199E">
              <w:rPr>
                <w:rtl/>
              </w:rPr>
              <w:t xml:space="preserve">-24 שעות </w:t>
            </w:r>
            <w:r w:rsidRPr="00084030">
              <w:rPr>
                <w:rtl/>
              </w:rPr>
              <w:t xml:space="preserve">ממועד </w:t>
            </w:r>
            <w:r>
              <w:rPr>
                <w:rFonts w:hint="cs"/>
                <w:rtl/>
              </w:rPr>
              <w:t>הפנייה</w:t>
            </w:r>
            <w:r>
              <w:rPr>
                <w:rtl/>
              </w:rPr>
              <w:t xml:space="preserve"> </w:t>
            </w:r>
            <w:r>
              <w:rPr>
                <w:rFonts w:hint="cs"/>
                <w:rtl/>
              </w:rPr>
              <w:t>ב</w:t>
            </w:r>
            <w:r w:rsidRPr="00084030">
              <w:rPr>
                <w:rtl/>
              </w:rPr>
              <w:t>השגה</w:t>
            </w:r>
            <w:r>
              <w:rPr>
                <w:rFonts w:hint="cs"/>
                <w:rtl/>
              </w:rPr>
              <w:t>."</w:t>
            </w:r>
          </w:p>
        </w:tc>
      </w:tr>
      <w:tr w:rsidR="00D73C1F" w:rsidRPr="00A039E9" w14:paraId="5C51D3CC" w14:textId="77777777" w:rsidTr="00D73C1F">
        <w:tblPrEx>
          <w:tblLook w:val="01E0" w:firstRow="1" w:lastRow="1" w:firstColumn="1" w:lastColumn="1" w:noHBand="0" w:noVBand="0"/>
        </w:tblPrEx>
        <w:trPr>
          <w:cantSplit/>
        </w:trPr>
        <w:tc>
          <w:tcPr>
            <w:tcW w:w="1870" w:type="dxa"/>
          </w:tcPr>
          <w:p w14:paraId="0C4BC6FA" w14:textId="77777777" w:rsidR="00D73C1F" w:rsidRPr="00E30BAF" w:rsidRDefault="00D73C1F" w:rsidP="006C7437">
            <w:pPr>
              <w:pStyle w:val="TableSideHeading"/>
            </w:pPr>
            <w:r w:rsidRPr="00E30BAF">
              <w:rPr>
                <w:rFonts w:hint="cs"/>
                <w:rtl/>
              </w:rPr>
              <w:t>תיקון סעיף 10</w:t>
            </w:r>
          </w:p>
        </w:tc>
        <w:tc>
          <w:tcPr>
            <w:tcW w:w="624" w:type="dxa"/>
          </w:tcPr>
          <w:p w14:paraId="521D1E4A" w14:textId="77777777" w:rsidR="00D73C1F" w:rsidRPr="00A039E9" w:rsidRDefault="00D73C1F" w:rsidP="006C7437">
            <w:pPr>
              <w:pStyle w:val="TableText"/>
              <w:rPr>
                <w:color w:val="FF0000"/>
              </w:rPr>
            </w:pPr>
            <w:r w:rsidRPr="00B7399A">
              <w:rPr>
                <w:rFonts w:hint="cs"/>
                <w:rtl/>
              </w:rPr>
              <w:t xml:space="preserve">8. </w:t>
            </w:r>
          </w:p>
        </w:tc>
        <w:tc>
          <w:tcPr>
            <w:tcW w:w="7143" w:type="dxa"/>
            <w:gridSpan w:val="5"/>
          </w:tcPr>
          <w:p w14:paraId="421FE2EF" w14:textId="77777777" w:rsidR="00D73C1F" w:rsidRPr="00A039E9" w:rsidRDefault="00D73C1F" w:rsidP="00D73C1F">
            <w:pPr>
              <w:pStyle w:val="TableBlock"/>
              <w:rPr>
                <w:color w:val="FF0000"/>
                <w:rtl/>
              </w:rPr>
            </w:pPr>
            <w:r w:rsidRPr="00E30BAF">
              <w:rPr>
                <w:rFonts w:hint="cs"/>
                <w:rtl/>
              </w:rPr>
              <w:t xml:space="preserve">בסעיף 10 לחוק העיקרי </w:t>
            </w:r>
            <w:r w:rsidRPr="00E30BAF">
              <w:rPr>
                <w:rFonts w:hint="eastAsia"/>
                <w:rtl/>
              </w:rPr>
              <w:t>–</w:t>
            </w:r>
            <w:r w:rsidRPr="00E30BAF">
              <w:rPr>
                <w:rFonts w:hint="cs"/>
                <w:rtl/>
              </w:rPr>
              <w:t xml:space="preserve"> </w:t>
            </w:r>
          </w:p>
        </w:tc>
      </w:tr>
      <w:tr w:rsidR="00D73C1F" w:rsidRPr="00362BCA" w14:paraId="7A603405" w14:textId="77777777" w:rsidTr="00D73C1F">
        <w:tblPrEx>
          <w:tblLook w:val="01E0" w:firstRow="1" w:lastRow="1" w:firstColumn="1" w:lastColumn="1" w:noHBand="0" w:noVBand="0"/>
        </w:tblPrEx>
        <w:trPr>
          <w:cantSplit/>
        </w:trPr>
        <w:tc>
          <w:tcPr>
            <w:tcW w:w="1870" w:type="dxa"/>
          </w:tcPr>
          <w:p w14:paraId="4A37254E" w14:textId="77777777" w:rsidR="00D73C1F" w:rsidRPr="00A039E9" w:rsidRDefault="00D73C1F" w:rsidP="006C7437">
            <w:pPr>
              <w:pStyle w:val="TableSideHeading"/>
              <w:rPr>
                <w:color w:val="FF0000"/>
                <w:rtl/>
              </w:rPr>
            </w:pPr>
          </w:p>
        </w:tc>
        <w:tc>
          <w:tcPr>
            <w:tcW w:w="624" w:type="dxa"/>
          </w:tcPr>
          <w:p w14:paraId="409F0644" w14:textId="77777777" w:rsidR="00D73C1F" w:rsidRPr="00362BCA" w:rsidRDefault="00D73C1F" w:rsidP="006C7437">
            <w:pPr>
              <w:pStyle w:val="TableText"/>
              <w:rPr>
                <w:color w:val="FF0000"/>
                <w:rtl/>
              </w:rPr>
            </w:pPr>
          </w:p>
        </w:tc>
        <w:tc>
          <w:tcPr>
            <w:tcW w:w="7143" w:type="dxa"/>
            <w:gridSpan w:val="5"/>
          </w:tcPr>
          <w:p w14:paraId="2FC02BE1" w14:textId="77777777" w:rsidR="00D73C1F" w:rsidRPr="00362BCA" w:rsidRDefault="00D73C1F" w:rsidP="00D73C1F">
            <w:pPr>
              <w:pStyle w:val="TableBlock"/>
              <w:rPr>
                <w:color w:val="FF0000"/>
                <w:rtl/>
              </w:rPr>
            </w:pPr>
            <w:r w:rsidRPr="00362BCA">
              <w:rPr>
                <w:rFonts w:hint="cs"/>
                <w:rtl/>
              </w:rPr>
              <w:t>(1)</w:t>
            </w:r>
            <w:r w:rsidRPr="00362BCA">
              <w:rPr>
                <w:rtl/>
              </w:rPr>
              <w:tab/>
            </w:r>
            <w:r w:rsidRPr="00362BCA">
              <w:rPr>
                <w:rFonts w:hint="cs"/>
                <w:rtl/>
              </w:rPr>
              <w:t xml:space="preserve"> בסעיף קטן (א), אחרי פסקה (5) יבוא:</w:t>
            </w:r>
          </w:p>
        </w:tc>
      </w:tr>
      <w:tr w:rsidR="00D73C1F" w:rsidRPr="00362BCA" w14:paraId="670DA3CA" w14:textId="77777777" w:rsidTr="00D73C1F">
        <w:tblPrEx>
          <w:tblLook w:val="01E0" w:firstRow="1" w:lastRow="1" w:firstColumn="1" w:lastColumn="1" w:noHBand="0" w:noVBand="0"/>
        </w:tblPrEx>
        <w:trPr>
          <w:cantSplit/>
        </w:trPr>
        <w:tc>
          <w:tcPr>
            <w:tcW w:w="1870" w:type="dxa"/>
          </w:tcPr>
          <w:p w14:paraId="57B8A97D" w14:textId="77777777" w:rsidR="00D73C1F" w:rsidRPr="007577EF" w:rsidRDefault="00D73C1F" w:rsidP="006C7437">
            <w:pPr>
              <w:pStyle w:val="TableSideHeading"/>
            </w:pPr>
          </w:p>
        </w:tc>
        <w:tc>
          <w:tcPr>
            <w:tcW w:w="624" w:type="dxa"/>
          </w:tcPr>
          <w:p w14:paraId="624AFC0C" w14:textId="77777777" w:rsidR="00D73C1F" w:rsidRPr="00362BCA" w:rsidRDefault="00D73C1F" w:rsidP="006C7437">
            <w:pPr>
              <w:pStyle w:val="TableText"/>
            </w:pPr>
          </w:p>
        </w:tc>
        <w:tc>
          <w:tcPr>
            <w:tcW w:w="624" w:type="dxa"/>
          </w:tcPr>
          <w:p w14:paraId="71B437D1" w14:textId="77777777" w:rsidR="00D73C1F" w:rsidRPr="00362BCA" w:rsidRDefault="00D73C1F" w:rsidP="006C7437">
            <w:pPr>
              <w:pStyle w:val="TableText"/>
            </w:pPr>
          </w:p>
        </w:tc>
        <w:tc>
          <w:tcPr>
            <w:tcW w:w="6519" w:type="dxa"/>
            <w:gridSpan w:val="4"/>
          </w:tcPr>
          <w:p w14:paraId="29CE3680" w14:textId="77777777" w:rsidR="00D73C1F" w:rsidRPr="00362BCA" w:rsidRDefault="00D73C1F" w:rsidP="00D73C1F">
            <w:pPr>
              <w:pStyle w:val="TableBlock"/>
            </w:pPr>
            <w:r w:rsidRPr="00362BCA">
              <w:rPr>
                <w:rFonts w:hint="cs"/>
                <w:rtl/>
              </w:rPr>
              <w:t xml:space="preserve">"(6) </w:t>
            </w:r>
            <w:r w:rsidRPr="00362BCA">
              <w:rPr>
                <w:rtl/>
              </w:rPr>
              <w:tab/>
            </w:r>
            <w:r w:rsidRPr="009D727B">
              <w:rPr>
                <w:rFonts w:hint="cs"/>
                <w:rtl/>
              </w:rPr>
              <w:t xml:space="preserve">הוראות </w:t>
            </w:r>
            <w:r w:rsidRPr="009D727B">
              <w:rPr>
                <w:rFonts w:hint="eastAsia"/>
                <w:rtl/>
              </w:rPr>
              <w:t>לעניין</w:t>
            </w:r>
            <w:r w:rsidRPr="009D727B">
              <w:rPr>
                <w:rtl/>
              </w:rPr>
              <w:t xml:space="preserve"> </w:t>
            </w:r>
            <w:r w:rsidRPr="009D727B">
              <w:rPr>
                <w:rFonts w:hint="cs"/>
                <w:rtl/>
              </w:rPr>
              <w:t xml:space="preserve">החרגת </w:t>
            </w:r>
            <w:r w:rsidRPr="009D727B">
              <w:rPr>
                <w:rFonts w:hint="eastAsia"/>
                <w:rtl/>
              </w:rPr>
              <w:t>העברתם</w:t>
            </w:r>
            <w:r w:rsidRPr="009D727B">
              <w:rPr>
                <w:rFonts w:hint="cs"/>
                <w:rtl/>
              </w:rPr>
              <w:t xml:space="preserve"> של פרטי בקשה לקבלת סיוע של חולה שהוא עיתונאי.";</w:t>
            </w:r>
          </w:p>
        </w:tc>
      </w:tr>
      <w:tr w:rsidR="00D73C1F" w:rsidRPr="00F2199E" w14:paraId="7D698253" w14:textId="77777777" w:rsidTr="00D73C1F">
        <w:tblPrEx>
          <w:tblLook w:val="01E0" w:firstRow="1" w:lastRow="1" w:firstColumn="1" w:lastColumn="1" w:noHBand="0" w:noVBand="0"/>
        </w:tblPrEx>
        <w:trPr>
          <w:cantSplit/>
        </w:trPr>
        <w:tc>
          <w:tcPr>
            <w:tcW w:w="1870" w:type="dxa"/>
          </w:tcPr>
          <w:p w14:paraId="11516DAD" w14:textId="77777777" w:rsidR="00D73C1F" w:rsidRDefault="00D73C1F" w:rsidP="006C7437">
            <w:pPr>
              <w:pStyle w:val="TableSideHeading"/>
              <w:rPr>
                <w:color w:val="FF0000"/>
                <w:rtl/>
              </w:rPr>
            </w:pPr>
          </w:p>
        </w:tc>
        <w:tc>
          <w:tcPr>
            <w:tcW w:w="624" w:type="dxa"/>
          </w:tcPr>
          <w:p w14:paraId="7BE951E6" w14:textId="77777777" w:rsidR="00D73C1F" w:rsidRPr="00971FD4" w:rsidRDefault="00D73C1F" w:rsidP="006C7437">
            <w:pPr>
              <w:pStyle w:val="TableText"/>
              <w:rPr>
                <w:rtl/>
              </w:rPr>
            </w:pPr>
          </w:p>
        </w:tc>
        <w:tc>
          <w:tcPr>
            <w:tcW w:w="7143" w:type="dxa"/>
            <w:gridSpan w:val="5"/>
          </w:tcPr>
          <w:p w14:paraId="40F7CC68" w14:textId="77777777" w:rsidR="00D73C1F" w:rsidRPr="00F2199E" w:rsidRDefault="00D73C1F" w:rsidP="00D73C1F">
            <w:pPr>
              <w:pStyle w:val="TableBlock"/>
              <w:rPr>
                <w:rtl/>
              </w:rPr>
            </w:pPr>
            <w:r w:rsidRPr="00F2199E">
              <w:rPr>
                <w:rtl/>
              </w:rPr>
              <w:t>(2)</w:t>
            </w:r>
            <w:r w:rsidRPr="00F2199E">
              <w:rPr>
                <w:rtl/>
              </w:rPr>
              <w:tab/>
              <w:t xml:space="preserve"> סעיף קטן (ב) – בטל.</w:t>
            </w:r>
          </w:p>
        </w:tc>
      </w:tr>
      <w:tr w:rsidR="00D73C1F" w:rsidRPr="00C34DE2" w14:paraId="4CB0C688" w14:textId="77777777" w:rsidTr="00D73C1F">
        <w:tblPrEx>
          <w:tblLook w:val="01E0" w:firstRow="1" w:lastRow="1" w:firstColumn="1" w:lastColumn="1" w:noHBand="0" w:noVBand="0"/>
        </w:tblPrEx>
        <w:trPr>
          <w:cantSplit/>
        </w:trPr>
        <w:tc>
          <w:tcPr>
            <w:tcW w:w="1870" w:type="dxa"/>
          </w:tcPr>
          <w:p w14:paraId="53B9B478" w14:textId="77777777" w:rsidR="00D73C1F" w:rsidRDefault="00D73C1F" w:rsidP="006C7437">
            <w:pPr>
              <w:pStyle w:val="TableSideHeading"/>
            </w:pPr>
            <w:r>
              <w:rPr>
                <w:rFonts w:hint="cs"/>
                <w:rtl/>
              </w:rPr>
              <w:t>הוספת סעיף 12א</w:t>
            </w:r>
          </w:p>
        </w:tc>
        <w:tc>
          <w:tcPr>
            <w:tcW w:w="624" w:type="dxa"/>
          </w:tcPr>
          <w:p w14:paraId="164D456D" w14:textId="77777777" w:rsidR="00D73C1F" w:rsidRDefault="00D73C1F" w:rsidP="006C7437">
            <w:pPr>
              <w:pStyle w:val="TableText"/>
            </w:pPr>
            <w:r>
              <w:rPr>
                <w:rFonts w:hint="cs"/>
                <w:rtl/>
              </w:rPr>
              <w:t>9.</w:t>
            </w:r>
          </w:p>
        </w:tc>
        <w:tc>
          <w:tcPr>
            <w:tcW w:w="7143" w:type="dxa"/>
            <w:gridSpan w:val="5"/>
          </w:tcPr>
          <w:p w14:paraId="2D6D144E" w14:textId="77777777" w:rsidR="00D73C1F" w:rsidRPr="00C34DE2" w:rsidRDefault="00D73C1F" w:rsidP="00D73C1F">
            <w:pPr>
              <w:pStyle w:val="TableBlock"/>
              <w:rPr>
                <w:rtl/>
              </w:rPr>
            </w:pPr>
            <w:r>
              <w:rPr>
                <w:rFonts w:hint="cs"/>
                <w:rtl/>
              </w:rPr>
              <w:t>אחרי סעיף 12 לחוק העיקרי יבוא:</w:t>
            </w:r>
          </w:p>
        </w:tc>
      </w:tr>
      <w:tr w:rsidR="00D73C1F" w:rsidRPr="00971FD4" w14:paraId="3FB82AE3" w14:textId="77777777" w:rsidTr="00D73C1F">
        <w:tblPrEx>
          <w:tblLook w:val="01E0" w:firstRow="1" w:lastRow="1" w:firstColumn="1" w:lastColumn="1" w:noHBand="0" w:noVBand="0"/>
        </w:tblPrEx>
        <w:trPr>
          <w:cantSplit/>
        </w:trPr>
        <w:tc>
          <w:tcPr>
            <w:tcW w:w="1870" w:type="dxa"/>
          </w:tcPr>
          <w:p w14:paraId="34BD3336" w14:textId="77777777" w:rsidR="00D73C1F" w:rsidRDefault="00D73C1F" w:rsidP="006C7437">
            <w:pPr>
              <w:pStyle w:val="TableSideHeading"/>
              <w:keepLines w:val="0"/>
            </w:pPr>
          </w:p>
        </w:tc>
        <w:tc>
          <w:tcPr>
            <w:tcW w:w="624" w:type="dxa"/>
          </w:tcPr>
          <w:p w14:paraId="5962765B" w14:textId="77777777" w:rsidR="00D73C1F" w:rsidRDefault="00D73C1F" w:rsidP="006C7437">
            <w:pPr>
              <w:pStyle w:val="TableText"/>
              <w:keepLines w:val="0"/>
            </w:pPr>
          </w:p>
        </w:tc>
        <w:tc>
          <w:tcPr>
            <w:tcW w:w="1872" w:type="dxa"/>
            <w:gridSpan w:val="3"/>
          </w:tcPr>
          <w:p w14:paraId="316375CC" w14:textId="77777777" w:rsidR="00D73C1F" w:rsidRPr="002243C2" w:rsidRDefault="00D73C1F" w:rsidP="006C7437">
            <w:pPr>
              <w:pStyle w:val="TableInnerSideHeading"/>
              <w:tabs>
                <w:tab w:val="clear" w:pos="1247"/>
              </w:tabs>
            </w:pPr>
            <w:r w:rsidRPr="005F2B90">
              <w:rPr>
                <w:rFonts w:hint="cs"/>
                <w:rtl/>
              </w:rPr>
              <w:t xml:space="preserve">"קידום </w:t>
            </w:r>
            <w:r>
              <w:rPr>
                <w:rFonts w:hint="cs"/>
                <w:rtl/>
              </w:rPr>
              <w:t xml:space="preserve">ועידוד של </w:t>
            </w:r>
            <w:r w:rsidRPr="005F2B90">
              <w:rPr>
                <w:rFonts w:hint="cs"/>
                <w:rtl/>
              </w:rPr>
              <w:t>שימוש בטכנולוגיה אזרחית לאיתור מי שהיו במגע קרוב עם חולים</w:t>
            </w:r>
          </w:p>
        </w:tc>
        <w:tc>
          <w:tcPr>
            <w:tcW w:w="624" w:type="dxa"/>
          </w:tcPr>
          <w:p w14:paraId="4FAAECCC" w14:textId="77777777" w:rsidR="00D73C1F" w:rsidRPr="006954AC" w:rsidRDefault="00D73C1F" w:rsidP="006C7437">
            <w:pPr>
              <w:pStyle w:val="TableText"/>
            </w:pPr>
            <w:r>
              <w:rPr>
                <w:rFonts w:hint="cs"/>
                <w:rtl/>
              </w:rPr>
              <w:t>12א.</w:t>
            </w:r>
          </w:p>
        </w:tc>
        <w:tc>
          <w:tcPr>
            <w:tcW w:w="4647" w:type="dxa"/>
          </w:tcPr>
          <w:p w14:paraId="6B4B3835" w14:textId="77777777" w:rsidR="00D73C1F" w:rsidRPr="00971FD4" w:rsidRDefault="00D73C1F" w:rsidP="00D73C1F">
            <w:pPr>
              <w:pStyle w:val="TableBlock"/>
            </w:pPr>
            <w:r w:rsidRPr="00971FD4">
              <w:rPr>
                <w:rFonts w:hint="cs"/>
                <w:rtl/>
              </w:rPr>
              <w:t>(א)</w:t>
            </w:r>
            <w:r w:rsidRPr="00971FD4">
              <w:rPr>
                <w:rtl/>
              </w:rPr>
              <w:tab/>
            </w:r>
            <w:r w:rsidRPr="00971FD4">
              <w:rPr>
                <w:rFonts w:hint="cs"/>
                <w:rtl/>
              </w:rPr>
              <w:t>משרד הבריאות</w:t>
            </w:r>
            <w:r w:rsidRPr="00971FD4">
              <w:rPr>
                <w:rtl/>
              </w:rPr>
              <w:t xml:space="preserve"> </w:t>
            </w:r>
            <w:r w:rsidRPr="00971FD4">
              <w:rPr>
                <w:rFonts w:hint="cs"/>
                <w:rtl/>
              </w:rPr>
              <w:t>יעמיד לשימוש הציבור טכנולוגיה לאיתור מי שהיו במגע קרוב עם חולים</w:t>
            </w:r>
            <w:r w:rsidRPr="00971FD4">
              <w:rPr>
                <w:rtl/>
              </w:rPr>
              <w:t xml:space="preserve"> </w:t>
            </w:r>
            <w:r w:rsidRPr="00971FD4">
              <w:rPr>
                <w:rFonts w:hint="cs"/>
                <w:rtl/>
              </w:rPr>
              <w:t xml:space="preserve">לשם צמצום התפשטות נגיף הקורונה החדש (בסעיף זה </w:t>
            </w:r>
            <w:r w:rsidRPr="00971FD4">
              <w:rPr>
                <w:rtl/>
              </w:rPr>
              <w:t>–</w:t>
            </w:r>
            <w:r w:rsidRPr="00971FD4">
              <w:rPr>
                <w:rFonts w:hint="cs"/>
                <w:rtl/>
              </w:rPr>
              <w:t xml:space="preserve"> טכנולוגיה אזרחית), </w:t>
            </w:r>
            <w:r>
              <w:rPr>
                <w:rFonts w:hint="cs"/>
                <w:rtl/>
              </w:rPr>
              <w:t xml:space="preserve">וכן </w:t>
            </w:r>
            <w:r w:rsidRPr="00971FD4">
              <w:rPr>
                <w:rFonts w:hint="cs"/>
                <w:rtl/>
              </w:rPr>
              <w:t xml:space="preserve">יפיץ את הטכנולוגיה האזרחית ויקדם את השימוש בה בקרב הציבור הרחב בישראל. </w:t>
            </w:r>
          </w:p>
        </w:tc>
      </w:tr>
      <w:tr w:rsidR="00D73C1F" w:rsidRPr="002243C2" w14:paraId="2A9FDE29" w14:textId="77777777" w:rsidTr="00D73C1F">
        <w:tblPrEx>
          <w:tblLook w:val="01E0" w:firstRow="1" w:lastRow="1" w:firstColumn="1" w:lastColumn="1" w:noHBand="0" w:noVBand="0"/>
        </w:tblPrEx>
        <w:trPr>
          <w:cantSplit/>
        </w:trPr>
        <w:tc>
          <w:tcPr>
            <w:tcW w:w="1870" w:type="dxa"/>
          </w:tcPr>
          <w:p w14:paraId="17521405" w14:textId="77777777" w:rsidR="00D73C1F" w:rsidRDefault="00D73C1F" w:rsidP="006C7437">
            <w:pPr>
              <w:pStyle w:val="TableSideHeading"/>
            </w:pPr>
          </w:p>
        </w:tc>
        <w:tc>
          <w:tcPr>
            <w:tcW w:w="624" w:type="dxa"/>
          </w:tcPr>
          <w:p w14:paraId="42D6B738" w14:textId="77777777" w:rsidR="00D73C1F" w:rsidRDefault="00D73C1F" w:rsidP="006C7437">
            <w:pPr>
              <w:pStyle w:val="TableText"/>
            </w:pPr>
          </w:p>
        </w:tc>
        <w:tc>
          <w:tcPr>
            <w:tcW w:w="624" w:type="dxa"/>
          </w:tcPr>
          <w:p w14:paraId="423FAA0C" w14:textId="77777777" w:rsidR="00D73C1F" w:rsidRDefault="00D73C1F" w:rsidP="006C7437">
            <w:pPr>
              <w:pStyle w:val="TableText"/>
            </w:pPr>
          </w:p>
        </w:tc>
        <w:tc>
          <w:tcPr>
            <w:tcW w:w="624" w:type="dxa"/>
          </w:tcPr>
          <w:p w14:paraId="1F6B6BDF" w14:textId="77777777" w:rsidR="00D73C1F" w:rsidRDefault="00D73C1F" w:rsidP="006C7437">
            <w:pPr>
              <w:pStyle w:val="TableText"/>
            </w:pPr>
          </w:p>
        </w:tc>
        <w:tc>
          <w:tcPr>
            <w:tcW w:w="624" w:type="dxa"/>
          </w:tcPr>
          <w:p w14:paraId="771617DC" w14:textId="77777777" w:rsidR="00D73C1F" w:rsidRDefault="00D73C1F" w:rsidP="006C7437">
            <w:pPr>
              <w:pStyle w:val="TableText"/>
            </w:pPr>
          </w:p>
        </w:tc>
        <w:tc>
          <w:tcPr>
            <w:tcW w:w="624" w:type="dxa"/>
          </w:tcPr>
          <w:p w14:paraId="259E4890" w14:textId="77777777" w:rsidR="00D73C1F" w:rsidRDefault="00D73C1F" w:rsidP="006C7437">
            <w:pPr>
              <w:pStyle w:val="TableText"/>
            </w:pPr>
          </w:p>
        </w:tc>
        <w:tc>
          <w:tcPr>
            <w:tcW w:w="4647" w:type="dxa"/>
          </w:tcPr>
          <w:p w14:paraId="445276AF" w14:textId="77777777" w:rsidR="00D73C1F" w:rsidRPr="002243C2" w:rsidRDefault="00D73C1F" w:rsidP="00D73C1F">
            <w:pPr>
              <w:pStyle w:val="TableBlock"/>
            </w:pPr>
            <w:r w:rsidRPr="002243C2">
              <w:rPr>
                <w:rFonts w:hint="cs"/>
                <w:rtl/>
              </w:rPr>
              <w:t>(ב)</w:t>
            </w:r>
            <w:r w:rsidRPr="002243C2">
              <w:rPr>
                <w:rtl/>
              </w:rPr>
              <w:tab/>
            </w:r>
            <w:r w:rsidRPr="002243C2">
              <w:rPr>
                <w:rFonts w:hint="cs"/>
                <w:rtl/>
              </w:rPr>
              <w:t>התקנת טכנולוג</w:t>
            </w:r>
            <w:r>
              <w:rPr>
                <w:rFonts w:hint="cs"/>
                <w:rtl/>
              </w:rPr>
              <w:t>יה אזרחית</w:t>
            </w:r>
            <w:r w:rsidRPr="002243C2">
              <w:rPr>
                <w:rFonts w:hint="cs"/>
                <w:rtl/>
              </w:rPr>
              <w:t xml:space="preserve"> והשימוש בה י</w:t>
            </w:r>
            <w:r>
              <w:rPr>
                <w:rFonts w:hint="cs"/>
                <w:rtl/>
              </w:rPr>
              <w:t>י</w:t>
            </w:r>
            <w:r w:rsidRPr="002243C2">
              <w:rPr>
                <w:rFonts w:hint="cs"/>
                <w:rtl/>
              </w:rPr>
              <w:t xml:space="preserve">עשו רק </w:t>
            </w:r>
            <w:r>
              <w:rPr>
                <w:rFonts w:hint="cs"/>
                <w:rtl/>
              </w:rPr>
              <w:t>ב</w:t>
            </w:r>
            <w:r w:rsidRPr="002243C2">
              <w:rPr>
                <w:rFonts w:hint="cs"/>
                <w:rtl/>
              </w:rPr>
              <w:t>הסכמתו מדעת של המשתמש ומתוך רצונו החופשי</w:t>
            </w:r>
            <w:r>
              <w:rPr>
                <w:rFonts w:hint="cs"/>
                <w:rtl/>
              </w:rPr>
              <w:t>;</w:t>
            </w:r>
            <w:r w:rsidRPr="002243C2">
              <w:rPr>
                <w:rFonts w:hint="cs"/>
                <w:rtl/>
              </w:rPr>
              <w:t xml:space="preserve"> השימוש </w:t>
            </w:r>
            <w:r w:rsidRPr="00F2199E">
              <w:rPr>
                <w:rFonts w:hint="cs"/>
                <w:rtl/>
              </w:rPr>
              <w:t xml:space="preserve">בטכנולוגיה </w:t>
            </w:r>
            <w:r w:rsidRPr="00F2199E">
              <w:rPr>
                <w:rtl/>
              </w:rPr>
              <w:t>יהיה</w:t>
            </w:r>
            <w:r w:rsidRPr="002243C2">
              <w:rPr>
                <w:rFonts w:hint="cs"/>
                <w:rtl/>
              </w:rPr>
              <w:t xml:space="preserve"> ללא תשלום.</w:t>
            </w:r>
          </w:p>
        </w:tc>
      </w:tr>
      <w:tr w:rsidR="00D73C1F" w:rsidRPr="002243C2" w14:paraId="6D30BFEF" w14:textId="77777777" w:rsidTr="00D73C1F">
        <w:tblPrEx>
          <w:tblLook w:val="01E0" w:firstRow="1" w:lastRow="1" w:firstColumn="1" w:lastColumn="1" w:noHBand="0" w:noVBand="0"/>
        </w:tblPrEx>
        <w:trPr>
          <w:cantSplit/>
        </w:trPr>
        <w:tc>
          <w:tcPr>
            <w:tcW w:w="1870" w:type="dxa"/>
          </w:tcPr>
          <w:p w14:paraId="521A826A" w14:textId="77777777" w:rsidR="00D73C1F" w:rsidRDefault="00D73C1F" w:rsidP="006C7437">
            <w:pPr>
              <w:pStyle w:val="TableSideHeading"/>
            </w:pPr>
          </w:p>
        </w:tc>
        <w:tc>
          <w:tcPr>
            <w:tcW w:w="624" w:type="dxa"/>
          </w:tcPr>
          <w:p w14:paraId="5E0A0D33" w14:textId="77777777" w:rsidR="00D73C1F" w:rsidRDefault="00D73C1F" w:rsidP="006C7437">
            <w:pPr>
              <w:pStyle w:val="TableText"/>
            </w:pPr>
          </w:p>
        </w:tc>
        <w:tc>
          <w:tcPr>
            <w:tcW w:w="624" w:type="dxa"/>
          </w:tcPr>
          <w:p w14:paraId="42A93E8F" w14:textId="77777777" w:rsidR="00D73C1F" w:rsidRDefault="00D73C1F" w:rsidP="006C7437">
            <w:pPr>
              <w:pStyle w:val="TableText"/>
            </w:pPr>
          </w:p>
        </w:tc>
        <w:tc>
          <w:tcPr>
            <w:tcW w:w="624" w:type="dxa"/>
          </w:tcPr>
          <w:p w14:paraId="71D1D667" w14:textId="77777777" w:rsidR="00D73C1F" w:rsidRDefault="00D73C1F" w:rsidP="006C7437">
            <w:pPr>
              <w:pStyle w:val="TableText"/>
            </w:pPr>
          </w:p>
        </w:tc>
        <w:tc>
          <w:tcPr>
            <w:tcW w:w="624" w:type="dxa"/>
          </w:tcPr>
          <w:p w14:paraId="1A1B212F" w14:textId="77777777" w:rsidR="00D73C1F" w:rsidRDefault="00D73C1F" w:rsidP="006C7437">
            <w:pPr>
              <w:pStyle w:val="TableText"/>
            </w:pPr>
          </w:p>
        </w:tc>
        <w:tc>
          <w:tcPr>
            <w:tcW w:w="624" w:type="dxa"/>
          </w:tcPr>
          <w:p w14:paraId="1DD4D3FB" w14:textId="77777777" w:rsidR="00D73C1F" w:rsidRDefault="00D73C1F" w:rsidP="006C7437">
            <w:pPr>
              <w:pStyle w:val="TableText"/>
            </w:pPr>
          </w:p>
        </w:tc>
        <w:tc>
          <w:tcPr>
            <w:tcW w:w="4647" w:type="dxa"/>
          </w:tcPr>
          <w:p w14:paraId="08D4F7BD" w14:textId="77777777" w:rsidR="00D73C1F" w:rsidRPr="002243C2" w:rsidRDefault="00D73C1F" w:rsidP="00D73C1F">
            <w:pPr>
              <w:pStyle w:val="TableBlock"/>
            </w:pPr>
            <w:r w:rsidRPr="002243C2">
              <w:rPr>
                <w:rFonts w:hint="cs"/>
                <w:rtl/>
              </w:rPr>
              <w:t>(</w:t>
            </w:r>
            <w:r>
              <w:rPr>
                <w:rFonts w:hint="cs"/>
                <w:rtl/>
              </w:rPr>
              <w:t>ג</w:t>
            </w:r>
            <w:r w:rsidRPr="002243C2">
              <w:rPr>
                <w:rFonts w:hint="cs"/>
                <w:rtl/>
              </w:rPr>
              <w:t>)</w:t>
            </w:r>
            <w:r w:rsidRPr="002243C2">
              <w:rPr>
                <w:rtl/>
              </w:rPr>
              <w:tab/>
            </w:r>
            <w:r w:rsidRPr="005D781D">
              <w:rPr>
                <w:rFonts w:hint="cs"/>
                <w:rtl/>
              </w:rPr>
              <w:t>שר הבריאות יגבש תכנית לאומית לעידוד הציבור להשתמש בטכנולוגיה האזרחית ויבטיח את התקציב הדרוש למימושה</w:t>
            </w:r>
            <w:r>
              <w:rPr>
                <w:rFonts w:hint="cs"/>
                <w:rtl/>
              </w:rPr>
              <w:t>.</w:t>
            </w:r>
          </w:p>
        </w:tc>
      </w:tr>
      <w:tr w:rsidR="00D73C1F" w:rsidRPr="002243C2" w14:paraId="08B5E481" w14:textId="77777777" w:rsidTr="00D73C1F">
        <w:tblPrEx>
          <w:tblLook w:val="01E0" w:firstRow="1" w:lastRow="1" w:firstColumn="1" w:lastColumn="1" w:noHBand="0" w:noVBand="0"/>
        </w:tblPrEx>
        <w:trPr>
          <w:cantSplit/>
        </w:trPr>
        <w:tc>
          <w:tcPr>
            <w:tcW w:w="1870" w:type="dxa"/>
          </w:tcPr>
          <w:p w14:paraId="02402F76" w14:textId="77777777" w:rsidR="00D73C1F" w:rsidRDefault="00D73C1F" w:rsidP="006C7437">
            <w:pPr>
              <w:pStyle w:val="TableSideHeading"/>
            </w:pPr>
          </w:p>
        </w:tc>
        <w:tc>
          <w:tcPr>
            <w:tcW w:w="624" w:type="dxa"/>
          </w:tcPr>
          <w:p w14:paraId="73696A40" w14:textId="77777777" w:rsidR="00D73C1F" w:rsidRDefault="00D73C1F" w:rsidP="006C7437">
            <w:pPr>
              <w:pStyle w:val="TableText"/>
            </w:pPr>
          </w:p>
        </w:tc>
        <w:tc>
          <w:tcPr>
            <w:tcW w:w="624" w:type="dxa"/>
          </w:tcPr>
          <w:p w14:paraId="2E1E15C9" w14:textId="77777777" w:rsidR="00D73C1F" w:rsidRDefault="00D73C1F" w:rsidP="006C7437">
            <w:pPr>
              <w:pStyle w:val="TableText"/>
            </w:pPr>
          </w:p>
        </w:tc>
        <w:tc>
          <w:tcPr>
            <w:tcW w:w="624" w:type="dxa"/>
          </w:tcPr>
          <w:p w14:paraId="5336863A" w14:textId="77777777" w:rsidR="00D73C1F" w:rsidRDefault="00D73C1F" w:rsidP="006C7437">
            <w:pPr>
              <w:pStyle w:val="TableText"/>
            </w:pPr>
          </w:p>
        </w:tc>
        <w:tc>
          <w:tcPr>
            <w:tcW w:w="624" w:type="dxa"/>
          </w:tcPr>
          <w:p w14:paraId="6DC8407A" w14:textId="77777777" w:rsidR="00D73C1F" w:rsidRDefault="00D73C1F" w:rsidP="006C7437">
            <w:pPr>
              <w:pStyle w:val="TableText"/>
            </w:pPr>
          </w:p>
        </w:tc>
        <w:tc>
          <w:tcPr>
            <w:tcW w:w="624" w:type="dxa"/>
          </w:tcPr>
          <w:p w14:paraId="365E6741" w14:textId="77777777" w:rsidR="00D73C1F" w:rsidRDefault="00D73C1F" w:rsidP="006C7437">
            <w:pPr>
              <w:pStyle w:val="TableText"/>
            </w:pPr>
          </w:p>
        </w:tc>
        <w:tc>
          <w:tcPr>
            <w:tcW w:w="4647" w:type="dxa"/>
          </w:tcPr>
          <w:p w14:paraId="5EAC07D8" w14:textId="77777777" w:rsidR="00D73C1F" w:rsidRPr="002243C2" w:rsidRDefault="00D73C1F" w:rsidP="00D73C1F">
            <w:pPr>
              <w:pStyle w:val="TableBlock"/>
            </w:pPr>
            <w:r w:rsidRPr="002243C2">
              <w:rPr>
                <w:rFonts w:hint="cs"/>
                <w:rtl/>
              </w:rPr>
              <w:t>(</w:t>
            </w:r>
            <w:r>
              <w:rPr>
                <w:rFonts w:hint="cs"/>
                <w:rtl/>
              </w:rPr>
              <w:t>ד</w:t>
            </w:r>
            <w:r w:rsidRPr="002243C2">
              <w:rPr>
                <w:rFonts w:hint="cs"/>
                <w:rtl/>
              </w:rPr>
              <w:t>)</w:t>
            </w:r>
            <w:r w:rsidRPr="002243C2">
              <w:rPr>
                <w:rtl/>
              </w:rPr>
              <w:tab/>
            </w:r>
            <w:r w:rsidRPr="002243C2">
              <w:rPr>
                <w:rFonts w:hint="cs"/>
                <w:rtl/>
              </w:rPr>
              <w:t>שר הבריאות רשאי להתקין תקנות לעניין ביצועו של סעיף זה.</w:t>
            </w:r>
          </w:p>
        </w:tc>
      </w:tr>
      <w:tr w:rsidR="00D73C1F" w:rsidRPr="002243C2" w14:paraId="6BFECC6A" w14:textId="77777777" w:rsidTr="00D73C1F">
        <w:tblPrEx>
          <w:tblLook w:val="01E0" w:firstRow="1" w:lastRow="1" w:firstColumn="1" w:lastColumn="1" w:noHBand="0" w:noVBand="0"/>
        </w:tblPrEx>
        <w:trPr>
          <w:cantSplit/>
        </w:trPr>
        <w:tc>
          <w:tcPr>
            <w:tcW w:w="1870" w:type="dxa"/>
          </w:tcPr>
          <w:p w14:paraId="450BE614" w14:textId="77777777" w:rsidR="00D73C1F" w:rsidRDefault="00D73C1F" w:rsidP="006C7437">
            <w:pPr>
              <w:pStyle w:val="TableSideHeading"/>
            </w:pPr>
          </w:p>
        </w:tc>
        <w:tc>
          <w:tcPr>
            <w:tcW w:w="624" w:type="dxa"/>
          </w:tcPr>
          <w:p w14:paraId="74867676" w14:textId="77777777" w:rsidR="00D73C1F" w:rsidRDefault="00D73C1F" w:rsidP="006C7437">
            <w:pPr>
              <w:pStyle w:val="TableText"/>
            </w:pPr>
          </w:p>
        </w:tc>
        <w:tc>
          <w:tcPr>
            <w:tcW w:w="624" w:type="dxa"/>
          </w:tcPr>
          <w:p w14:paraId="657B8DF7" w14:textId="77777777" w:rsidR="00D73C1F" w:rsidRDefault="00D73C1F" w:rsidP="006C7437">
            <w:pPr>
              <w:pStyle w:val="TableText"/>
            </w:pPr>
          </w:p>
        </w:tc>
        <w:tc>
          <w:tcPr>
            <w:tcW w:w="624" w:type="dxa"/>
          </w:tcPr>
          <w:p w14:paraId="50023BBC" w14:textId="77777777" w:rsidR="00D73C1F" w:rsidRDefault="00D73C1F" w:rsidP="006C7437">
            <w:pPr>
              <w:pStyle w:val="TableText"/>
            </w:pPr>
          </w:p>
        </w:tc>
        <w:tc>
          <w:tcPr>
            <w:tcW w:w="624" w:type="dxa"/>
          </w:tcPr>
          <w:p w14:paraId="00BA7092" w14:textId="77777777" w:rsidR="00D73C1F" w:rsidRDefault="00D73C1F" w:rsidP="006C7437">
            <w:pPr>
              <w:pStyle w:val="TableText"/>
            </w:pPr>
          </w:p>
        </w:tc>
        <w:tc>
          <w:tcPr>
            <w:tcW w:w="624" w:type="dxa"/>
          </w:tcPr>
          <w:p w14:paraId="0B7D3947" w14:textId="77777777" w:rsidR="00D73C1F" w:rsidRDefault="00D73C1F" w:rsidP="006C7437">
            <w:pPr>
              <w:pStyle w:val="TableText"/>
            </w:pPr>
          </w:p>
        </w:tc>
        <w:tc>
          <w:tcPr>
            <w:tcW w:w="4647" w:type="dxa"/>
          </w:tcPr>
          <w:p w14:paraId="5E0B2106" w14:textId="77777777" w:rsidR="00D73C1F" w:rsidRPr="002243C2" w:rsidRDefault="00D73C1F" w:rsidP="00D73C1F">
            <w:pPr>
              <w:pStyle w:val="TableBlock"/>
              <w:rPr>
                <w:rtl/>
              </w:rPr>
            </w:pPr>
            <w:r>
              <w:rPr>
                <w:rFonts w:hint="cs"/>
                <w:rtl/>
              </w:rPr>
              <w:t>(ה)</w:t>
            </w:r>
            <w:r>
              <w:rPr>
                <w:rtl/>
              </w:rPr>
              <w:tab/>
            </w:r>
            <w:r>
              <w:rPr>
                <w:rFonts w:hint="cs"/>
                <w:rtl/>
              </w:rPr>
              <w:t xml:space="preserve">טכנולוגיית האיתור תועמד לשימוש הציבור בתוך שבעה ימים מיום </w:t>
            </w:r>
            <w:r w:rsidRPr="002243C2">
              <w:rPr>
                <w:rFonts w:hint="eastAsia"/>
                <w:rtl/>
              </w:rPr>
              <w:t>פרסומו</w:t>
            </w:r>
            <w:r w:rsidRPr="002243C2">
              <w:rPr>
                <w:rtl/>
              </w:rPr>
              <w:t xml:space="preserve"> </w:t>
            </w:r>
            <w:r w:rsidRPr="002243C2">
              <w:rPr>
                <w:rFonts w:hint="eastAsia"/>
                <w:rtl/>
              </w:rPr>
              <w:t>של</w:t>
            </w:r>
            <w:r w:rsidRPr="002243C2">
              <w:rPr>
                <w:rtl/>
              </w:rPr>
              <w:t xml:space="preserve"> </w:t>
            </w:r>
            <w:r w:rsidRPr="002243C2">
              <w:rPr>
                <w:rFonts w:hint="eastAsia"/>
                <w:rtl/>
              </w:rPr>
              <w:t>חוק</w:t>
            </w:r>
            <w:r w:rsidRPr="002243C2">
              <w:rPr>
                <w:rtl/>
              </w:rPr>
              <w:t xml:space="preserve"> </w:t>
            </w:r>
            <w:r w:rsidRPr="002243C2">
              <w:rPr>
                <w:rFonts w:hint="cs"/>
                <w:rtl/>
              </w:rPr>
              <w:t xml:space="preserve">הסמכת שירות הביטחון הכללי לסייע במאמץ הלאומי לצמצום התפשטות נגיף הקורונה החדש (הוראת שעה) (תיקון), </w:t>
            </w:r>
            <w:proofErr w:type="spellStart"/>
            <w:r w:rsidRPr="002243C2">
              <w:rPr>
                <w:rFonts w:hint="cs"/>
                <w:rtl/>
              </w:rPr>
              <w:t>התש"ף</w:t>
            </w:r>
            <w:proofErr w:type="spellEnd"/>
            <w:r w:rsidRPr="002243C2">
              <w:rPr>
                <w:rFonts w:hint="eastAsia"/>
                <w:rtl/>
              </w:rPr>
              <w:t>–</w:t>
            </w:r>
            <w:r w:rsidRPr="002243C2">
              <w:rPr>
                <w:rFonts w:hint="cs"/>
                <w:rtl/>
              </w:rPr>
              <w:t>2020</w:t>
            </w:r>
            <w:r w:rsidRPr="00D73C1F">
              <w:rPr>
                <w:rFonts w:ascii="David" w:hAnsi="David"/>
                <w:sz w:val="26"/>
                <w:vertAlign w:val="superscript"/>
                <w:rtl/>
              </w:rPr>
              <w:footnoteReference w:id="3"/>
            </w:r>
            <w:r>
              <w:rPr>
                <w:rFonts w:hint="cs"/>
                <w:rtl/>
              </w:rPr>
              <w:t xml:space="preserve"> (בסעיף זה </w:t>
            </w:r>
            <w:r>
              <w:rPr>
                <w:rtl/>
              </w:rPr>
              <w:t>–</w:t>
            </w:r>
            <w:r>
              <w:rPr>
                <w:rFonts w:hint="cs"/>
                <w:rtl/>
              </w:rPr>
              <w:t xml:space="preserve"> יום הפרסום); גיבוש התכנית הלאומית לעידוד השימוש בטכנולוגיה והקצאת התקציב למימושה יושלמו בתוך 14 ימים מיום הפרסום."</w:t>
            </w:r>
          </w:p>
        </w:tc>
      </w:tr>
      <w:tr w:rsidR="00D73C1F" w14:paraId="54C980FD" w14:textId="77777777" w:rsidTr="00D73C1F">
        <w:tblPrEx>
          <w:tblLook w:val="01E0" w:firstRow="1" w:lastRow="1" w:firstColumn="1" w:lastColumn="1" w:noHBand="0" w:noVBand="0"/>
        </w:tblPrEx>
        <w:trPr>
          <w:cantSplit/>
        </w:trPr>
        <w:tc>
          <w:tcPr>
            <w:tcW w:w="1870" w:type="dxa"/>
          </w:tcPr>
          <w:p w14:paraId="28F4EFF3" w14:textId="77777777" w:rsidR="00D73C1F" w:rsidRDefault="00D73C1F" w:rsidP="006C7437">
            <w:pPr>
              <w:pStyle w:val="TableSideHeading"/>
            </w:pPr>
            <w:r>
              <w:rPr>
                <w:rFonts w:hint="cs"/>
                <w:rtl/>
              </w:rPr>
              <w:t>תיקון סעיף 13</w:t>
            </w:r>
          </w:p>
        </w:tc>
        <w:tc>
          <w:tcPr>
            <w:tcW w:w="624" w:type="dxa"/>
          </w:tcPr>
          <w:p w14:paraId="57A6176A" w14:textId="77777777" w:rsidR="00D73C1F" w:rsidRDefault="00D73C1F" w:rsidP="006C7437">
            <w:pPr>
              <w:pStyle w:val="TableText"/>
            </w:pPr>
            <w:r>
              <w:rPr>
                <w:rFonts w:hint="cs"/>
                <w:rtl/>
              </w:rPr>
              <w:t>10.</w:t>
            </w:r>
          </w:p>
        </w:tc>
        <w:tc>
          <w:tcPr>
            <w:tcW w:w="7143" w:type="dxa"/>
            <w:gridSpan w:val="5"/>
          </w:tcPr>
          <w:p w14:paraId="19DD2B0E" w14:textId="77777777" w:rsidR="00D73C1F" w:rsidRDefault="00D73C1F" w:rsidP="00D73C1F">
            <w:pPr>
              <w:pStyle w:val="TableBlock"/>
            </w:pPr>
            <w:r>
              <w:rPr>
                <w:rFonts w:hint="cs"/>
                <w:rtl/>
              </w:rPr>
              <w:t>בסעיף 13(ב) לחוק העיקרי, אחרי "לפי סעיף 7" יבוא "או עד תום תקופת תוקפו של חוק זה, לפי המוקדם".</w:t>
            </w:r>
          </w:p>
        </w:tc>
      </w:tr>
      <w:tr w:rsidR="00D73C1F" w:rsidRPr="000E32E0" w14:paraId="04BCAACC" w14:textId="77777777" w:rsidTr="00D73C1F">
        <w:tblPrEx>
          <w:tblLook w:val="01E0" w:firstRow="1" w:lastRow="1" w:firstColumn="1" w:lastColumn="1" w:noHBand="0" w:noVBand="0"/>
        </w:tblPrEx>
        <w:trPr>
          <w:cantSplit/>
        </w:trPr>
        <w:tc>
          <w:tcPr>
            <w:tcW w:w="1870" w:type="dxa"/>
          </w:tcPr>
          <w:p w14:paraId="51665FFF" w14:textId="77777777" w:rsidR="00D73C1F" w:rsidRPr="000E32E0" w:rsidRDefault="00D73C1F" w:rsidP="006C7437">
            <w:pPr>
              <w:pStyle w:val="TableSideHeading"/>
              <w:rPr>
                <w:rtl/>
              </w:rPr>
            </w:pPr>
            <w:r w:rsidRPr="000E32E0">
              <w:rPr>
                <w:rFonts w:hint="cs"/>
                <w:rtl/>
              </w:rPr>
              <w:t>תיקון סעיף 19</w:t>
            </w:r>
          </w:p>
        </w:tc>
        <w:tc>
          <w:tcPr>
            <w:tcW w:w="624" w:type="dxa"/>
          </w:tcPr>
          <w:p w14:paraId="5F7D9DAA" w14:textId="77777777" w:rsidR="00D73C1F" w:rsidRPr="000E32E0" w:rsidRDefault="00D73C1F" w:rsidP="006C7437">
            <w:pPr>
              <w:pStyle w:val="TableText"/>
              <w:rPr>
                <w:rtl/>
              </w:rPr>
            </w:pPr>
            <w:r>
              <w:rPr>
                <w:rFonts w:hint="cs"/>
                <w:rtl/>
              </w:rPr>
              <w:t>11</w:t>
            </w:r>
            <w:r w:rsidRPr="000E32E0">
              <w:rPr>
                <w:rFonts w:hint="cs"/>
                <w:rtl/>
              </w:rPr>
              <w:t>.</w:t>
            </w:r>
          </w:p>
        </w:tc>
        <w:tc>
          <w:tcPr>
            <w:tcW w:w="7143" w:type="dxa"/>
            <w:gridSpan w:val="5"/>
          </w:tcPr>
          <w:p w14:paraId="71166F67" w14:textId="77777777" w:rsidR="00D73C1F" w:rsidRPr="000E32E0" w:rsidRDefault="00D73C1F" w:rsidP="00D73C1F">
            <w:pPr>
              <w:pStyle w:val="TableBlock"/>
              <w:rPr>
                <w:rtl/>
              </w:rPr>
            </w:pPr>
            <w:r w:rsidRPr="000E32E0">
              <w:rPr>
                <w:rFonts w:hint="cs"/>
                <w:rtl/>
              </w:rPr>
              <w:t xml:space="preserve">בסעיף 19(ב) לחוק העיקרי </w:t>
            </w:r>
            <w:r w:rsidRPr="000E32E0">
              <w:rPr>
                <w:rFonts w:hint="eastAsia"/>
                <w:rtl/>
              </w:rPr>
              <w:t>–</w:t>
            </w:r>
            <w:r w:rsidRPr="000E32E0">
              <w:rPr>
                <w:rFonts w:hint="cs"/>
                <w:rtl/>
              </w:rPr>
              <w:t xml:space="preserve"> </w:t>
            </w:r>
          </w:p>
        </w:tc>
      </w:tr>
      <w:tr w:rsidR="00D73C1F" w:rsidRPr="000E32E0" w14:paraId="439DF45E" w14:textId="77777777" w:rsidTr="00D73C1F">
        <w:tblPrEx>
          <w:tblLook w:val="01E0" w:firstRow="1" w:lastRow="1" w:firstColumn="1" w:lastColumn="1" w:noHBand="0" w:noVBand="0"/>
        </w:tblPrEx>
        <w:trPr>
          <w:cantSplit/>
        </w:trPr>
        <w:tc>
          <w:tcPr>
            <w:tcW w:w="1870" w:type="dxa"/>
          </w:tcPr>
          <w:p w14:paraId="54F108A2" w14:textId="77777777" w:rsidR="00D73C1F" w:rsidRPr="000E32E0" w:rsidRDefault="00D73C1F" w:rsidP="006C7437">
            <w:pPr>
              <w:pStyle w:val="TableSideHeading"/>
              <w:rPr>
                <w:rtl/>
              </w:rPr>
            </w:pPr>
          </w:p>
        </w:tc>
        <w:tc>
          <w:tcPr>
            <w:tcW w:w="624" w:type="dxa"/>
          </w:tcPr>
          <w:p w14:paraId="3DE5155B" w14:textId="77777777" w:rsidR="00D73C1F" w:rsidRDefault="00D73C1F" w:rsidP="006C7437">
            <w:pPr>
              <w:pStyle w:val="TableText"/>
              <w:rPr>
                <w:rtl/>
              </w:rPr>
            </w:pPr>
          </w:p>
        </w:tc>
        <w:tc>
          <w:tcPr>
            <w:tcW w:w="7143" w:type="dxa"/>
            <w:gridSpan w:val="5"/>
          </w:tcPr>
          <w:p w14:paraId="18710A1F" w14:textId="77777777" w:rsidR="00D73C1F" w:rsidRPr="000E32E0" w:rsidRDefault="00D73C1F" w:rsidP="00D73C1F">
            <w:pPr>
              <w:pStyle w:val="TableBlock"/>
              <w:rPr>
                <w:rtl/>
              </w:rPr>
            </w:pPr>
            <w:r>
              <w:rPr>
                <w:rFonts w:hint="cs"/>
                <w:rtl/>
              </w:rPr>
              <w:t>(1)</w:t>
            </w:r>
            <w:r>
              <w:rPr>
                <w:rtl/>
              </w:rPr>
              <w:tab/>
            </w:r>
            <w:r>
              <w:rPr>
                <w:rFonts w:hint="cs"/>
                <w:rtl/>
              </w:rPr>
              <w:t xml:space="preserve"> בפסקה (1), </w:t>
            </w:r>
            <w:proofErr w:type="spellStart"/>
            <w:r>
              <w:rPr>
                <w:rFonts w:hint="cs"/>
                <w:rtl/>
              </w:rPr>
              <w:t>הסיפה</w:t>
            </w:r>
            <w:proofErr w:type="spellEnd"/>
            <w:r>
              <w:rPr>
                <w:rFonts w:hint="cs"/>
                <w:rtl/>
              </w:rPr>
              <w:t xml:space="preserve"> החל במילים "ואם הבקשה לקבלת סיוע" </w:t>
            </w:r>
            <w:r>
              <w:rPr>
                <w:rFonts w:hint="eastAsia"/>
                <w:rtl/>
              </w:rPr>
              <w:t>–</w:t>
            </w:r>
            <w:r>
              <w:rPr>
                <w:rFonts w:hint="cs"/>
                <w:rtl/>
              </w:rPr>
              <w:t xml:space="preserve"> תימחק;</w:t>
            </w:r>
          </w:p>
        </w:tc>
      </w:tr>
      <w:tr w:rsidR="00D73C1F" w:rsidRPr="000E32E0" w14:paraId="1EE88BA3" w14:textId="77777777" w:rsidTr="00D73C1F">
        <w:tblPrEx>
          <w:tblLook w:val="01E0" w:firstRow="1" w:lastRow="1" w:firstColumn="1" w:lastColumn="1" w:noHBand="0" w:noVBand="0"/>
        </w:tblPrEx>
        <w:trPr>
          <w:cantSplit/>
        </w:trPr>
        <w:tc>
          <w:tcPr>
            <w:tcW w:w="1870" w:type="dxa"/>
          </w:tcPr>
          <w:p w14:paraId="1DB4A154" w14:textId="77777777" w:rsidR="00D73C1F" w:rsidRPr="000A27B5" w:rsidRDefault="00D73C1F" w:rsidP="006C7437">
            <w:pPr>
              <w:pStyle w:val="TableSideHeading"/>
              <w:rPr>
                <w:color w:val="0070C0"/>
                <w:u w:val="single"/>
                <w:rtl/>
              </w:rPr>
            </w:pPr>
          </w:p>
        </w:tc>
        <w:tc>
          <w:tcPr>
            <w:tcW w:w="624" w:type="dxa"/>
          </w:tcPr>
          <w:p w14:paraId="359DCB90" w14:textId="77777777" w:rsidR="00D73C1F" w:rsidRDefault="00D73C1F" w:rsidP="006C7437">
            <w:pPr>
              <w:pStyle w:val="TableText"/>
              <w:rPr>
                <w:color w:val="0070C0"/>
                <w:u w:val="single"/>
                <w:rtl/>
              </w:rPr>
            </w:pPr>
          </w:p>
        </w:tc>
        <w:tc>
          <w:tcPr>
            <w:tcW w:w="7143" w:type="dxa"/>
            <w:gridSpan w:val="5"/>
          </w:tcPr>
          <w:p w14:paraId="0197280F" w14:textId="77777777" w:rsidR="00D73C1F" w:rsidRPr="000E32E0" w:rsidRDefault="00D73C1F" w:rsidP="00D73C1F">
            <w:pPr>
              <w:pStyle w:val="TableBlock"/>
              <w:rPr>
                <w:rtl/>
              </w:rPr>
            </w:pPr>
            <w:r w:rsidRPr="000E32E0">
              <w:rPr>
                <w:rFonts w:hint="cs"/>
                <w:rtl/>
              </w:rPr>
              <w:t>(</w:t>
            </w:r>
            <w:r>
              <w:rPr>
                <w:rFonts w:hint="cs"/>
                <w:rtl/>
              </w:rPr>
              <w:t>2</w:t>
            </w:r>
            <w:r w:rsidRPr="000E32E0">
              <w:rPr>
                <w:rFonts w:hint="cs"/>
                <w:rtl/>
              </w:rPr>
              <w:t>)</w:t>
            </w:r>
            <w:r w:rsidRPr="000E32E0">
              <w:rPr>
                <w:rtl/>
              </w:rPr>
              <w:tab/>
            </w:r>
            <w:r w:rsidRPr="000E32E0">
              <w:rPr>
                <w:rFonts w:hint="cs"/>
                <w:rtl/>
              </w:rPr>
              <w:t>במקום פסקה (3) יבוא:</w:t>
            </w:r>
          </w:p>
        </w:tc>
      </w:tr>
      <w:tr w:rsidR="00D73C1F" w:rsidRPr="000E32E0" w14:paraId="0324F8BC" w14:textId="77777777" w:rsidTr="00D73C1F">
        <w:tblPrEx>
          <w:tblLook w:val="01E0" w:firstRow="1" w:lastRow="1" w:firstColumn="1" w:lastColumn="1" w:noHBand="0" w:noVBand="0"/>
        </w:tblPrEx>
        <w:trPr>
          <w:cantSplit/>
        </w:trPr>
        <w:tc>
          <w:tcPr>
            <w:tcW w:w="1870" w:type="dxa"/>
          </w:tcPr>
          <w:p w14:paraId="5A41AAEE" w14:textId="77777777" w:rsidR="00D73C1F" w:rsidRDefault="00D73C1F" w:rsidP="006C7437">
            <w:pPr>
              <w:pStyle w:val="TableSideHeading"/>
            </w:pPr>
          </w:p>
        </w:tc>
        <w:tc>
          <w:tcPr>
            <w:tcW w:w="624" w:type="dxa"/>
          </w:tcPr>
          <w:p w14:paraId="24475314" w14:textId="77777777" w:rsidR="00D73C1F" w:rsidRDefault="00D73C1F" w:rsidP="006C7437">
            <w:pPr>
              <w:pStyle w:val="TableText"/>
            </w:pPr>
          </w:p>
        </w:tc>
        <w:tc>
          <w:tcPr>
            <w:tcW w:w="624" w:type="dxa"/>
          </w:tcPr>
          <w:p w14:paraId="5F4AE38E" w14:textId="77777777" w:rsidR="00D73C1F" w:rsidRDefault="00D73C1F" w:rsidP="006C7437">
            <w:pPr>
              <w:pStyle w:val="TableText"/>
            </w:pPr>
          </w:p>
        </w:tc>
        <w:tc>
          <w:tcPr>
            <w:tcW w:w="6519" w:type="dxa"/>
            <w:gridSpan w:val="4"/>
          </w:tcPr>
          <w:p w14:paraId="5708AEC1" w14:textId="77777777" w:rsidR="00D73C1F" w:rsidRPr="000E32E0" w:rsidRDefault="00D73C1F" w:rsidP="00D73C1F">
            <w:pPr>
              <w:pStyle w:val="TableBlock"/>
            </w:pPr>
            <w:r w:rsidRPr="000E32E0">
              <w:rPr>
                <w:rFonts w:hint="cs"/>
                <w:rtl/>
              </w:rPr>
              <w:t>"(3)</w:t>
            </w:r>
            <w:r w:rsidRPr="000E32E0">
              <w:rPr>
                <w:rtl/>
              </w:rPr>
              <w:tab/>
            </w:r>
            <w:r w:rsidRPr="00F2199E">
              <w:rPr>
                <w:rFonts w:hint="eastAsia"/>
                <w:rtl/>
              </w:rPr>
              <w:t>מספר</w:t>
            </w:r>
            <w:r w:rsidRPr="00F2199E">
              <w:rPr>
                <w:rtl/>
              </w:rPr>
              <w:t xml:space="preserve"> </w:t>
            </w:r>
            <w:r w:rsidRPr="007577EF">
              <w:rPr>
                <w:rFonts w:hint="eastAsia"/>
                <w:rtl/>
              </w:rPr>
              <w:t>האנשים</w:t>
            </w:r>
            <w:r w:rsidRPr="007577EF">
              <w:rPr>
                <w:rtl/>
              </w:rPr>
              <w:t xml:space="preserve"> </w:t>
            </w:r>
            <w:r w:rsidRPr="007577EF">
              <w:rPr>
                <w:rFonts w:hint="eastAsia"/>
                <w:rtl/>
              </w:rPr>
              <w:t>שנמצא</w:t>
            </w:r>
            <w:r w:rsidRPr="007577EF">
              <w:rPr>
                <w:rtl/>
              </w:rPr>
              <w:t xml:space="preserve"> כי </w:t>
            </w:r>
            <w:r w:rsidRPr="007577EF">
              <w:rPr>
                <w:rFonts w:hint="eastAsia"/>
                <w:rtl/>
              </w:rPr>
              <w:t>היו</w:t>
            </w:r>
            <w:r w:rsidRPr="007577EF">
              <w:rPr>
                <w:rtl/>
              </w:rPr>
              <w:t xml:space="preserve"> במגע</w:t>
            </w:r>
            <w:r w:rsidRPr="000E32E0">
              <w:rPr>
                <w:rFonts w:hint="cs"/>
                <w:rtl/>
              </w:rPr>
              <w:t xml:space="preserve"> קרוב עם חולה, </w:t>
            </w:r>
            <w:r>
              <w:rPr>
                <w:rFonts w:hint="cs"/>
                <w:rtl/>
              </w:rPr>
              <w:t>ומתוכם</w:t>
            </w:r>
            <w:r w:rsidRPr="000E32E0">
              <w:rPr>
                <w:rFonts w:hint="cs"/>
                <w:rtl/>
              </w:rPr>
              <w:t xml:space="preserve"> </w:t>
            </w:r>
            <w:r w:rsidRPr="000E32E0">
              <w:rPr>
                <w:rFonts w:hint="eastAsia"/>
                <w:rtl/>
              </w:rPr>
              <w:t>–</w:t>
            </w:r>
          </w:p>
        </w:tc>
      </w:tr>
      <w:tr w:rsidR="00D73C1F" w:rsidRPr="000E32E0" w14:paraId="24F1CAAF" w14:textId="77777777" w:rsidTr="00D73C1F">
        <w:tblPrEx>
          <w:tblLook w:val="01E0" w:firstRow="1" w:lastRow="1" w:firstColumn="1" w:lastColumn="1" w:noHBand="0" w:noVBand="0"/>
        </w:tblPrEx>
        <w:trPr>
          <w:cantSplit/>
        </w:trPr>
        <w:tc>
          <w:tcPr>
            <w:tcW w:w="1870" w:type="dxa"/>
          </w:tcPr>
          <w:p w14:paraId="3C66F6E0" w14:textId="77777777" w:rsidR="00D73C1F" w:rsidRDefault="00D73C1F" w:rsidP="006C7437">
            <w:pPr>
              <w:pStyle w:val="TableSideHeading"/>
            </w:pPr>
          </w:p>
        </w:tc>
        <w:tc>
          <w:tcPr>
            <w:tcW w:w="624" w:type="dxa"/>
          </w:tcPr>
          <w:p w14:paraId="5519BA28" w14:textId="77777777" w:rsidR="00D73C1F" w:rsidRDefault="00D73C1F" w:rsidP="006C7437">
            <w:pPr>
              <w:pStyle w:val="TableText"/>
            </w:pPr>
          </w:p>
        </w:tc>
        <w:tc>
          <w:tcPr>
            <w:tcW w:w="624" w:type="dxa"/>
          </w:tcPr>
          <w:p w14:paraId="570765A6" w14:textId="77777777" w:rsidR="00D73C1F" w:rsidRDefault="00D73C1F" w:rsidP="006C7437">
            <w:pPr>
              <w:pStyle w:val="TableText"/>
            </w:pPr>
          </w:p>
        </w:tc>
        <w:tc>
          <w:tcPr>
            <w:tcW w:w="624" w:type="dxa"/>
          </w:tcPr>
          <w:p w14:paraId="51D37855" w14:textId="77777777" w:rsidR="00D73C1F" w:rsidRDefault="00D73C1F" w:rsidP="006C7437">
            <w:pPr>
              <w:pStyle w:val="TableText"/>
            </w:pPr>
          </w:p>
        </w:tc>
        <w:tc>
          <w:tcPr>
            <w:tcW w:w="5895" w:type="dxa"/>
            <w:gridSpan w:val="3"/>
          </w:tcPr>
          <w:p w14:paraId="38BC255A" w14:textId="77777777" w:rsidR="00D73C1F" w:rsidRPr="000E32E0" w:rsidRDefault="00D73C1F" w:rsidP="00D73C1F">
            <w:pPr>
              <w:pStyle w:val="TableBlock"/>
            </w:pPr>
            <w:r w:rsidRPr="000E32E0">
              <w:rPr>
                <w:rFonts w:hint="cs"/>
                <w:rtl/>
              </w:rPr>
              <w:t>(א)</w:t>
            </w:r>
            <w:r w:rsidRPr="000E32E0">
              <w:rPr>
                <w:rtl/>
              </w:rPr>
              <w:tab/>
            </w:r>
            <w:r w:rsidRPr="000E32E0">
              <w:rPr>
                <w:rFonts w:hint="cs"/>
                <w:rtl/>
              </w:rPr>
              <w:t>מספר האנשים שנמצא כי היו במגע קרוב עם חולה על בסיס פעולות הסיוע בלבד;</w:t>
            </w:r>
          </w:p>
        </w:tc>
      </w:tr>
      <w:tr w:rsidR="00D73C1F" w:rsidRPr="000E32E0" w14:paraId="32B61535" w14:textId="77777777" w:rsidTr="00D73C1F">
        <w:tblPrEx>
          <w:tblLook w:val="01E0" w:firstRow="1" w:lastRow="1" w:firstColumn="1" w:lastColumn="1" w:noHBand="0" w:noVBand="0"/>
        </w:tblPrEx>
        <w:trPr>
          <w:cantSplit/>
        </w:trPr>
        <w:tc>
          <w:tcPr>
            <w:tcW w:w="1870" w:type="dxa"/>
          </w:tcPr>
          <w:p w14:paraId="6AF95F02" w14:textId="77777777" w:rsidR="00D73C1F" w:rsidRDefault="00D73C1F" w:rsidP="006C7437">
            <w:pPr>
              <w:pStyle w:val="TableSideHeading"/>
            </w:pPr>
          </w:p>
        </w:tc>
        <w:tc>
          <w:tcPr>
            <w:tcW w:w="624" w:type="dxa"/>
          </w:tcPr>
          <w:p w14:paraId="7BBEBBD8" w14:textId="77777777" w:rsidR="00D73C1F" w:rsidRDefault="00D73C1F" w:rsidP="006C7437">
            <w:pPr>
              <w:pStyle w:val="TableText"/>
            </w:pPr>
          </w:p>
        </w:tc>
        <w:tc>
          <w:tcPr>
            <w:tcW w:w="624" w:type="dxa"/>
          </w:tcPr>
          <w:p w14:paraId="5F3951DE" w14:textId="77777777" w:rsidR="00D73C1F" w:rsidRDefault="00D73C1F" w:rsidP="006C7437">
            <w:pPr>
              <w:pStyle w:val="TableText"/>
            </w:pPr>
          </w:p>
        </w:tc>
        <w:tc>
          <w:tcPr>
            <w:tcW w:w="624" w:type="dxa"/>
          </w:tcPr>
          <w:p w14:paraId="350689FD" w14:textId="77777777" w:rsidR="00D73C1F" w:rsidRDefault="00D73C1F" w:rsidP="006C7437">
            <w:pPr>
              <w:pStyle w:val="TableText"/>
            </w:pPr>
          </w:p>
        </w:tc>
        <w:tc>
          <w:tcPr>
            <w:tcW w:w="5895" w:type="dxa"/>
            <w:gridSpan w:val="3"/>
          </w:tcPr>
          <w:p w14:paraId="56E88EAB" w14:textId="77777777" w:rsidR="00D73C1F" w:rsidRPr="000E32E0" w:rsidRDefault="00D73C1F" w:rsidP="00D73C1F">
            <w:pPr>
              <w:pStyle w:val="TableBlock"/>
              <w:rPr>
                <w:rtl/>
              </w:rPr>
            </w:pPr>
            <w:r w:rsidRPr="000E32E0">
              <w:rPr>
                <w:rFonts w:hint="cs"/>
                <w:rtl/>
              </w:rPr>
              <w:t>(ב)</w:t>
            </w:r>
            <w:r w:rsidRPr="000E32E0">
              <w:rPr>
                <w:rtl/>
              </w:rPr>
              <w:tab/>
            </w:r>
            <w:r w:rsidRPr="000E32E0">
              <w:rPr>
                <w:rFonts w:hint="cs"/>
                <w:rtl/>
              </w:rPr>
              <w:t>מספר האנשים שנמצא כי היו במגע קרוב עם חולה הן על בסיס פעולות הסיוע והן על בסיס חקירה אפידמיולוגית;</w:t>
            </w:r>
          </w:p>
        </w:tc>
      </w:tr>
      <w:tr w:rsidR="00D73C1F" w:rsidRPr="000E32E0" w14:paraId="6399D5DC" w14:textId="77777777" w:rsidTr="00D73C1F">
        <w:tblPrEx>
          <w:tblLook w:val="01E0" w:firstRow="1" w:lastRow="1" w:firstColumn="1" w:lastColumn="1" w:noHBand="0" w:noVBand="0"/>
        </w:tblPrEx>
        <w:trPr>
          <w:cantSplit/>
        </w:trPr>
        <w:tc>
          <w:tcPr>
            <w:tcW w:w="1870" w:type="dxa"/>
          </w:tcPr>
          <w:p w14:paraId="0E5858FD" w14:textId="77777777" w:rsidR="00D73C1F" w:rsidRDefault="00D73C1F" w:rsidP="006C7437">
            <w:pPr>
              <w:pStyle w:val="TableSideHeading"/>
            </w:pPr>
          </w:p>
        </w:tc>
        <w:tc>
          <w:tcPr>
            <w:tcW w:w="624" w:type="dxa"/>
          </w:tcPr>
          <w:p w14:paraId="6E5AA75E" w14:textId="77777777" w:rsidR="00D73C1F" w:rsidRDefault="00D73C1F" w:rsidP="006C7437">
            <w:pPr>
              <w:pStyle w:val="TableText"/>
            </w:pPr>
          </w:p>
        </w:tc>
        <w:tc>
          <w:tcPr>
            <w:tcW w:w="624" w:type="dxa"/>
          </w:tcPr>
          <w:p w14:paraId="26D3A99A" w14:textId="77777777" w:rsidR="00D73C1F" w:rsidRDefault="00D73C1F" w:rsidP="006C7437">
            <w:pPr>
              <w:pStyle w:val="TableText"/>
            </w:pPr>
          </w:p>
        </w:tc>
        <w:tc>
          <w:tcPr>
            <w:tcW w:w="624" w:type="dxa"/>
          </w:tcPr>
          <w:p w14:paraId="211E3484" w14:textId="77777777" w:rsidR="00D73C1F" w:rsidRDefault="00D73C1F" w:rsidP="006C7437">
            <w:pPr>
              <w:pStyle w:val="TableText"/>
            </w:pPr>
          </w:p>
        </w:tc>
        <w:tc>
          <w:tcPr>
            <w:tcW w:w="5895" w:type="dxa"/>
            <w:gridSpan w:val="3"/>
          </w:tcPr>
          <w:p w14:paraId="1ED16EF1" w14:textId="77777777" w:rsidR="00D73C1F" w:rsidRPr="000E32E0" w:rsidRDefault="00D73C1F" w:rsidP="00D73C1F">
            <w:pPr>
              <w:pStyle w:val="TableBlock"/>
              <w:rPr>
                <w:rtl/>
              </w:rPr>
            </w:pPr>
            <w:r w:rsidRPr="000E32E0">
              <w:rPr>
                <w:rFonts w:hint="cs"/>
                <w:rtl/>
              </w:rPr>
              <w:t>(ג)</w:t>
            </w:r>
            <w:r w:rsidRPr="000E32E0">
              <w:rPr>
                <w:rtl/>
              </w:rPr>
              <w:tab/>
            </w:r>
            <w:r w:rsidRPr="000E32E0">
              <w:rPr>
                <w:rFonts w:hint="cs"/>
                <w:rtl/>
              </w:rPr>
              <w:t>מספר האנשים שנמצא כי היו במגע קרוב עם חולה על בסיס חקירה אפידמיולוגית בלבד;</w:t>
            </w:r>
          </w:p>
        </w:tc>
      </w:tr>
      <w:tr w:rsidR="00D73C1F" w:rsidRPr="000E32E0" w14:paraId="60C99A71" w14:textId="77777777" w:rsidTr="00D73C1F">
        <w:tblPrEx>
          <w:tblLook w:val="01E0" w:firstRow="1" w:lastRow="1" w:firstColumn="1" w:lastColumn="1" w:noHBand="0" w:noVBand="0"/>
        </w:tblPrEx>
        <w:trPr>
          <w:cantSplit/>
        </w:trPr>
        <w:tc>
          <w:tcPr>
            <w:tcW w:w="1870" w:type="dxa"/>
          </w:tcPr>
          <w:p w14:paraId="1FAE4F9C" w14:textId="77777777" w:rsidR="00D73C1F" w:rsidRDefault="00D73C1F" w:rsidP="006C7437">
            <w:pPr>
              <w:pStyle w:val="TableSideHeading"/>
            </w:pPr>
          </w:p>
        </w:tc>
        <w:tc>
          <w:tcPr>
            <w:tcW w:w="624" w:type="dxa"/>
          </w:tcPr>
          <w:p w14:paraId="7D30E2B8" w14:textId="77777777" w:rsidR="00D73C1F" w:rsidRDefault="00D73C1F" w:rsidP="006C7437">
            <w:pPr>
              <w:pStyle w:val="TableText"/>
            </w:pPr>
          </w:p>
        </w:tc>
        <w:tc>
          <w:tcPr>
            <w:tcW w:w="624" w:type="dxa"/>
          </w:tcPr>
          <w:p w14:paraId="57769EE2" w14:textId="77777777" w:rsidR="00D73C1F" w:rsidRDefault="00D73C1F" w:rsidP="006C7437">
            <w:pPr>
              <w:pStyle w:val="TableText"/>
            </w:pPr>
          </w:p>
        </w:tc>
        <w:tc>
          <w:tcPr>
            <w:tcW w:w="624" w:type="dxa"/>
          </w:tcPr>
          <w:p w14:paraId="7CBA2F9F" w14:textId="77777777" w:rsidR="00D73C1F" w:rsidRDefault="00D73C1F" w:rsidP="006C7437">
            <w:pPr>
              <w:pStyle w:val="TableText"/>
            </w:pPr>
          </w:p>
        </w:tc>
        <w:tc>
          <w:tcPr>
            <w:tcW w:w="5895" w:type="dxa"/>
            <w:gridSpan w:val="3"/>
          </w:tcPr>
          <w:p w14:paraId="0DC1D9B5" w14:textId="77777777" w:rsidR="00D73C1F" w:rsidRPr="000E32E0" w:rsidRDefault="00D73C1F" w:rsidP="00D73C1F">
            <w:pPr>
              <w:pStyle w:val="TableBlock"/>
              <w:rPr>
                <w:rtl/>
              </w:rPr>
            </w:pPr>
            <w:r w:rsidRPr="000E32E0">
              <w:rPr>
                <w:rFonts w:hint="cs"/>
                <w:rtl/>
              </w:rPr>
              <w:t>(ד)</w:t>
            </w:r>
            <w:r w:rsidRPr="000E32E0">
              <w:rPr>
                <w:rtl/>
              </w:rPr>
              <w:tab/>
            </w:r>
            <w:r w:rsidRPr="000E32E0">
              <w:rPr>
                <w:rFonts w:hint="cs"/>
                <w:rtl/>
              </w:rPr>
              <w:t>מספר האנשים שנמצא כי היו במגע קרוב עם חולה על בסיס מידע שהגיע ממקור אחר;";</w:t>
            </w:r>
          </w:p>
        </w:tc>
      </w:tr>
      <w:tr w:rsidR="00D73C1F" w:rsidRPr="000E32E0" w14:paraId="30EB97F9" w14:textId="77777777" w:rsidTr="00D73C1F">
        <w:tblPrEx>
          <w:tblLook w:val="01E0" w:firstRow="1" w:lastRow="1" w:firstColumn="1" w:lastColumn="1" w:noHBand="0" w:noVBand="0"/>
        </w:tblPrEx>
        <w:trPr>
          <w:cantSplit/>
        </w:trPr>
        <w:tc>
          <w:tcPr>
            <w:tcW w:w="1870" w:type="dxa"/>
          </w:tcPr>
          <w:p w14:paraId="3136C8E7" w14:textId="77777777" w:rsidR="00D73C1F" w:rsidRDefault="00D73C1F" w:rsidP="006C7437">
            <w:pPr>
              <w:pStyle w:val="TableSideHeading"/>
            </w:pPr>
          </w:p>
        </w:tc>
        <w:tc>
          <w:tcPr>
            <w:tcW w:w="624" w:type="dxa"/>
          </w:tcPr>
          <w:p w14:paraId="1DC61652" w14:textId="77777777" w:rsidR="00D73C1F" w:rsidRDefault="00D73C1F" w:rsidP="006C7437">
            <w:pPr>
              <w:pStyle w:val="TableText"/>
            </w:pPr>
          </w:p>
        </w:tc>
        <w:tc>
          <w:tcPr>
            <w:tcW w:w="7143" w:type="dxa"/>
            <w:gridSpan w:val="5"/>
          </w:tcPr>
          <w:p w14:paraId="5352F771" w14:textId="77777777" w:rsidR="00D73C1F" w:rsidRPr="000E32E0" w:rsidRDefault="00D73C1F" w:rsidP="00D73C1F">
            <w:pPr>
              <w:pStyle w:val="TableBlock"/>
            </w:pPr>
            <w:r w:rsidRPr="000E32E0">
              <w:rPr>
                <w:rFonts w:hint="cs"/>
                <w:rtl/>
              </w:rPr>
              <w:t>(</w:t>
            </w:r>
            <w:r>
              <w:rPr>
                <w:rFonts w:hint="cs"/>
                <w:rtl/>
              </w:rPr>
              <w:t>3</w:t>
            </w:r>
            <w:r w:rsidRPr="000E32E0">
              <w:rPr>
                <w:rFonts w:hint="cs"/>
                <w:rtl/>
              </w:rPr>
              <w:t>)</w:t>
            </w:r>
            <w:r w:rsidRPr="000E32E0">
              <w:rPr>
                <w:rtl/>
              </w:rPr>
              <w:tab/>
            </w:r>
            <w:r w:rsidRPr="000E32E0">
              <w:rPr>
                <w:rFonts w:hint="cs"/>
                <w:rtl/>
              </w:rPr>
              <w:t>במקום פסקה (4) יבוא:</w:t>
            </w:r>
          </w:p>
        </w:tc>
      </w:tr>
      <w:tr w:rsidR="00D73C1F" w:rsidRPr="000E32E0" w14:paraId="70468A02" w14:textId="77777777" w:rsidTr="00D73C1F">
        <w:tblPrEx>
          <w:tblLook w:val="01E0" w:firstRow="1" w:lastRow="1" w:firstColumn="1" w:lastColumn="1" w:noHBand="0" w:noVBand="0"/>
        </w:tblPrEx>
        <w:trPr>
          <w:cantSplit/>
        </w:trPr>
        <w:tc>
          <w:tcPr>
            <w:tcW w:w="1870" w:type="dxa"/>
          </w:tcPr>
          <w:p w14:paraId="5931F0D7" w14:textId="77777777" w:rsidR="00D73C1F" w:rsidRDefault="00D73C1F" w:rsidP="006C7437">
            <w:pPr>
              <w:pStyle w:val="TableSideHeading"/>
            </w:pPr>
          </w:p>
        </w:tc>
        <w:tc>
          <w:tcPr>
            <w:tcW w:w="624" w:type="dxa"/>
          </w:tcPr>
          <w:p w14:paraId="6BF14996" w14:textId="77777777" w:rsidR="00D73C1F" w:rsidRDefault="00D73C1F" w:rsidP="006C7437">
            <w:pPr>
              <w:pStyle w:val="TableText"/>
            </w:pPr>
          </w:p>
        </w:tc>
        <w:tc>
          <w:tcPr>
            <w:tcW w:w="624" w:type="dxa"/>
          </w:tcPr>
          <w:p w14:paraId="22A0E566" w14:textId="77777777" w:rsidR="00D73C1F" w:rsidRDefault="00D73C1F" w:rsidP="006C7437">
            <w:pPr>
              <w:pStyle w:val="TableText"/>
            </w:pPr>
          </w:p>
        </w:tc>
        <w:tc>
          <w:tcPr>
            <w:tcW w:w="6519" w:type="dxa"/>
            <w:gridSpan w:val="4"/>
          </w:tcPr>
          <w:p w14:paraId="118D2EBC" w14:textId="77777777" w:rsidR="00D73C1F" w:rsidRPr="000E32E0" w:rsidRDefault="00D73C1F" w:rsidP="00D73C1F">
            <w:pPr>
              <w:pStyle w:val="TableBlock"/>
            </w:pPr>
            <w:r w:rsidRPr="000E32E0">
              <w:rPr>
                <w:rFonts w:hint="cs"/>
                <w:rtl/>
              </w:rPr>
              <w:t>"(4)</w:t>
            </w:r>
            <w:r w:rsidRPr="000E32E0">
              <w:rPr>
                <w:rtl/>
              </w:rPr>
              <w:tab/>
            </w:r>
            <w:r w:rsidRPr="000E32E0">
              <w:rPr>
                <w:rFonts w:hint="cs"/>
                <w:rtl/>
              </w:rPr>
              <w:t xml:space="preserve">מספר החולים החדשים שאובחנו באותו שבוע וכן מספר החולים מתוכם </w:t>
            </w:r>
            <w:r w:rsidRPr="000E32E0">
              <w:rPr>
                <w:rFonts w:hint="eastAsia"/>
                <w:rtl/>
              </w:rPr>
              <w:t>–</w:t>
            </w:r>
            <w:r w:rsidRPr="000E32E0">
              <w:rPr>
                <w:rFonts w:hint="cs"/>
                <w:rtl/>
              </w:rPr>
              <w:t xml:space="preserve"> </w:t>
            </w:r>
          </w:p>
        </w:tc>
      </w:tr>
      <w:tr w:rsidR="00D73C1F" w:rsidRPr="000E32E0" w14:paraId="1F2D87B4" w14:textId="77777777" w:rsidTr="00D73C1F">
        <w:tblPrEx>
          <w:tblLook w:val="01E0" w:firstRow="1" w:lastRow="1" w:firstColumn="1" w:lastColumn="1" w:noHBand="0" w:noVBand="0"/>
        </w:tblPrEx>
        <w:trPr>
          <w:cantSplit/>
        </w:trPr>
        <w:tc>
          <w:tcPr>
            <w:tcW w:w="1870" w:type="dxa"/>
          </w:tcPr>
          <w:p w14:paraId="5D2952E7" w14:textId="77777777" w:rsidR="00D73C1F" w:rsidRDefault="00D73C1F" w:rsidP="006C7437">
            <w:pPr>
              <w:pStyle w:val="TableSideHeading"/>
            </w:pPr>
          </w:p>
        </w:tc>
        <w:tc>
          <w:tcPr>
            <w:tcW w:w="624" w:type="dxa"/>
          </w:tcPr>
          <w:p w14:paraId="155E6294" w14:textId="77777777" w:rsidR="00D73C1F" w:rsidRDefault="00D73C1F" w:rsidP="006C7437">
            <w:pPr>
              <w:pStyle w:val="TableText"/>
            </w:pPr>
          </w:p>
        </w:tc>
        <w:tc>
          <w:tcPr>
            <w:tcW w:w="624" w:type="dxa"/>
          </w:tcPr>
          <w:p w14:paraId="60F88881" w14:textId="77777777" w:rsidR="00D73C1F" w:rsidRDefault="00D73C1F" w:rsidP="006C7437">
            <w:pPr>
              <w:pStyle w:val="TableText"/>
            </w:pPr>
          </w:p>
        </w:tc>
        <w:tc>
          <w:tcPr>
            <w:tcW w:w="624" w:type="dxa"/>
          </w:tcPr>
          <w:p w14:paraId="3999944E" w14:textId="77777777" w:rsidR="00D73C1F" w:rsidRDefault="00D73C1F" w:rsidP="006C7437">
            <w:pPr>
              <w:pStyle w:val="TableText"/>
            </w:pPr>
          </w:p>
        </w:tc>
        <w:tc>
          <w:tcPr>
            <w:tcW w:w="5895" w:type="dxa"/>
            <w:gridSpan w:val="3"/>
          </w:tcPr>
          <w:p w14:paraId="53DB4D33" w14:textId="77777777" w:rsidR="00D73C1F" w:rsidRPr="000E32E0" w:rsidRDefault="00D73C1F" w:rsidP="00D73C1F">
            <w:pPr>
              <w:pStyle w:val="TableBlock"/>
            </w:pPr>
            <w:r w:rsidRPr="000E32E0">
              <w:rPr>
                <w:rFonts w:hint="cs"/>
                <w:rtl/>
              </w:rPr>
              <w:t>(א)</w:t>
            </w:r>
            <w:r w:rsidRPr="000E32E0">
              <w:rPr>
                <w:rtl/>
              </w:rPr>
              <w:tab/>
            </w:r>
            <w:r w:rsidRPr="000E32E0">
              <w:rPr>
                <w:rFonts w:hint="cs"/>
                <w:rtl/>
              </w:rPr>
              <w:t>שאותרו על בסיס פעולות הסיוע בלבד;</w:t>
            </w:r>
          </w:p>
        </w:tc>
      </w:tr>
      <w:tr w:rsidR="00D73C1F" w:rsidRPr="000E32E0" w14:paraId="63C1B218" w14:textId="77777777" w:rsidTr="00D73C1F">
        <w:tblPrEx>
          <w:tblLook w:val="01E0" w:firstRow="1" w:lastRow="1" w:firstColumn="1" w:lastColumn="1" w:noHBand="0" w:noVBand="0"/>
        </w:tblPrEx>
        <w:trPr>
          <w:cantSplit/>
        </w:trPr>
        <w:tc>
          <w:tcPr>
            <w:tcW w:w="1870" w:type="dxa"/>
          </w:tcPr>
          <w:p w14:paraId="30BBC6A1" w14:textId="77777777" w:rsidR="00D73C1F" w:rsidRDefault="00D73C1F" w:rsidP="006C7437">
            <w:pPr>
              <w:pStyle w:val="TableSideHeading"/>
            </w:pPr>
          </w:p>
        </w:tc>
        <w:tc>
          <w:tcPr>
            <w:tcW w:w="624" w:type="dxa"/>
          </w:tcPr>
          <w:p w14:paraId="2EBFD7D8" w14:textId="77777777" w:rsidR="00D73C1F" w:rsidRDefault="00D73C1F" w:rsidP="006C7437">
            <w:pPr>
              <w:pStyle w:val="TableText"/>
            </w:pPr>
          </w:p>
        </w:tc>
        <w:tc>
          <w:tcPr>
            <w:tcW w:w="624" w:type="dxa"/>
          </w:tcPr>
          <w:p w14:paraId="10C84CA4" w14:textId="77777777" w:rsidR="00D73C1F" w:rsidRDefault="00D73C1F" w:rsidP="006C7437">
            <w:pPr>
              <w:pStyle w:val="TableText"/>
            </w:pPr>
          </w:p>
        </w:tc>
        <w:tc>
          <w:tcPr>
            <w:tcW w:w="624" w:type="dxa"/>
          </w:tcPr>
          <w:p w14:paraId="6F30FAE1" w14:textId="77777777" w:rsidR="00D73C1F" w:rsidRDefault="00D73C1F" w:rsidP="006C7437">
            <w:pPr>
              <w:pStyle w:val="TableText"/>
            </w:pPr>
          </w:p>
        </w:tc>
        <w:tc>
          <w:tcPr>
            <w:tcW w:w="5895" w:type="dxa"/>
            <w:gridSpan w:val="3"/>
          </w:tcPr>
          <w:p w14:paraId="451578A2" w14:textId="77777777" w:rsidR="00D73C1F" w:rsidRPr="000E32E0" w:rsidRDefault="00D73C1F" w:rsidP="00D73C1F">
            <w:pPr>
              <w:pStyle w:val="TableBlock"/>
              <w:rPr>
                <w:rtl/>
              </w:rPr>
            </w:pPr>
            <w:r w:rsidRPr="000E32E0">
              <w:rPr>
                <w:rFonts w:hint="cs"/>
                <w:rtl/>
              </w:rPr>
              <w:t>(ב)</w:t>
            </w:r>
            <w:r w:rsidRPr="000E32E0">
              <w:rPr>
                <w:rtl/>
              </w:rPr>
              <w:tab/>
            </w:r>
            <w:r w:rsidRPr="000E32E0">
              <w:rPr>
                <w:rFonts w:hint="cs"/>
                <w:rtl/>
              </w:rPr>
              <w:t>שאותרו הן על בסיס פעולות הסיוע והן על בסיס חקירה אפידמיולוגית;</w:t>
            </w:r>
          </w:p>
        </w:tc>
      </w:tr>
      <w:tr w:rsidR="00D73C1F" w:rsidRPr="000E32E0" w14:paraId="00A0D3F1" w14:textId="77777777" w:rsidTr="00D73C1F">
        <w:tblPrEx>
          <w:tblLook w:val="01E0" w:firstRow="1" w:lastRow="1" w:firstColumn="1" w:lastColumn="1" w:noHBand="0" w:noVBand="0"/>
        </w:tblPrEx>
        <w:trPr>
          <w:cantSplit/>
        </w:trPr>
        <w:tc>
          <w:tcPr>
            <w:tcW w:w="1870" w:type="dxa"/>
          </w:tcPr>
          <w:p w14:paraId="18DA3B5B" w14:textId="77777777" w:rsidR="00D73C1F" w:rsidRDefault="00D73C1F" w:rsidP="006C7437">
            <w:pPr>
              <w:pStyle w:val="TableSideHeading"/>
            </w:pPr>
          </w:p>
        </w:tc>
        <w:tc>
          <w:tcPr>
            <w:tcW w:w="624" w:type="dxa"/>
          </w:tcPr>
          <w:p w14:paraId="0723D679" w14:textId="77777777" w:rsidR="00D73C1F" w:rsidRDefault="00D73C1F" w:rsidP="006C7437">
            <w:pPr>
              <w:pStyle w:val="TableText"/>
            </w:pPr>
          </w:p>
        </w:tc>
        <w:tc>
          <w:tcPr>
            <w:tcW w:w="624" w:type="dxa"/>
          </w:tcPr>
          <w:p w14:paraId="04E78D38" w14:textId="77777777" w:rsidR="00D73C1F" w:rsidRDefault="00D73C1F" w:rsidP="006C7437">
            <w:pPr>
              <w:pStyle w:val="TableText"/>
            </w:pPr>
          </w:p>
        </w:tc>
        <w:tc>
          <w:tcPr>
            <w:tcW w:w="624" w:type="dxa"/>
          </w:tcPr>
          <w:p w14:paraId="422145BB" w14:textId="77777777" w:rsidR="00D73C1F" w:rsidRDefault="00D73C1F" w:rsidP="006C7437">
            <w:pPr>
              <w:pStyle w:val="TableText"/>
            </w:pPr>
          </w:p>
        </w:tc>
        <w:tc>
          <w:tcPr>
            <w:tcW w:w="5895" w:type="dxa"/>
            <w:gridSpan w:val="3"/>
          </w:tcPr>
          <w:p w14:paraId="117CED1B" w14:textId="77777777" w:rsidR="00D73C1F" w:rsidRPr="000E32E0" w:rsidRDefault="00D73C1F" w:rsidP="00D73C1F">
            <w:pPr>
              <w:pStyle w:val="TableBlock"/>
              <w:rPr>
                <w:rtl/>
              </w:rPr>
            </w:pPr>
            <w:r w:rsidRPr="000E32E0">
              <w:rPr>
                <w:rFonts w:hint="cs"/>
                <w:rtl/>
              </w:rPr>
              <w:t>(ג)</w:t>
            </w:r>
            <w:r w:rsidRPr="000E32E0">
              <w:rPr>
                <w:rtl/>
              </w:rPr>
              <w:tab/>
            </w:r>
            <w:r w:rsidRPr="000E32E0">
              <w:rPr>
                <w:rFonts w:hint="cs"/>
                <w:rtl/>
              </w:rPr>
              <w:t>שאותרו על בסיס חקירה אפידמיולוגית בלבד;</w:t>
            </w:r>
          </w:p>
        </w:tc>
      </w:tr>
      <w:tr w:rsidR="00D73C1F" w:rsidRPr="000E32E0" w14:paraId="159BD099" w14:textId="77777777" w:rsidTr="00D73C1F">
        <w:tblPrEx>
          <w:tblLook w:val="01E0" w:firstRow="1" w:lastRow="1" w:firstColumn="1" w:lastColumn="1" w:noHBand="0" w:noVBand="0"/>
        </w:tblPrEx>
        <w:trPr>
          <w:cantSplit/>
        </w:trPr>
        <w:tc>
          <w:tcPr>
            <w:tcW w:w="1870" w:type="dxa"/>
          </w:tcPr>
          <w:p w14:paraId="34EF81B1" w14:textId="77777777" w:rsidR="00D73C1F" w:rsidRDefault="00D73C1F" w:rsidP="006C7437">
            <w:pPr>
              <w:pStyle w:val="TableSideHeading"/>
            </w:pPr>
          </w:p>
        </w:tc>
        <w:tc>
          <w:tcPr>
            <w:tcW w:w="624" w:type="dxa"/>
          </w:tcPr>
          <w:p w14:paraId="634F4588" w14:textId="77777777" w:rsidR="00D73C1F" w:rsidRDefault="00D73C1F" w:rsidP="006C7437">
            <w:pPr>
              <w:pStyle w:val="TableText"/>
            </w:pPr>
          </w:p>
        </w:tc>
        <w:tc>
          <w:tcPr>
            <w:tcW w:w="624" w:type="dxa"/>
          </w:tcPr>
          <w:p w14:paraId="732B5CC4" w14:textId="77777777" w:rsidR="00D73C1F" w:rsidRDefault="00D73C1F" w:rsidP="006C7437">
            <w:pPr>
              <w:pStyle w:val="TableText"/>
            </w:pPr>
          </w:p>
        </w:tc>
        <w:tc>
          <w:tcPr>
            <w:tcW w:w="624" w:type="dxa"/>
          </w:tcPr>
          <w:p w14:paraId="6192B201" w14:textId="77777777" w:rsidR="00D73C1F" w:rsidRDefault="00D73C1F" w:rsidP="006C7437">
            <w:pPr>
              <w:pStyle w:val="TableText"/>
            </w:pPr>
          </w:p>
        </w:tc>
        <w:tc>
          <w:tcPr>
            <w:tcW w:w="5895" w:type="dxa"/>
            <w:gridSpan w:val="3"/>
          </w:tcPr>
          <w:p w14:paraId="53C3B24B" w14:textId="77777777" w:rsidR="00D73C1F" w:rsidRPr="000E32E0" w:rsidRDefault="00D73C1F" w:rsidP="00D73C1F">
            <w:pPr>
              <w:pStyle w:val="TableBlock"/>
              <w:rPr>
                <w:rtl/>
              </w:rPr>
            </w:pPr>
            <w:r w:rsidRPr="000E32E0">
              <w:rPr>
                <w:rFonts w:hint="cs"/>
                <w:rtl/>
              </w:rPr>
              <w:t>(ד)</w:t>
            </w:r>
            <w:r w:rsidRPr="000E32E0">
              <w:rPr>
                <w:rtl/>
              </w:rPr>
              <w:tab/>
            </w:r>
            <w:r w:rsidRPr="000E32E0">
              <w:rPr>
                <w:rFonts w:hint="cs"/>
                <w:rtl/>
              </w:rPr>
              <w:t xml:space="preserve">שאובחנו </w:t>
            </w:r>
            <w:r>
              <w:rPr>
                <w:rFonts w:hint="cs"/>
                <w:rtl/>
              </w:rPr>
              <w:t xml:space="preserve">כחולים ולא </w:t>
            </w:r>
            <w:r w:rsidRPr="000E32E0">
              <w:rPr>
                <w:rFonts w:hint="cs"/>
                <w:rtl/>
              </w:rPr>
              <w:t>אותרו על בסיס פעולות סיוע או חקירה אפידמיולוגית;";</w:t>
            </w:r>
          </w:p>
        </w:tc>
      </w:tr>
      <w:tr w:rsidR="00D73C1F" w:rsidRPr="0095440C" w14:paraId="08FAF11F" w14:textId="77777777" w:rsidTr="00D73C1F">
        <w:tblPrEx>
          <w:tblLook w:val="01E0" w:firstRow="1" w:lastRow="1" w:firstColumn="1" w:lastColumn="1" w:noHBand="0" w:noVBand="0"/>
        </w:tblPrEx>
        <w:trPr>
          <w:cantSplit/>
        </w:trPr>
        <w:tc>
          <w:tcPr>
            <w:tcW w:w="1870" w:type="dxa"/>
          </w:tcPr>
          <w:p w14:paraId="159E3FE6" w14:textId="77777777" w:rsidR="00D73C1F" w:rsidRPr="0095440C" w:rsidRDefault="00D73C1F" w:rsidP="006C7437">
            <w:pPr>
              <w:pStyle w:val="TableSideHeading"/>
            </w:pPr>
          </w:p>
        </w:tc>
        <w:tc>
          <w:tcPr>
            <w:tcW w:w="624" w:type="dxa"/>
          </w:tcPr>
          <w:p w14:paraId="73060483" w14:textId="77777777" w:rsidR="00D73C1F" w:rsidRPr="0095440C" w:rsidRDefault="00D73C1F" w:rsidP="006C7437">
            <w:pPr>
              <w:pStyle w:val="TableText"/>
            </w:pPr>
          </w:p>
        </w:tc>
        <w:tc>
          <w:tcPr>
            <w:tcW w:w="7143" w:type="dxa"/>
            <w:gridSpan w:val="5"/>
          </w:tcPr>
          <w:p w14:paraId="48E80B01" w14:textId="77777777" w:rsidR="00D73C1F" w:rsidRPr="0095440C" w:rsidRDefault="00D73C1F" w:rsidP="00D73C1F">
            <w:pPr>
              <w:pStyle w:val="TableBlock"/>
            </w:pPr>
            <w:r w:rsidRPr="0095440C">
              <w:rPr>
                <w:rFonts w:hint="cs"/>
                <w:rtl/>
              </w:rPr>
              <w:t>(</w:t>
            </w:r>
            <w:r>
              <w:rPr>
                <w:rFonts w:hint="cs"/>
                <w:rtl/>
              </w:rPr>
              <w:t>4</w:t>
            </w:r>
            <w:r w:rsidRPr="0095440C">
              <w:rPr>
                <w:rFonts w:hint="cs"/>
                <w:rtl/>
              </w:rPr>
              <w:t xml:space="preserve">) </w:t>
            </w:r>
            <w:r w:rsidRPr="0095440C">
              <w:rPr>
                <w:rtl/>
              </w:rPr>
              <w:tab/>
            </w:r>
            <w:r w:rsidRPr="0095440C">
              <w:rPr>
                <w:rFonts w:hint="cs"/>
                <w:rtl/>
              </w:rPr>
              <w:t>אחרי פסקה (7) יבוא:</w:t>
            </w:r>
          </w:p>
        </w:tc>
      </w:tr>
      <w:tr w:rsidR="00D73C1F" w:rsidRPr="009E1C77" w14:paraId="7F6345CE" w14:textId="77777777" w:rsidTr="00D73C1F">
        <w:tblPrEx>
          <w:tblLook w:val="01E0" w:firstRow="1" w:lastRow="1" w:firstColumn="1" w:lastColumn="1" w:noHBand="0" w:noVBand="0"/>
        </w:tblPrEx>
        <w:trPr>
          <w:cantSplit/>
        </w:trPr>
        <w:tc>
          <w:tcPr>
            <w:tcW w:w="1870" w:type="dxa"/>
          </w:tcPr>
          <w:p w14:paraId="1E00D7E1" w14:textId="77777777" w:rsidR="00D73C1F" w:rsidRDefault="00D73C1F" w:rsidP="006C7437">
            <w:pPr>
              <w:pStyle w:val="TableSideHeading"/>
            </w:pPr>
          </w:p>
        </w:tc>
        <w:tc>
          <w:tcPr>
            <w:tcW w:w="624" w:type="dxa"/>
          </w:tcPr>
          <w:p w14:paraId="21668D42" w14:textId="77777777" w:rsidR="00D73C1F" w:rsidRDefault="00D73C1F" w:rsidP="006C7437">
            <w:pPr>
              <w:pStyle w:val="TableText"/>
            </w:pPr>
          </w:p>
        </w:tc>
        <w:tc>
          <w:tcPr>
            <w:tcW w:w="624" w:type="dxa"/>
          </w:tcPr>
          <w:p w14:paraId="7645F17E" w14:textId="77777777" w:rsidR="00D73C1F" w:rsidRPr="009E1C77" w:rsidRDefault="00D73C1F" w:rsidP="006C7437">
            <w:pPr>
              <w:pStyle w:val="TableText"/>
              <w:rPr>
                <w:color w:val="FF0000"/>
              </w:rPr>
            </w:pPr>
          </w:p>
        </w:tc>
        <w:tc>
          <w:tcPr>
            <w:tcW w:w="6519" w:type="dxa"/>
            <w:gridSpan w:val="4"/>
          </w:tcPr>
          <w:p w14:paraId="744E6AC7" w14:textId="77777777" w:rsidR="00D73C1F" w:rsidRPr="009E1C77" w:rsidRDefault="00D73C1F" w:rsidP="00D73C1F">
            <w:pPr>
              <w:pStyle w:val="TableBlock"/>
              <w:rPr>
                <w:color w:val="FF0000"/>
              </w:rPr>
            </w:pPr>
            <w:r w:rsidRPr="00F2199E">
              <w:rPr>
                <w:rtl/>
              </w:rPr>
              <w:t xml:space="preserve">"(8) </w:t>
            </w:r>
            <w:r w:rsidRPr="00F2199E">
              <w:rPr>
                <w:rtl/>
              </w:rPr>
              <w:tab/>
            </w:r>
            <w:r w:rsidRPr="00F2199E">
              <w:rPr>
                <w:rFonts w:hint="eastAsia"/>
                <w:rtl/>
              </w:rPr>
              <w:t>מספר</w:t>
            </w:r>
            <w:r w:rsidRPr="00F2199E">
              <w:rPr>
                <w:rtl/>
              </w:rPr>
              <w:t xml:space="preserve"> </w:t>
            </w:r>
            <w:r w:rsidRPr="00F2199E">
              <w:rPr>
                <w:rFonts w:hint="eastAsia"/>
                <w:rtl/>
              </w:rPr>
              <w:t>האנשים</w:t>
            </w:r>
            <w:r w:rsidRPr="00F2199E">
              <w:rPr>
                <w:rtl/>
              </w:rPr>
              <w:t xml:space="preserve"> </w:t>
            </w:r>
            <w:r w:rsidRPr="00F2199E">
              <w:rPr>
                <w:rFonts w:hint="eastAsia"/>
                <w:rtl/>
              </w:rPr>
              <w:t>שהתקינו</w:t>
            </w:r>
            <w:r w:rsidRPr="00F2199E">
              <w:rPr>
                <w:rtl/>
              </w:rPr>
              <w:t xml:space="preserve"> </w:t>
            </w:r>
            <w:r w:rsidRPr="00F2199E">
              <w:rPr>
                <w:rFonts w:hint="eastAsia"/>
                <w:rtl/>
              </w:rPr>
              <w:t>טכנולוגיה</w:t>
            </w:r>
            <w:r w:rsidRPr="00F2199E">
              <w:rPr>
                <w:rtl/>
              </w:rPr>
              <w:t xml:space="preserve"> אזרחית</w:t>
            </w:r>
            <w:r>
              <w:rPr>
                <w:rtl/>
              </w:rPr>
              <w:t xml:space="preserve"> </w:t>
            </w:r>
            <w:r w:rsidRPr="00F2199E">
              <w:rPr>
                <w:rFonts w:hint="eastAsia"/>
                <w:rtl/>
              </w:rPr>
              <w:t>כאמור</w:t>
            </w:r>
            <w:r w:rsidRPr="00F2199E">
              <w:rPr>
                <w:rtl/>
              </w:rPr>
              <w:t xml:space="preserve"> בסעיף 12א, מספר האנשים </w:t>
            </w:r>
            <w:r w:rsidRPr="00F2199E">
              <w:rPr>
                <w:rFonts w:hint="eastAsia"/>
                <w:rtl/>
              </w:rPr>
              <w:t>השוהים</w:t>
            </w:r>
            <w:r w:rsidRPr="00F2199E">
              <w:rPr>
                <w:rtl/>
              </w:rPr>
              <w:t xml:space="preserve"> </w:t>
            </w:r>
            <w:r w:rsidRPr="00F2199E">
              <w:rPr>
                <w:rFonts w:hint="eastAsia"/>
                <w:rtl/>
              </w:rPr>
              <w:t>בבידוד</w:t>
            </w:r>
            <w:r w:rsidRPr="00F2199E">
              <w:rPr>
                <w:rtl/>
              </w:rPr>
              <w:t xml:space="preserve"> בעקבות התראה שקיבלו באמצעות </w:t>
            </w:r>
            <w:r w:rsidRPr="00F2199E">
              <w:rPr>
                <w:rFonts w:hint="eastAsia"/>
                <w:rtl/>
              </w:rPr>
              <w:t>הטכנולוגיה</w:t>
            </w:r>
            <w:r w:rsidRPr="00F2199E">
              <w:rPr>
                <w:rtl/>
              </w:rPr>
              <w:t xml:space="preserve"> ו</w:t>
            </w:r>
            <w:r w:rsidRPr="00F2199E">
              <w:rPr>
                <w:rFonts w:hint="eastAsia"/>
                <w:rtl/>
              </w:rPr>
              <w:t>התקציב</w:t>
            </w:r>
            <w:r w:rsidRPr="00F2199E">
              <w:rPr>
                <w:rtl/>
              </w:rPr>
              <w:t xml:space="preserve"> </w:t>
            </w:r>
            <w:r w:rsidRPr="00F2199E">
              <w:rPr>
                <w:rFonts w:hint="eastAsia"/>
                <w:rtl/>
              </w:rPr>
              <w:t>שהוקצה</w:t>
            </w:r>
            <w:r w:rsidRPr="00F2199E">
              <w:rPr>
                <w:rtl/>
              </w:rPr>
              <w:t xml:space="preserve"> לקידום </w:t>
            </w:r>
            <w:r w:rsidRPr="00F2199E">
              <w:rPr>
                <w:rFonts w:hint="eastAsia"/>
                <w:rtl/>
              </w:rPr>
              <w:t>השימוש</w:t>
            </w:r>
            <w:r w:rsidRPr="00F2199E">
              <w:rPr>
                <w:rtl/>
              </w:rPr>
              <w:t xml:space="preserve"> </w:t>
            </w:r>
            <w:r w:rsidRPr="00F2199E">
              <w:rPr>
                <w:rFonts w:hint="eastAsia"/>
                <w:rtl/>
              </w:rPr>
              <w:t>בטכנולוגיה</w:t>
            </w:r>
            <w:r w:rsidRPr="00F2199E">
              <w:rPr>
                <w:rtl/>
              </w:rPr>
              <w:t>."</w:t>
            </w:r>
          </w:p>
        </w:tc>
      </w:tr>
      <w:tr w:rsidR="00D73C1F" w:rsidRPr="007577EF" w14:paraId="2D393927" w14:textId="77777777" w:rsidTr="00D73C1F">
        <w:tblPrEx>
          <w:tblLook w:val="01E0" w:firstRow="1" w:lastRow="1" w:firstColumn="1" w:lastColumn="1" w:noHBand="0" w:noVBand="0"/>
        </w:tblPrEx>
        <w:trPr>
          <w:cantSplit/>
        </w:trPr>
        <w:tc>
          <w:tcPr>
            <w:tcW w:w="1870" w:type="dxa"/>
          </w:tcPr>
          <w:p w14:paraId="1E79F73C" w14:textId="77777777" w:rsidR="00D73C1F" w:rsidRPr="007577EF" w:rsidRDefault="00D73C1F" w:rsidP="006C7437">
            <w:pPr>
              <w:pStyle w:val="TableSideHeading"/>
              <w:rPr>
                <w:rtl/>
              </w:rPr>
            </w:pPr>
            <w:r w:rsidRPr="007577EF">
              <w:rPr>
                <w:rFonts w:hint="cs"/>
                <w:rtl/>
              </w:rPr>
              <w:t>תיקון סעיף 22</w:t>
            </w:r>
          </w:p>
        </w:tc>
        <w:tc>
          <w:tcPr>
            <w:tcW w:w="624" w:type="dxa"/>
          </w:tcPr>
          <w:p w14:paraId="480E74F7" w14:textId="77777777" w:rsidR="00D73C1F" w:rsidRPr="007577EF" w:rsidRDefault="00D73C1F" w:rsidP="006C7437">
            <w:pPr>
              <w:pStyle w:val="TableText"/>
              <w:rPr>
                <w:rtl/>
              </w:rPr>
            </w:pPr>
            <w:r w:rsidRPr="007577EF">
              <w:rPr>
                <w:rFonts w:hint="cs"/>
                <w:rtl/>
              </w:rPr>
              <w:t>12.</w:t>
            </w:r>
          </w:p>
        </w:tc>
        <w:tc>
          <w:tcPr>
            <w:tcW w:w="7143" w:type="dxa"/>
            <w:gridSpan w:val="5"/>
          </w:tcPr>
          <w:p w14:paraId="6DA9FC19" w14:textId="77777777" w:rsidR="00D73C1F" w:rsidRPr="007577EF" w:rsidRDefault="00D73C1F" w:rsidP="00D73C1F">
            <w:pPr>
              <w:pStyle w:val="TableBlock"/>
              <w:rPr>
                <w:rtl/>
              </w:rPr>
            </w:pPr>
            <w:r w:rsidRPr="007577EF">
              <w:rPr>
                <w:rFonts w:hint="cs"/>
                <w:rtl/>
              </w:rPr>
              <w:t xml:space="preserve">בסעיף 22 לחוק העיקרי, סעיף קטן (ב) </w:t>
            </w:r>
            <w:r w:rsidRPr="007577EF">
              <w:rPr>
                <w:rtl/>
              </w:rPr>
              <w:t>–</w:t>
            </w:r>
            <w:r w:rsidRPr="007577EF">
              <w:rPr>
                <w:rFonts w:hint="cs"/>
                <w:rtl/>
              </w:rPr>
              <w:t xml:space="preserve"> בטל.</w:t>
            </w:r>
          </w:p>
        </w:tc>
      </w:tr>
      <w:tr w:rsidR="00D73C1F" w:rsidRPr="00C34DE2" w14:paraId="3E45DD47" w14:textId="77777777" w:rsidTr="00D73C1F">
        <w:tblPrEx>
          <w:tblLook w:val="01E0" w:firstRow="1" w:lastRow="1" w:firstColumn="1" w:lastColumn="1" w:noHBand="0" w:noVBand="0"/>
        </w:tblPrEx>
        <w:trPr>
          <w:cantSplit/>
        </w:trPr>
        <w:tc>
          <w:tcPr>
            <w:tcW w:w="1870" w:type="dxa"/>
          </w:tcPr>
          <w:p w14:paraId="07526091" w14:textId="77777777" w:rsidR="00D73C1F" w:rsidRDefault="00D73C1F" w:rsidP="006C7437">
            <w:pPr>
              <w:pStyle w:val="TableSideHeading"/>
            </w:pPr>
            <w:r>
              <w:rPr>
                <w:rFonts w:hint="cs"/>
                <w:rtl/>
              </w:rPr>
              <w:t>תיקון סעיף 24</w:t>
            </w:r>
          </w:p>
        </w:tc>
        <w:tc>
          <w:tcPr>
            <w:tcW w:w="624" w:type="dxa"/>
          </w:tcPr>
          <w:p w14:paraId="7E4F5484" w14:textId="77777777" w:rsidR="00D73C1F" w:rsidRDefault="00D73C1F" w:rsidP="006C7437">
            <w:pPr>
              <w:pStyle w:val="TableText"/>
            </w:pPr>
            <w:r>
              <w:rPr>
                <w:rFonts w:hint="cs"/>
                <w:rtl/>
              </w:rPr>
              <w:t>13.</w:t>
            </w:r>
          </w:p>
        </w:tc>
        <w:tc>
          <w:tcPr>
            <w:tcW w:w="7143" w:type="dxa"/>
            <w:gridSpan w:val="5"/>
          </w:tcPr>
          <w:p w14:paraId="446A54D9" w14:textId="77777777" w:rsidR="00D73C1F" w:rsidRPr="00C34DE2" w:rsidRDefault="00D73C1F" w:rsidP="00D73C1F">
            <w:pPr>
              <w:pStyle w:val="TableBlock"/>
            </w:pPr>
            <w:r w:rsidRPr="000E32E0">
              <w:rPr>
                <w:rFonts w:hint="cs"/>
                <w:rtl/>
              </w:rPr>
              <w:t xml:space="preserve">בסעיף 24 לחוק העיקרי, אחרי "וסעיפים" יבוא "12א," ובמקום "א' באב </w:t>
            </w:r>
            <w:proofErr w:type="spellStart"/>
            <w:r w:rsidRPr="000E32E0">
              <w:rPr>
                <w:rFonts w:hint="cs"/>
                <w:rtl/>
              </w:rPr>
              <w:t>התש"ף</w:t>
            </w:r>
            <w:proofErr w:type="spellEnd"/>
            <w:r w:rsidRPr="000E32E0">
              <w:rPr>
                <w:rFonts w:hint="cs"/>
                <w:rtl/>
              </w:rPr>
              <w:t xml:space="preserve"> (22 ביולי 2020)" יבוא "ז' בשבט </w:t>
            </w:r>
            <w:proofErr w:type="spellStart"/>
            <w:r w:rsidRPr="000E32E0">
              <w:rPr>
                <w:rFonts w:hint="cs"/>
                <w:rtl/>
              </w:rPr>
              <w:t>התשפ"א</w:t>
            </w:r>
            <w:proofErr w:type="spellEnd"/>
            <w:r w:rsidRPr="000E32E0">
              <w:rPr>
                <w:rFonts w:hint="cs"/>
                <w:rtl/>
              </w:rPr>
              <w:t xml:space="preserve"> (20 בינואר 2021)".</w:t>
            </w:r>
          </w:p>
        </w:tc>
      </w:tr>
      <w:tr w:rsidR="00D73C1F" w:rsidRPr="000E32E0" w14:paraId="03D8FE8E" w14:textId="77777777" w:rsidTr="00D73C1F">
        <w:tblPrEx>
          <w:tblLook w:val="01E0" w:firstRow="1" w:lastRow="1" w:firstColumn="1" w:lastColumn="1" w:noHBand="0" w:noVBand="0"/>
        </w:tblPrEx>
        <w:trPr>
          <w:cantSplit/>
        </w:trPr>
        <w:tc>
          <w:tcPr>
            <w:tcW w:w="1870" w:type="dxa"/>
          </w:tcPr>
          <w:p w14:paraId="1946BB78" w14:textId="77777777" w:rsidR="00D73C1F" w:rsidRPr="000E32E0" w:rsidRDefault="00D73C1F" w:rsidP="006C7437">
            <w:pPr>
              <w:pStyle w:val="TableSideHeading"/>
              <w:rPr>
                <w:rtl/>
              </w:rPr>
            </w:pPr>
            <w:r w:rsidRPr="000E32E0">
              <w:rPr>
                <w:rFonts w:hint="cs"/>
                <w:rtl/>
              </w:rPr>
              <w:t>ביטול התוספת</w:t>
            </w:r>
          </w:p>
        </w:tc>
        <w:tc>
          <w:tcPr>
            <w:tcW w:w="624" w:type="dxa"/>
          </w:tcPr>
          <w:p w14:paraId="4992B9CB" w14:textId="77777777" w:rsidR="00D73C1F" w:rsidRDefault="00D73C1F" w:rsidP="006C7437">
            <w:pPr>
              <w:pStyle w:val="TableText"/>
              <w:rPr>
                <w:rtl/>
              </w:rPr>
            </w:pPr>
            <w:r>
              <w:rPr>
                <w:rFonts w:hint="cs"/>
                <w:rtl/>
              </w:rPr>
              <w:t>14.</w:t>
            </w:r>
          </w:p>
        </w:tc>
        <w:tc>
          <w:tcPr>
            <w:tcW w:w="7143" w:type="dxa"/>
            <w:gridSpan w:val="5"/>
          </w:tcPr>
          <w:p w14:paraId="1CEE7A5D" w14:textId="77777777" w:rsidR="00D73C1F" w:rsidRPr="000E32E0" w:rsidRDefault="00D73C1F" w:rsidP="00D73C1F">
            <w:pPr>
              <w:pStyle w:val="TableBlock"/>
              <w:rPr>
                <w:rtl/>
              </w:rPr>
            </w:pPr>
            <w:r w:rsidRPr="000E32E0">
              <w:rPr>
                <w:rFonts w:hint="cs"/>
                <w:rtl/>
              </w:rPr>
              <w:t xml:space="preserve">התוספת לחוק העיקרי </w:t>
            </w:r>
            <w:r w:rsidRPr="000E32E0">
              <w:rPr>
                <w:rtl/>
              </w:rPr>
              <w:t>–</w:t>
            </w:r>
            <w:r w:rsidRPr="000E32E0">
              <w:rPr>
                <w:rFonts w:hint="cs"/>
                <w:rtl/>
              </w:rPr>
              <w:t xml:space="preserve"> </w:t>
            </w:r>
            <w:r>
              <w:rPr>
                <w:rFonts w:hint="cs"/>
                <w:rtl/>
              </w:rPr>
              <w:t>בטלה</w:t>
            </w:r>
            <w:r w:rsidRPr="000E32E0">
              <w:rPr>
                <w:rFonts w:hint="cs"/>
                <w:rtl/>
              </w:rPr>
              <w:t>.</w:t>
            </w:r>
          </w:p>
        </w:tc>
      </w:tr>
      <w:tr w:rsidR="00D73C1F" w:rsidRPr="0095440C" w14:paraId="56EAD127" w14:textId="77777777" w:rsidTr="00D73C1F">
        <w:tblPrEx>
          <w:tblLook w:val="01E0" w:firstRow="1" w:lastRow="1" w:firstColumn="1" w:lastColumn="1" w:noHBand="0" w:noVBand="0"/>
        </w:tblPrEx>
        <w:trPr>
          <w:cantSplit/>
        </w:trPr>
        <w:tc>
          <w:tcPr>
            <w:tcW w:w="1870" w:type="dxa"/>
          </w:tcPr>
          <w:p w14:paraId="36AA4CFA" w14:textId="77777777" w:rsidR="00D73C1F" w:rsidRPr="0095440C" w:rsidRDefault="00D73C1F" w:rsidP="00D73C1F">
            <w:pPr>
              <w:pStyle w:val="TableSideHeading"/>
              <w:rPr>
                <w:rtl/>
              </w:rPr>
            </w:pPr>
            <w:r w:rsidRPr="0095440C">
              <w:rPr>
                <w:rFonts w:hint="cs"/>
                <w:rtl/>
              </w:rPr>
              <w:lastRenderedPageBreak/>
              <w:t>ה</w:t>
            </w:r>
            <w:r>
              <w:rPr>
                <w:rFonts w:hint="cs"/>
                <w:rtl/>
              </w:rPr>
              <w:t>ו</w:t>
            </w:r>
            <w:r w:rsidRPr="0095440C">
              <w:rPr>
                <w:rFonts w:hint="cs"/>
                <w:rtl/>
              </w:rPr>
              <w:t>ראות מעבר</w:t>
            </w:r>
            <w:r>
              <w:rPr>
                <w:rtl/>
              </w:rPr>
              <w:t xml:space="preserve"> </w:t>
            </w:r>
          </w:p>
        </w:tc>
        <w:tc>
          <w:tcPr>
            <w:tcW w:w="624" w:type="dxa"/>
          </w:tcPr>
          <w:p w14:paraId="3E57DFEC" w14:textId="77777777" w:rsidR="00D73C1F" w:rsidRPr="0095440C" w:rsidRDefault="00D73C1F" w:rsidP="006C7437">
            <w:pPr>
              <w:pStyle w:val="TableText"/>
              <w:rPr>
                <w:rtl/>
              </w:rPr>
            </w:pPr>
            <w:r w:rsidRPr="0095440C">
              <w:rPr>
                <w:rFonts w:hint="cs"/>
                <w:rtl/>
              </w:rPr>
              <w:t>15.</w:t>
            </w:r>
          </w:p>
        </w:tc>
        <w:tc>
          <w:tcPr>
            <w:tcW w:w="7143" w:type="dxa"/>
            <w:gridSpan w:val="5"/>
          </w:tcPr>
          <w:p w14:paraId="4C36370D" w14:textId="77777777" w:rsidR="00D73C1F" w:rsidRPr="0095440C" w:rsidRDefault="00D73C1F" w:rsidP="00D73C1F">
            <w:pPr>
              <w:pStyle w:val="TableBlock"/>
              <w:rPr>
                <w:rtl/>
              </w:rPr>
            </w:pPr>
            <w:r w:rsidRPr="0095440C">
              <w:rPr>
                <w:rFonts w:hint="cs"/>
                <w:rtl/>
              </w:rPr>
              <w:t xml:space="preserve">ביום תחילתו של חוק זה (להלן </w:t>
            </w:r>
            <w:r w:rsidRPr="0095440C">
              <w:rPr>
                <w:rtl/>
              </w:rPr>
              <w:t>–</w:t>
            </w:r>
            <w:r w:rsidRPr="0095440C">
              <w:rPr>
                <w:rFonts w:hint="cs"/>
                <w:rtl/>
              </w:rPr>
              <w:t xml:space="preserve"> יום התחילה) יראו כאילו ניתנה הכרזה שתוקפה 21 ימים וכאילו אושרה על ידי ועדת החוץ והביטחון של הכנסת לפי סעיפים 3 ו-3א לחוק העיקרי כנוסחם בחוק זה.</w:t>
            </w:r>
          </w:p>
        </w:tc>
      </w:tr>
    </w:tbl>
    <w:p w14:paraId="0966A06F" w14:textId="77777777" w:rsidR="008525E2" w:rsidRPr="00E125CC" w:rsidRDefault="008525E2" w:rsidP="00D114CA">
      <w:pPr>
        <w:pStyle w:val="Noparagraphstyle"/>
        <w:spacing w:after="1200"/>
        <w:rPr>
          <w:sz w:val="26"/>
          <w:rtl/>
        </w:rPr>
      </w:pPr>
    </w:p>
    <w:tbl>
      <w:tblPr>
        <w:bidiVisual/>
        <w:tblW w:w="9639" w:type="dxa"/>
        <w:tblLook w:val="00A0" w:firstRow="1" w:lastRow="0" w:firstColumn="1" w:lastColumn="0" w:noHBand="0" w:noVBand="0"/>
      </w:tblPr>
      <w:tblGrid>
        <w:gridCol w:w="2409"/>
        <w:gridCol w:w="2410"/>
        <w:gridCol w:w="2410"/>
        <w:gridCol w:w="2410"/>
      </w:tblGrid>
      <w:tr w:rsidR="003D31B6" w:rsidRPr="00D466D4" w14:paraId="2F96AC1C" w14:textId="77777777" w:rsidTr="00023715">
        <w:tc>
          <w:tcPr>
            <w:tcW w:w="2409" w:type="dxa"/>
            <w:shd w:val="clear" w:color="auto" w:fill="auto"/>
          </w:tcPr>
          <w:p w14:paraId="41257EF1" w14:textId="77777777" w:rsidR="003D31B6" w:rsidRPr="00D466D4" w:rsidRDefault="003D31B6" w:rsidP="006F3CC7">
            <w:pPr>
              <w:jc w:val="center"/>
              <w:rPr>
                <w:sz w:val="26"/>
                <w:szCs w:val="26"/>
                <w:rtl/>
              </w:rPr>
            </w:pPr>
          </w:p>
        </w:tc>
        <w:tc>
          <w:tcPr>
            <w:tcW w:w="4820" w:type="dxa"/>
            <w:gridSpan w:val="2"/>
            <w:shd w:val="clear" w:color="auto" w:fill="auto"/>
          </w:tcPr>
          <w:p w14:paraId="154A2C56" w14:textId="77777777" w:rsidR="003D31B6" w:rsidRPr="00D466D4" w:rsidRDefault="003D31B6" w:rsidP="006F3CC7">
            <w:pPr>
              <w:jc w:val="center"/>
              <w:rPr>
                <w:sz w:val="26"/>
                <w:szCs w:val="26"/>
                <w:rtl/>
              </w:rPr>
            </w:pPr>
            <w:bookmarkStart w:id="5" w:name="PrimeMinistryName"/>
            <w:r>
              <w:rPr>
                <w:rFonts w:hint="cs"/>
                <w:sz w:val="26"/>
                <w:szCs w:val="26"/>
                <w:rtl/>
              </w:rPr>
              <w:t>בנימין נתניהו</w:t>
            </w:r>
            <w:bookmarkEnd w:id="5"/>
          </w:p>
          <w:p w14:paraId="2645E958" w14:textId="5993A7EC" w:rsidR="003D31B6" w:rsidRPr="00D466D4" w:rsidRDefault="003D31B6" w:rsidP="006F3CC7">
            <w:pPr>
              <w:jc w:val="center"/>
              <w:rPr>
                <w:sz w:val="26"/>
                <w:szCs w:val="26"/>
                <w:rtl/>
              </w:rPr>
            </w:pPr>
            <w:r w:rsidRPr="00D466D4">
              <w:rPr>
                <w:rFonts w:hint="cs"/>
                <w:sz w:val="26"/>
                <w:szCs w:val="26"/>
                <w:rtl/>
              </w:rPr>
              <w:t>ראש הממשלה</w:t>
            </w:r>
          </w:p>
        </w:tc>
        <w:tc>
          <w:tcPr>
            <w:tcW w:w="2410" w:type="dxa"/>
            <w:shd w:val="clear" w:color="auto" w:fill="auto"/>
          </w:tcPr>
          <w:p w14:paraId="4E9E7260" w14:textId="4FD6A637" w:rsidR="003D31B6" w:rsidRPr="00D466D4" w:rsidRDefault="003D31B6" w:rsidP="006F3CC7">
            <w:pPr>
              <w:jc w:val="center"/>
              <w:rPr>
                <w:sz w:val="26"/>
                <w:szCs w:val="26"/>
                <w:rtl/>
              </w:rPr>
            </w:pPr>
          </w:p>
        </w:tc>
      </w:tr>
      <w:tr w:rsidR="008525E2" w:rsidRPr="00D466D4" w14:paraId="05A6F5E3" w14:textId="77777777" w:rsidTr="00D114CA">
        <w:tc>
          <w:tcPr>
            <w:tcW w:w="2409" w:type="dxa"/>
            <w:shd w:val="clear" w:color="auto" w:fill="auto"/>
          </w:tcPr>
          <w:p w14:paraId="425582D7" w14:textId="77777777" w:rsidR="008525E2" w:rsidRPr="00D466D4" w:rsidRDefault="008525E2" w:rsidP="006F3CC7">
            <w:pPr>
              <w:jc w:val="center"/>
              <w:rPr>
                <w:sz w:val="26"/>
                <w:szCs w:val="26"/>
                <w:rtl/>
              </w:rPr>
            </w:pPr>
          </w:p>
          <w:p w14:paraId="658955AF" w14:textId="77777777" w:rsidR="008525E2" w:rsidRPr="00D466D4" w:rsidRDefault="008525E2" w:rsidP="006F3CC7">
            <w:pPr>
              <w:jc w:val="center"/>
              <w:rPr>
                <w:sz w:val="26"/>
                <w:szCs w:val="26"/>
                <w:rtl/>
              </w:rPr>
            </w:pPr>
          </w:p>
        </w:tc>
        <w:tc>
          <w:tcPr>
            <w:tcW w:w="2410" w:type="dxa"/>
            <w:shd w:val="clear" w:color="auto" w:fill="auto"/>
          </w:tcPr>
          <w:p w14:paraId="60A903C6" w14:textId="77777777" w:rsidR="008525E2" w:rsidRPr="00D466D4" w:rsidRDefault="008525E2" w:rsidP="006F3CC7">
            <w:pPr>
              <w:jc w:val="center"/>
              <w:rPr>
                <w:sz w:val="26"/>
                <w:szCs w:val="26"/>
                <w:rtl/>
              </w:rPr>
            </w:pPr>
          </w:p>
        </w:tc>
        <w:tc>
          <w:tcPr>
            <w:tcW w:w="2410" w:type="dxa"/>
            <w:shd w:val="clear" w:color="auto" w:fill="auto"/>
          </w:tcPr>
          <w:p w14:paraId="4F029DAB" w14:textId="77777777" w:rsidR="008525E2" w:rsidRPr="00D466D4" w:rsidRDefault="008525E2" w:rsidP="006F3CC7">
            <w:pPr>
              <w:jc w:val="center"/>
              <w:rPr>
                <w:sz w:val="26"/>
                <w:szCs w:val="26"/>
                <w:rtl/>
              </w:rPr>
            </w:pPr>
          </w:p>
        </w:tc>
        <w:tc>
          <w:tcPr>
            <w:tcW w:w="2410" w:type="dxa"/>
            <w:shd w:val="clear" w:color="auto" w:fill="auto"/>
          </w:tcPr>
          <w:p w14:paraId="326781B0" w14:textId="77777777" w:rsidR="008525E2" w:rsidRPr="00D466D4" w:rsidRDefault="008525E2" w:rsidP="006F3CC7">
            <w:pPr>
              <w:jc w:val="center"/>
              <w:rPr>
                <w:sz w:val="26"/>
                <w:szCs w:val="26"/>
                <w:rtl/>
              </w:rPr>
            </w:pPr>
          </w:p>
          <w:p w14:paraId="47E70B3D" w14:textId="77777777" w:rsidR="008525E2" w:rsidRPr="00D466D4" w:rsidRDefault="008525E2" w:rsidP="006F3CC7">
            <w:pPr>
              <w:jc w:val="center"/>
              <w:rPr>
                <w:sz w:val="26"/>
                <w:szCs w:val="26"/>
                <w:rtl/>
              </w:rPr>
            </w:pPr>
          </w:p>
        </w:tc>
      </w:tr>
      <w:tr w:rsidR="003D31B6" w:rsidRPr="00D466D4" w14:paraId="0B267174" w14:textId="77777777" w:rsidTr="002C2972">
        <w:tc>
          <w:tcPr>
            <w:tcW w:w="4819" w:type="dxa"/>
            <w:gridSpan w:val="2"/>
            <w:shd w:val="clear" w:color="auto" w:fill="auto"/>
          </w:tcPr>
          <w:p w14:paraId="2966E31F" w14:textId="77777777" w:rsidR="003D31B6" w:rsidRPr="00D466D4" w:rsidRDefault="003D31B6" w:rsidP="006F3CC7">
            <w:pPr>
              <w:jc w:val="center"/>
              <w:rPr>
                <w:sz w:val="26"/>
                <w:szCs w:val="26"/>
                <w:rtl/>
              </w:rPr>
            </w:pPr>
            <w:r w:rsidRPr="003710E7">
              <w:rPr>
                <w:rFonts w:hint="cs"/>
                <w:sz w:val="26"/>
                <w:szCs w:val="26"/>
                <w:rtl/>
              </w:rPr>
              <w:t>ראובן ריבלין</w:t>
            </w:r>
          </w:p>
          <w:p w14:paraId="35C6697D" w14:textId="6B23D3DB" w:rsidR="003D31B6" w:rsidRPr="00D466D4" w:rsidRDefault="003D31B6" w:rsidP="006F3CC7">
            <w:pPr>
              <w:jc w:val="center"/>
              <w:rPr>
                <w:sz w:val="26"/>
                <w:szCs w:val="26"/>
                <w:rtl/>
              </w:rPr>
            </w:pPr>
            <w:r w:rsidRPr="00D466D4">
              <w:rPr>
                <w:rFonts w:hint="cs"/>
                <w:sz w:val="26"/>
                <w:szCs w:val="26"/>
                <w:rtl/>
              </w:rPr>
              <w:t>נשיא המדינה</w:t>
            </w:r>
          </w:p>
        </w:tc>
        <w:tc>
          <w:tcPr>
            <w:tcW w:w="4820" w:type="dxa"/>
            <w:gridSpan w:val="2"/>
            <w:shd w:val="clear" w:color="auto" w:fill="auto"/>
          </w:tcPr>
          <w:p w14:paraId="24D5DFE0" w14:textId="77777777" w:rsidR="003D31B6" w:rsidRPr="00D466D4" w:rsidRDefault="003D31B6" w:rsidP="006F3CC7">
            <w:pPr>
              <w:jc w:val="center"/>
              <w:rPr>
                <w:sz w:val="26"/>
                <w:szCs w:val="26"/>
                <w:rtl/>
              </w:rPr>
            </w:pPr>
            <w:bookmarkStart w:id="6" w:name="HeadKnessetName"/>
            <w:r>
              <w:rPr>
                <w:rFonts w:hint="cs"/>
                <w:sz w:val="26"/>
                <w:szCs w:val="26"/>
                <w:rtl/>
              </w:rPr>
              <w:t>יריב לוין</w:t>
            </w:r>
            <w:bookmarkEnd w:id="6"/>
          </w:p>
          <w:p w14:paraId="31970EFB" w14:textId="3BFA47ED" w:rsidR="003D31B6" w:rsidRPr="00D466D4" w:rsidRDefault="003D31B6" w:rsidP="006F3CC7">
            <w:pPr>
              <w:jc w:val="center"/>
              <w:rPr>
                <w:sz w:val="26"/>
                <w:szCs w:val="26"/>
                <w:rtl/>
              </w:rPr>
            </w:pPr>
            <w:r w:rsidRPr="00D466D4">
              <w:rPr>
                <w:rFonts w:hint="cs"/>
                <w:sz w:val="26"/>
                <w:szCs w:val="26"/>
                <w:rtl/>
              </w:rPr>
              <w:t>יושב ראש הכנסת</w:t>
            </w:r>
          </w:p>
        </w:tc>
      </w:tr>
    </w:tbl>
    <w:p w14:paraId="5CDB2071" w14:textId="77777777" w:rsidR="002137F8" w:rsidRPr="008525E2" w:rsidRDefault="002137F8" w:rsidP="00D114CA">
      <w:pPr>
        <w:rPr>
          <w:rtl/>
        </w:rPr>
      </w:pPr>
    </w:p>
    <w:sectPr w:rsidR="002137F8" w:rsidRPr="008525E2" w:rsidSect="00D73C1F">
      <w:headerReference w:type="even" r:id="rId13"/>
      <w:headerReference w:type="default" r:id="rId14"/>
      <w:footerReference w:type="even" r:id="rId15"/>
      <w:pgSz w:w="11906" w:h="16838"/>
      <w:pgMar w:top="1701" w:right="1134" w:bottom="1417" w:left="1134"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8D36F5" w14:textId="77777777" w:rsidR="00AC209E" w:rsidRDefault="00AC209E" w:rsidP="00B416AF">
      <w:pPr>
        <w:pStyle w:val="HeadHatzaotHok"/>
      </w:pPr>
      <w:r>
        <w:separator/>
      </w:r>
    </w:p>
  </w:endnote>
  <w:endnote w:type="continuationSeparator" w:id="0">
    <w:p w14:paraId="6E97A7D6" w14:textId="77777777" w:rsidR="00AC209E" w:rsidRDefault="00AC209E" w:rsidP="00B416AF">
      <w:pPr>
        <w:pStyle w:val="HeadHatzaotHok"/>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uttman Yad-Brush">
    <w:panose1 w:val="02010401010101010101"/>
    <w:charset w:val="B1"/>
    <w:family w:val="auto"/>
    <w:pitch w:val="variable"/>
    <w:sig w:usb0="00000801" w:usb1="4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EC2FF" w14:textId="77777777" w:rsidR="002137F8" w:rsidRDefault="002137F8" w:rsidP="00B416AF">
    <w:pPr>
      <w:pStyle w:val="a7"/>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14:paraId="5F8B6E9A" w14:textId="77777777" w:rsidR="002137F8" w:rsidRDefault="002137F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02BB98" w14:textId="77777777" w:rsidR="00AC209E" w:rsidRDefault="00AC209E" w:rsidP="00D73C1F">
      <w:pPr>
        <w:pStyle w:val="HeadHatzaotHok"/>
        <w:spacing w:before="0"/>
        <w:ind w:left="0"/>
        <w:jc w:val="left"/>
      </w:pPr>
      <w:r>
        <w:separator/>
      </w:r>
    </w:p>
  </w:footnote>
  <w:footnote w:type="continuationSeparator" w:id="0">
    <w:p w14:paraId="682894F6" w14:textId="77777777" w:rsidR="00AC209E" w:rsidRPr="00696C5E" w:rsidRDefault="00AC209E" w:rsidP="00696C5E">
      <w:pPr>
        <w:pStyle w:val="HeadHatzaotHok"/>
        <w:spacing w:before="0"/>
        <w:jc w:val="left"/>
      </w:pPr>
      <w:r>
        <w:separator/>
      </w:r>
    </w:p>
  </w:footnote>
  <w:footnote w:id="1">
    <w:p w14:paraId="47BFB48E" w14:textId="77777777" w:rsidR="008525E2" w:rsidRDefault="008525E2" w:rsidP="009D2D8E">
      <w:pPr>
        <w:pStyle w:val="a9"/>
        <w:rPr>
          <w:rtl/>
        </w:rPr>
      </w:pPr>
      <w:r>
        <w:rPr>
          <w:rStyle w:val="a8"/>
        </w:rPr>
        <w:t>*</w:t>
      </w:r>
      <w:r>
        <w:rPr>
          <w:rFonts w:hint="cs"/>
          <w:rtl/>
        </w:rPr>
        <w:t xml:space="preserve"> התקבל בכנסת ביום</w:t>
      </w:r>
      <w:r w:rsidR="00D73C1F">
        <w:rPr>
          <w:rFonts w:hint="cs"/>
          <w:rtl/>
        </w:rPr>
        <w:t xml:space="preserve"> כ"ח בתמוז </w:t>
      </w:r>
      <w:proofErr w:type="spellStart"/>
      <w:r w:rsidR="00D73C1F">
        <w:rPr>
          <w:rFonts w:hint="cs"/>
          <w:rtl/>
        </w:rPr>
        <w:t>התש"ף</w:t>
      </w:r>
      <w:proofErr w:type="spellEnd"/>
      <w:r w:rsidR="00D73C1F">
        <w:rPr>
          <w:rFonts w:hint="cs"/>
          <w:rtl/>
        </w:rPr>
        <w:t xml:space="preserve"> (20 ביולי 2020)</w:t>
      </w:r>
      <w:r>
        <w:rPr>
          <w:rFonts w:hint="cs"/>
          <w:rtl/>
        </w:rPr>
        <w:t xml:space="preserve">; הצעת החוק ודברי הסבר פורסמו בהצעות חוק </w:t>
      </w:r>
      <w:bookmarkStart w:id="1" w:name="LGSType"/>
      <w:r>
        <w:rPr>
          <w:rFonts w:hint="cs"/>
          <w:rtl/>
        </w:rPr>
        <w:t>הממשלה</w:t>
      </w:r>
      <w:bookmarkEnd w:id="1"/>
      <w:r>
        <w:rPr>
          <w:rFonts w:hint="cs"/>
          <w:rtl/>
        </w:rPr>
        <w:t xml:space="preserve"> </w:t>
      </w:r>
      <w:r>
        <w:rPr>
          <w:rFonts w:hint="eastAsia"/>
          <w:rtl/>
        </w:rPr>
        <w:t>–</w:t>
      </w:r>
      <w:r>
        <w:rPr>
          <w:rFonts w:hint="cs"/>
          <w:rtl/>
        </w:rPr>
        <w:t xml:space="preserve"> </w:t>
      </w:r>
      <w:bookmarkStart w:id="2" w:name="LGSNum"/>
      <w:r>
        <w:rPr>
          <w:rFonts w:hint="cs"/>
          <w:rtl/>
        </w:rPr>
        <w:t>1334</w:t>
      </w:r>
      <w:bookmarkEnd w:id="2"/>
      <w:r>
        <w:rPr>
          <w:rFonts w:hint="eastAsia"/>
          <w:rtl/>
        </w:rPr>
        <w:t>, מיום</w:t>
      </w:r>
      <w:r w:rsidR="009D2D8E">
        <w:rPr>
          <w:rFonts w:hint="cs"/>
          <w:rtl/>
        </w:rPr>
        <w:t xml:space="preserve"> ב' בתמוז </w:t>
      </w:r>
      <w:proofErr w:type="spellStart"/>
      <w:r w:rsidR="009D2D8E">
        <w:rPr>
          <w:rFonts w:hint="cs"/>
          <w:rtl/>
        </w:rPr>
        <w:t>התש"ף</w:t>
      </w:r>
      <w:proofErr w:type="spellEnd"/>
      <w:r w:rsidRPr="00827E61">
        <w:rPr>
          <w:rFonts w:hint="cs"/>
          <w:rtl/>
        </w:rPr>
        <w:t xml:space="preserve"> (</w:t>
      </w:r>
      <w:bookmarkStart w:id="3" w:name="EngDate"/>
      <w:r w:rsidR="009D2D8E">
        <w:rPr>
          <w:rFonts w:hint="cs"/>
          <w:rtl/>
        </w:rPr>
        <w:t>24 ביוני 2020</w:t>
      </w:r>
      <w:bookmarkEnd w:id="3"/>
      <w:r w:rsidRPr="00827E61">
        <w:rPr>
          <w:rFonts w:hint="cs"/>
          <w:rtl/>
        </w:rPr>
        <w:t>), עמ'</w:t>
      </w:r>
      <w:r w:rsidR="009D2D8E">
        <w:rPr>
          <w:rFonts w:hint="cs"/>
          <w:rtl/>
        </w:rPr>
        <w:t xml:space="preserve"> 374.</w:t>
      </w:r>
    </w:p>
  </w:footnote>
  <w:footnote w:id="2">
    <w:p w14:paraId="207E940A" w14:textId="77777777" w:rsidR="00D73C1F" w:rsidRDefault="00D73C1F" w:rsidP="00D73C1F">
      <w:pPr>
        <w:pStyle w:val="a9"/>
        <w:rPr>
          <w:rtl/>
        </w:rPr>
      </w:pPr>
      <w:r>
        <w:rPr>
          <w:rStyle w:val="a8"/>
        </w:rPr>
        <w:footnoteRef/>
      </w:r>
      <w:r>
        <w:rPr>
          <w:rtl/>
        </w:rPr>
        <w:t xml:space="preserve"> </w:t>
      </w:r>
      <w:r>
        <w:rPr>
          <w:rFonts w:hint="cs"/>
          <w:rtl/>
        </w:rPr>
        <w:t xml:space="preserve">ס"ח </w:t>
      </w:r>
      <w:proofErr w:type="spellStart"/>
      <w:r>
        <w:rPr>
          <w:rFonts w:hint="cs"/>
          <w:rtl/>
        </w:rPr>
        <w:t>התש"ף</w:t>
      </w:r>
      <w:proofErr w:type="spellEnd"/>
      <w:r>
        <w:rPr>
          <w:rFonts w:hint="cs"/>
          <w:rtl/>
        </w:rPr>
        <w:t>, עמ' 166.</w:t>
      </w:r>
    </w:p>
  </w:footnote>
  <w:footnote w:id="3">
    <w:p w14:paraId="3301FF0D" w14:textId="77777777" w:rsidR="00D73C1F" w:rsidRDefault="00D73C1F" w:rsidP="00D73C1F">
      <w:pPr>
        <w:pStyle w:val="a9"/>
        <w:rPr>
          <w:rtl/>
        </w:rPr>
      </w:pPr>
      <w:r>
        <w:rPr>
          <w:rStyle w:val="a8"/>
        </w:rPr>
        <w:footnoteRef/>
      </w:r>
      <w:r>
        <w:rPr>
          <w:rtl/>
        </w:rPr>
        <w:t xml:space="preserve"> </w:t>
      </w:r>
      <w:r>
        <w:rPr>
          <w:rFonts w:hint="cs"/>
          <w:rtl/>
        </w:rPr>
        <w:t xml:space="preserve">ס"ח </w:t>
      </w:r>
      <w:proofErr w:type="spellStart"/>
      <w:r>
        <w:rPr>
          <w:rFonts w:hint="cs"/>
          <w:rtl/>
        </w:rPr>
        <w:t>התש"ף</w:t>
      </w:r>
      <w:proofErr w:type="spellEnd"/>
      <w:r>
        <w:rPr>
          <w:rFonts w:hint="cs"/>
          <w:rtl/>
        </w:rPr>
        <w:t xml:space="preserve">, </w:t>
      </w:r>
      <w:proofErr w:type="spellStart"/>
      <w:r>
        <w:rPr>
          <w:rFonts w:hint="cs"/>
          <w:rtl/>
        </w:rPr>
        <w:t>עמ</w:t>
      </w:r>
      <w:proofErr w:type="spellEnd"/>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9BEE4" w14:textId="77777777" w:rsidR="002137F8" w:rsidRDefault="002137F8">
    <w:pPr>
      <w:pStyle w:val="ab"/>
      <w:framePr w:wrap="around" w:vAnchor="text" w:hAnchor="margin" w:xAlign="center" w:y="1"/>
      <w:rPr>
        <w:rStyle w:val="ac"/>
        <w:rtl/>
      </w:rPr>
    </w:pPr>
    <w:r>
      <w:rPr>
        <w:rStyle w:val="ac"/>
        <w:rtl/>
      </w:rPr>
      <w:fldChar w:fldCharType="begin"/>
    </w:r>
    <w:r>
      <w:rPr>
        <w:rStyle w:val="ac"/>
      </w:rPr>
      <w:instrText xml:space="preserve">PAGE  </w:instrText>
    </w:r>
    <w:r>
      <w:rPr>
        <w:rStyle w:val="ac"/>
        <w:rtl/>
      </w:rPr>
      <w:fldChar w:fldCharType="end"/>
    </w:r>
  </w:p>
  <w:p w14:paraId="7E4CF575" w14:textId="77777777" w:rsidR="002137F8" w:rsidRDefault="002137F8">
    <w:pPr>
      <w:pStyle w:val="ab"/>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01D27" w14:textId="77777777" w:rsidR="002137F8" w:rsidRPr="00E125CC" w:rsidRDefault="002137F8">
    <w:pPr>
      <w:pStyle w:val="ab"/>
      <w:framePr w:wrap="around" w:vAnchor="text" w:hAnchor="margin" w:xAlign="center" w:y="1"/>
      <w:rPr>
        <w:rStyle w:val="ac"/>
        <w:rtl/>
      </w:rPr>
    </w:pPr>
    <w:r>
      <w:rPr>
        <w:rStyle w:val="ac"/>
        <w:rFonts w:hint="cs"/>
        <w:rtl/>
      </w:rPr>
      <w:t xml:space="preserve">- </w:t>
    </w:r>
    <w:r w:rsidRPr="00E125CC">
      <w:rPr>
        <w:rStyle w:val="ac"/>
        <w:rtl/>
      </w:rPr>
      <w:fldChar w:fldCharType="begin"/>
    </w:r>
    <w:r w:rsidRPr="00E125CC">
      <w:rPr>
        <w:rStyle w:val="ac"/>
      </w:rPr>
      <w:instrText xml:space="preserve">PAGE  </w:instrText>
    </w:r>
    <w:r w:rsidRPr="00E125CC">
      <w:rPr>
        <w:rStyle w:val="ac"/>
        <w:rtl/>
      </w:rPr>
      <w:fldChar w:fldCharType="separate"/>
    </w:r>
    <w:r w:rsidR="00B23452">
      <w:rPr>
        <w:rStyle w:val="ac"/>
        <w:noProof/>
        <w:rtl/>
      </w:rPr>
      <w:t>2</w:t>
    </w:r>
    <w:r w:rsidRPr="00E125CC">
      <w:rPr>
        <w:rStyle w:val="ac"/>
        <w:rtl/>
      </w:rPr>
      <w:fldChar w:fldCharType="end"/>
    </w:r>
    <w:r>
      <w:rPr>
        <w:rStyle w:val="ac"/>
        <w:rFonts w:hint="cs"/>
        <w:rtl/>
      </w:rPr>
      <w:t xml:space="preserve"> -</w:t>
    </w:r>
  </w:p>
  <w:p w14:paraId="279B3F6E" w14:textId="77777777" w:rsidR="002137F8" w:rsidRDefault="002137F8">
    <w:pPr>
      <w:pStyle w:val="ab"/>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49435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8A2E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E00D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D24B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168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CA2E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33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8CFF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F38A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B852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A52957"/>
    <w:multiLevelType w:val="multilevel"/>
    <w:tmpl w:val="D20A7DD6"/>
    <w:lvl w:ilvl="0">
      <w:start w:val="1"/>
      <w:numFmt w:val="decimal"/>
      <w:lvlRestart w:val="0"/>
      <w:suff w:val="nothing"/>
      <w:lvlText w:val=".%1"/>
      <w:lvlJc w:val="left"/>
      <w:pPr>
        <w:ind w:left="0" w:firstLine="0"/>
      </w:pPr>
      <w:rPr>
        <w:rFonts w:hint="default"/>
      </w:rPr>
    </w:lvl>
    <w:lvl w:ilvl="1">
      <w:start w:val="1"/>
      <w:numFmt w:val="hebrew2"/>
      <w:lvlText w:val="(%2)"/>
      <w:lvlJc w:val="left"/>
      <w:pPr>
        <w:tabs>
          <w:tab w:val="num" w:pos="0"/>
        </w:tabs>
        <w:ind w:left="0" w:firstLine="0"/>
      </w:pPr>
      <w:rPr>
        <w:rFonts w:hint="default"/>
      </w:rPr>
    </w:lvl>
    <w:lvl w:ilvl="2">
      <w:start w:val="1"/>
      <w:numFmt w:val="decimal"/>
      <w:lvlText w:val="(%3)"/>
      <w:lvlJc w:val="left"/>
      <w:pPr>
        <w:tabs>
          <w:tab w:val="num" w:pos="624"/>
        </w:tabs>
        <w:ind w:left="0" w:firstLine="0"/>
      </w:pPr>
      <w:rPr>
        <w:rFonts w:hint="default"/>
      </w:rPr>
    </w:lvl>
    <w:lvl w:ilvl="3">
      <w:start w:val="1"/>
      <w:numFmt w:val="hebrew1"/>
      <w:lvlText w:val="(%4)"/>
      <w:lvlJc w:val="left"/>
      <w:pPr>
        <w:tabs>
          <w:tab w:val="num" w:pos="624"/>
        </w:tabs>
        <w:ind w:left="0" w:firstLine="0"/>
      </w:pPr>
      <w:rPr>
        <w:rFonts w:hint="default"/>
      </w:rPr>
    </w:lvl>
    <w:lvl w:ilvl="4">
      <w:start w:val="1"/>
      <w:numFmt w:val="decimal"/>
      <w:lvlText w:val="(%5)"/>
      <w:lvlJc w:val="left"/>
      <w:pPr>
        <w:tabs>
          <w:tab w:val="num" w:pos="624"/>
        </w:tabs>
        <w:ind w:left="0" w:firstLine="0"/>
      </w:pPr>
      <w:rPr>
        <w:rFonts w:hint="default"/>
      </w:rPr>
    </w:lvl>
    <w:lvl w:ilvl="5">
      <w:start w:val="1"/>
      <w:numFmt w:val="hebrew1"/>
      <w:lvlText w:val="(%6)"/>
      <w:lvlJc w:val="left"/>
      <w:pPr>
        <w:tabs>
          <w:tab w:val="num" w:pos="0"/>
        </w:tabs>
        <w:ind w:left="0" w:firstLine="0"/>
      </w:pPr>
      <w:rPr>
        <w:rFonts w:hint="default"/>
      </w:rPr>
    </w:lvl>
    <w:lvl w:ilvl="6">
      <w:start w:val="1"/>
      <w:numFmt w:val="decimal"/>
      <w:lvlRestart w:val="0"/>
      <w:lvlText w:val="(%7)"/>
      <w:lvlJc w:val="left"/>
      <w:pPr>
        <w:tabs>
          <w:tab w:val="num" w:pos="0"/>
        </w:tabs>
        <w:ind w:left="0" w:firstLine="0"/>
      </w:pPr>
      <w:rPr>
        <w:rFonts w:hint="default"/>
      </w:rPr>
    </w:lvl>
    <w:lvl w:ilvl="7">
      <w:start w:val="1"/>
      <w:numFmt w:val="bullet"/>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2"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B3B28B0"/>
    <w:multiLevelType w:val="hybridMultilevel"/>
    <w:tmpl w:val="41ACEA96"/>
    <w:lvl w:ilvl="0" w:tplc="06A8C010">
      <w:start w:val="1"/>
      <w:numFmt w:val="decimal"/>
      <w:pStyle w:val="TOC3"/>
      <w:lvlText w:val="%1."/>
      <w:lvlJc w:val="left"/>
      <w:pPr>
        <w:ind w:left="1287" w:hanging="360"/>
      </w:pPr>
      <w:rPr>
        <w:rFonts w:cs="David" w:hint="default"/>
        <w:bCs w:val="0"/>
        <w:iCs w:val="0"/>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0"/>
  </w:num>
  <w:num w:numId="3">
    <w:abstractNumId w:val="15"/>
  </w:num>
  <w:num w:numId="4">
    <w:abstractNumId w:val="12"/>
  </w:num>
  <w:num w:numId="5">
    <w:abstractNumId w:val="16"/>
  </w:num>
  <w:num w:numId="6">
    <w:abstractNumId w:val="8"/>
  </w:num>
  <w:num w:numId="7">
    <w:abstractNumId w:val="3"/>
  </w:num>
  <w:num w:numId="8">
    <w:abstractNumId w:val="2"/>
  </w:num>
  <w:num w:numId="9">
    <w:abstractNumId w:val="1"/>
  </w:num>
  <w:num w:numId="10">
    <w:abstractNumId w:val="9"/>
  </w:num>
  <w:num w:numId="11">
    <w:abstractNumId w:val="7"/>
  </w:num>
  <w:num w:numId="12">
    <w:abstractNumId w:val="6"/>
  </w:num>
  <w:num w:numId="13">
    <w:abstractNumId w:val="5"/>
  </w:num>
  <w:num w:numId="14">
    <w:abstractNumId w:val="4"/>
  </w:num>
  <w:num w:numId="15">
    <w:abstractNumId w:val="13"/>
  </w:num>
  <w:num w:numId="16">
    <w:abstractNumId w:val="13"/>
    <w:lvlOverride w:ilvl="0">
      <w:startOverride w:val="1"/>
    </w:lvlOverride>
  </w:num>
  <w:num w:numId="17">
    <w:abstractNumId w:val="11"/>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43"/>
    <w:rsid w:val="00022EBF"/>
    <w:rsid w:val="0002643E"/>
    <w:rsid w:val="0002757A"/>
    <w:rsid w:val="00027E2D"/>
    <w:rsid w:val="00033033"/>
    <w:rsid w:val="00047882"/>
    <w:rsid w:val="00077AF1"/>
    <w:rsid w:val="00093C5B"/>
    <w:rsid w:val="00097925"/>
    <w:rsid w:val="000B3A00"/>
    <w:rsid w:val="000E3B18"/>
    <w:rsid w:val="000E4563"/>
    <w:rsid w:val="000E7E08"/>
    <w:rsid w:val="000F6D7C"/>
    <w:rsid w:val="001253F6"/>
    <w:rsid w:val="00135743"/>
    <w:rsid w:val="00151246"/>
    <w:rsid w:val="001C4A6C"/>
    <w:rsid w:val="002000B0"/>
    <w:rsid w:val="00205DFF"/>
    <w:rsid w:val="0020610D"/>
    <w:rsid w:val="0020793A"/>
    <w:rsid w:val="002137F8"/>
    <w:rsid w:val="00220CAF"/>
    <w:rsid w:val="00222DA1"/>
    <w:rsid w:val="0024044E"/>
    <w:rsid w:val="00280B87"/>
    <w:rsid w:val="002C4285"/>
    <w:rsid w:val="002C440E"/>
    <w:rsid w:val="002C4FF8"/>
    <w:rsid w:val="002E1F11"/>
    <w:rsid w:val="002E6458"/>
    <w:rsid w:val="00331786"/>
    <w:rsid w:val="0034385F"/>
    <w:rsid w:val="00352E82"/>
    <w:rsid w:val="003710E7"/>
    <w:rsid w:val="0037452B"/>
    <w:rsid w:val="003948C0"/>
    <w:rsid w:val="003B4BC6"/>
    <w:rsid w:val="003C03C8"/>
    <w:rsid w:val="003C1215"/>
    <w:rsid w:val="003D27C5"/>
    <w:rsid w:val="003D31B6"/>
    <w:rsid w:val="003D58F4"/>
    <w:rsid w:val="004239B4"/>
    <w:rsid w:val="004265E2"/>
    <w:rsid w:val="00443D7D"/>
    <w:rsid w:val="004B1418"/>
    <w:rsid w:val="004B1FDD"/>
    <w:rsid w:val="004C68A2"/>
    <w:rsid w:val="004D7542"/>
    <w:rsid w:val="004E5E15"/>
    <w:rsid w:val="004E77B7"/>
    <w:rsid w:val="0052521E"/>
    <w:rsid w:val="005527D3"/>
    <w:rsid w:val="00553EAC"/>
    <w:rsid w:val="005652C2"/>
    <w:rsid w:val="0057628C"/>
    <w:rsid w:val="005A2EB8"/>
    <w:rsid w:val="005B6107"/>
    <w:rsid w:val="005C5383"/>
    <w:rsid w:val="005D1A36"/>
    <w:rsid w:val="005F20ED"/>
    <w:rsid w:val="00606368"/>
    <w:rsid w:val="00696C5E"/>
    <w:rsid w:val="006B4B3F"/>
    <w:rsid w:val="006C2108"/>
    <w:rsid w:val="006D0910"/>
    <w:rsid w:val="006F219C"/>
    <w:rsid w:val="006F3CC7"/>
    <w:rsid w:val="00707F31"/>
    <w:rsid w:val="00732EFC"/>
    <w:rsid w:val="007428E7"/>
    <w:rsid w:val="00765153"/>
    <w:rsid w:val="00787D9C"/>
    <w:rsid w:val="007C2914"/>
    <w:rsid w:val="007C4213"/>
    <w:rsid w:val="007E362D"/>
    <w:rsid w:val="00827E61"/>
    <w:rsid w:val="0083056F"/>
    <w:rsid w:val="00847132"/>
    <w:rsid w:val="008525E2"/>
    <w:rsid w:val="00854E28"/>
    <w:rsid w:val="00855A92"/>
    <w:rsid w:val="00861CDE"/>
    <w:rsid w:val="008836D8"/>
    <w:rsid w:val="00885A35"/>
    <w:rsid w:val="00890350"/>
    <w:rsid w:val="008A5C70"/>
    <w:rsid w:val="008B055C"/>
    <w:rsid w:val="008F42CD"/>
    <w:rsid w:val="009579F7"/>
    <w:rsid w:val="009B1679"/>
    <w:rsid w:val="009C37CC"/>
    <w:rsid w:val="009C7FC7"/>
    <w:rsid w:val="009D2D8E"/>
    <w:rsid w:val="009E19BF"/>
    <w:rsid w:val="009F0EF8"/>
    <w:rsid w:val="009F1621"/>
    <w:rsid w:val="00A03A03"/>
    <w:rsid w:val="00A15945"/>
    <w:rsid w:val="00A54DE5"/>
    <w:rsid w:val="00A9474C"/>
    <w:rsid w:val="00AA5399"/>
    <w:rsid w:val="00AC209E"/>
    <w:rsid w:val="00AC4CCE"/>
    <w:rsid w:val="00B16515"/>
    <w:rsid w:val="00B23452"/>
    <w:rsid w:val="00B416AF"/>
    <w:rsid w:val="00B4412A"/>
    <w:rsid w:val="00B6418A"/>
    <w:rsid w:val="00B90E4C"/>
    <w:rsid w:val="00BA09A3"/>
    <w:rsid w:val="00BA2FCA"/>
    <w:rsid w:val="00BD0880"/>
    <w:rsid w:val="00C0211F"/>
    <w:rsid w:val="00C35CC5"/>
    <w:rsid w:val="00C61EBB"/>
    <w:rsid w:val="00C63E8C"/>
    <w:rsid w:val="00C7276B"/>
    <w:rsid w:val="00C72DFC"/>
    <w:rsid w:val="00CA7AA2"/>
    <w:rsid w:val="00CA7D8A"/>
    <w:rsid w:val="00CA7E27"/>
    <w:rsid w:val="00CC515F"/>
    <w:rsid w:val="00CD1A3B"/>
    <w:rsid w:val="00CD2734"/>
    <w:rsid w:val="00CD5774"/>
    <w:rsid w:val="00D114CA"/>
    <w:rsid w:val="00D24673"/>
    <w:rsid w:val="00D4588A"/>
    <w:rsid w:val="00D73C1F"/>
    <w:rsid w:val="00D82284"/>
    <w:rsid w:val="00D92FDC"/>
    <w:rsid w:val="00D9552D"/>
    <w:rsid w:val="00DD65EA"/>
    <w:rsid w:val="00DF5CB6"/>
    <w:rsid w:val="00E26850"/>
    <w:rsid w:val="00E36A7E"/>
    <w:rsid w:val="00E449A1"/>
    <w:rsid w:val="00E61062"/>
    <w:rsid w:val="00EC7E05"/>
    <w:rsid w:val="00EE492B"/>
    <w:rsid w:val="00F05158"/>
    <w:rsid w:val="00F93ADC"/>
    <w:rsid w:val="00FD1D3D"/>
    <w:rsid w:val="00FD6E55"/>
    <w:rsid w:val="00FF0DFF"/>
    <w:rsid w:val="00FF38B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9ADD2"/>
  <w15:docId w15:val="{B8A021AF-784A-44AB-B7E0-A4BB6A61B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3C1F"/>
    <w:pPr>
      <w:widowControl w:val="0"/>
      <w:bidi/>
      <w:spacing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D73C1F"/>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D73C1F"/>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D73C1F"/>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D73C1F"/>
    <w:pPr>
      <w:numPr>
        <w:numId w:val="18"/>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D73C1F"/>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rsid w:val="009579F7"/>
    <w:rPr>
      <w:sz w:val="16"/>
      <w:szCs w:val="16"/>
    </w:rPr>
  </w:style>
  <w:style w:type="paragraph" w:styleId="a4">
    <w:name w:val="annotation text"/>
    <w:basedOn w:val="a"/>
    <w:semiHidden/>
    <w:rsid w:val="009579F7"/>
    <w:rPr>
      <w:sz w:val="20"/>
      <w:szCs w:val="20"/>
    </w:rPr>
  </w:style>
  <w:style w:type="paragraph" w:customStyle="1" w:styleId="Cover1-Reshumot">
    <w:name w:val="Cover 1-Reshumot"/>
    <w:basedOn w:val="a"/>
    <w:rsid w:val="00D73C1F"/>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D73C1F"/>
    <w:rPr>
      <w:sz w:val="36"/>
      <w:szCs w:val="52"/>
    </w:rPr>
  </w:style>
  <w:style w:type="paragraph" w:customStyle="1" w:styleId="Cover3-Haknesset">
    <w:name w:val="Cover 3-Haknesset"/>
    <w:basedOn w:val="Cover1-Reshumot"/>
    <w:rsid w:val="00D73C1F"/>
    <w:rPr>
      <w:b/>
      <w:bCs/>
      <w:spacing w:val="60"/>
    </w:rPr>
  </w:style>
  <w:style w:type="paragraph" w:customStyle="1" w:styleId="Cover4-Date">
    <w:name w:val="Cover 4-Date"/>
    <w:basedOn w:val="a"/>
    <w:rsid w:val="00D73C1F"/>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character" w:styleId="a5">
    <w:name w:val="endnote reference"/>
    <w:basedOn w:val="a0"/>
    <w:semiHidden/>
    <w:rsid w:val="00D73C1F"/>
    <w:rPr>
      <w:vertAlign w:val="superscript"/>
    </w:rPr>
  </w:style>
  <w:style w:type="paragraph" w:customStyle="1" w:styleId="Ragil">
    <w:name w:val="Ragil"/>
    <w:basedOn w:val="a"/>
    <w:rsid w:val="00D73C1F"/>
    <w:pPr>
      <w:snapToGrid w:val="0"/>
      <w:jc w:val="left"/>
    </w:pPr>
    <w:rPr>
      <w:rFonts w:ascii="Arial" w:eastAsia="Arial Unicode MS" w:hAnsi="Arial"/>
      <w:snapToGrid w:val="0"/>
      <w:sz w:val="20"/>
      <w:szCs w:val="26"/>
    </w:rPr>
  </w:style>
  <w:style w:type="paragraph" w:styleId="a6">
    <w:name w:val="endnote text"/>
    <w:basedOn w:val="a"/>
    <w:semiHidden/>
    <w:rsid w:val="00D73C1F"/>
    <w:pPr>
      <w:ind w:left="227" w:hanging="227"/>
    </w:pPr>
    <w:rPr>
      <w:sz w:val="14"/>
      <w:szCs w:val="22"/>
    </w:rPr>
  </w:style>
  <w:style w:type="paragraph" w:styleId="a7">
    <w:name w:val="footer"/>
    <w:basedOn w:val="a"/>
    <w:rsid w:val="00D73C1F"/>
    <w:pPr>
      <w:tabs>
        <w:tab w:val="center" w:pos="4153"/>
        <w:tab w:val="right" w:pos="8306"/>
      </w:tabs>
    </w:pPr>
  </w:style>
  <w:style w:type="character" w:styleId="a8">
    <w:name w:val="footnote reference"/>
    <w:aliases w:val="Footnote Reference"/>
    <w:basedOn w:val="a0"/>
    <w:semiHidden/>
    <w:rsid w:val="00D73C1F"/>
    <w:rPr>
      <w:vertAlign w:val="superscript"/>
    </w:rPr>
  </w:style>
  <w:style w:type="paragraph" w:styleId="a9">
    <w:name w:val="footnote text"/>
    <w:basedOn w:val="a"/>
    <w:link w:val="aa"/>
    <w:autoRedefine/>
    <w:semiHidden/>
    <w:rsid w:val="00D73C1F"/>
    <w:pPr>
      <w:snapToGrid w:val="0"/>
      <w:spacing w:line="240" w:lineRule="auto"/>
      <w:ind w:left="0"/>
      <w:jc w:val="left"/>
    </w:pPr>
    <w:rPr>
      <w:rFonts w:ascii="Arial" w:eastAsia="Arial Unicode MS" w:hAnsi="Arial"/>
      <w:snapToGrid w:val="0"/>
      <w:sz w:val="14"/>
      <w:szCs w:val="20"/>
    </w:rPr>
  </w:style>
  <w:style w:type="paragraph" w:customStyle="1" w:styleId="HeadDivreiHesber">
    <w:name w:val="Head DivreiHesber"/>
    <w:basedOn w:val="a"/>
    <w:rsid w:val="00D73C1F"/>
    <w:pPr>
      <w:snapToGrid w:val="0"/>
      <w:spacing w:before="360" w:after="120"/>
      <w:jc w:val="center"/>
      <w:outlineLvl w:val="1"/>
    </w:pPr>
    <w:rPr>
      <w:rFonts w:ascii="Arial" w:eastAsia="Arial Unicode MS" w:hAnsi="Arial"/>
      <w:b/>
      <w:snapToGrid w:val="0"/>
      <w:spacing w:val="40"/>
      <w:sz w:val="20"/>
      <w:szCs w:val="26"/>
    </w:rPr>
  </w:style>
  <w:style w:type="paragraph" w:customStyle="1" w:styleId="HeadHatzaotHok">
    <w:name w:val="Head HatzaotHok"/>
    <w:basedOn w:val="a"/>
    <w:link w:val="HeadHatzaotHok0"/>
    <w:rsid w:val="00D73C1F"/>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D73C1F"/>
    <w:pPr>
      <w:spacing w:before="120" w:after="120"/>
    </w:pPr>
    <w:rPr>
      <w:color w:val="FF0000"/>
      <w:w w:val="80"/>
    </w:rPr>
  </w:style>
  <w:style w:type="paragraph" w:customStyle="1" w:styleId="HeadMitparsemetBaze">
    <w:name w:val="Head MitparsemetBaze"/>
    <w:basedOn w:val="a"/>
    <w:rsid w:val="00D73C1F"/>
    <w:pPr>
      <w:keepNext/>
      <w:keepLines/>
      <w:pageBreakBefore/>
      <w:snapToGrid w:val="0"/>
      <w:spacing w:before="480"/>
    </w:pPr>
    <w:rPr>
      <w:rFonts w:ascii="Arial" w:eastAsia="Arial Unicode MS" w:hAnsi="Arial"/>
      <w:b/>
      <w:bCs/>
      <w:snapToGrid w:val="0"/>
      <w:sz w:val="20"/>
      <w:szCs w:val="26"/>
    </w:rPr>
  </w:style>
  <w:style w:type="paragraph" w:styleId="ab">
    <w:name w:val="header"/>
    <w:basedOn w:val="a"/>
    <w:rsid w:val="00D73C1F"/>
    <w:pPr>
      <w:tabs>
        <w:tab w:val="center" w:pos="4153"/>
        <w:tab w:val="right" w:pos="8306"/>
      </w:tabs>
    </w:pPr>
  </w:style>
  <w:style w:type="paragraph" w:customStyle="1" w:styleId="Hesber">
    <w:name w:val="Hesber"/>
    <w:basedOn w:val="a"/>
    <w:rsid w:val="00D73C1F"/>
    <w:pPr>
      <w:snapToGrid w:val="0"/>
      <w:ind w:left="0" w:firstLine="340"/>
    </w:pPr>
    <w:rPr>
      <w:rFonts w:ascii="Arial" w:eastAsia="Arial Unicode MS" w:hAnsi="Arial"/>
      <w:snapToGrid w:val="0"/>
      <w:sz w:val="20"/>
      <w:szCs w:val="26"/>
    </w:rPr>
  </w:style>
  <w:style w:type="paragraph" w:customStyle="1" w:styleId="Hesber1st">
    <w:name w:val="Hesber 1st"/>
    <w:basedOn w:val="Hesber"/>
    <w:rsid w:val="00D73C1F"/>
    <w:pPr>
      <w:tabs>
        <w:tab w:val="left" w:pos="680"/>
        <w:tab w:val="left" w:pos="1020"/>
      </w:tabs>
      <w:ind w:firstLine="0"/>
    </w:pPr>
  </w:style>
  <w:style w:type="paragraph" w:customStyle="1" w:styleId="HesberHeading">
    <w:name w:val="Hesber Heading"/>
    <w:basedOn w:val="Hesber"/>
    <w:rsid w:val="00D73C1F"/>
    <w:pPr>
      <w:tabs>
        <w:tab w:val="left" w:pos="624"/>
        <w:tab w:val="left" w:pos="1247"/>
      </w:tabs>
    </w:pPr>
    <w:rPr>
      <w:b/>
      <w:bCs/>
    </w:rPr>
  </w:style>
  <w:style w:type="paragraph" w:customStyle="1" w:styleId="HesberWriters">
    <w:name w:val="Hesber Writers"/>
    <w:basedOn w:val="Hesber"/>
    <w:rsid w:val="00D73C1F"/>
    <w:pPr>
      <w:spacing w:before="120" w:after="120"/>
      <w:ind w:left="1418"/>
      <w:jc w:val="right"/>
    </w:pPr>
    <w:rPr>
      <w:b/>
      <w:bCs/>
    </w:rPr>
  </w:style>
  <w:style w:type="character" w:styleId="Hyperlink">
    <w:name w:val="Hyperlink"/>
    <w:basedOn w:val="a0"/>
    <w:uiPriority w:val="99"/>
    <w:unhideWhenUsed/>
    <w:rsid w:val="00D73C1F"/>
    <w:rPr>
      <w:color w:val="0563C1" w:themeColor="hyperlink"/>
      <w:u w:val="single"/>
    </w:rPr>
  </w:style>
  <w:style w:type="character" w:styleId="ac">
    <w:name w:val="page number"/>
    <w:basedOn w:val="a0"/>
    <w:rsid w:val="00D73C1F"/>
  </w:style>
  <w:style w:type="paragraph" w:customStyle="1" w:styleId="TableText">
    <w:name w:val="Table Text"/>
    <w:basedOn w:val="a"/>
    <w:rsid w:val="00D73C1F"/>
    <w:pPr>
      <w:keepLines/>
      <w:tabs>
        <w:tab w:val="left" w:pos="624"/>
        <w:tab w:val="left" w:pos="1247"/>
      </w:tabs>
      <w:snapToGrid w:val="0"/>
      <w:ind w:left="0"/>
      <w:jc w:val="left"/>
    </w:pPr>
    <w:rPr>
      <w:rFonts w:ascii="Arial" w:eastAsia="Arial Unicode MS" w:hAnsi="Arial"/>
      <w:snapToGrid w:val="0"/>
      <w:sz w:val="20"/>
      <w:szCs w:val="26"/>
    </w:rPr>
  </w:style>
  <w:style w:type="paragraph" w:customStyle="1" w:styleId="TableBlock">
    <w:name w:val="Table Block"/>
    <w:basedOn w:val="TableText"/>
    <w:rsid w:val="00D73C1F"/>
    <w:pPr>
      <w:jc w:val="both"/>
    </w:pPr>
  </w:style>
  <w:style w:type="paragraph" w:customStyle="1" w:styleId="TableBlockOutdent">
    <w:name w:val="Table BlockOutdent"/>
    <w:basedOn w:val="TableBlock"/>
    <w:rsid w:val="00D73C1F"/>
    <w:pPr>
      <w:ind w:left="624" w:hanging="624"/>
    </w:pPr>
  </w:style>
  <w:style w:type="table" w:customStyle="1" w:styleId="11">
    <w:name w:val="טבלת רשת1"/>
    <w:basedOn w:val="a1"/>
    <w:rsid w:val="009579F7"/>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TableText"/>
    <w:rsid w:val="00D73C1F"/>
    <w:pPr>
      <w:jc w:val="center"/>
      <w:outlineLvl w:val="1"/>
    </w:pPr>
    <w:rPr>
      <w:b/>
      <w:bCs/>
    </w:rPr>
  </w:style>
  <w:style w:type="paragraph" w:customStyle="1" w:styleId="TableSideHeading">
    <w:name w:val="Table SideHeading"/>
    <w:basedOn w:val="TableText"/>
    <w:rsid w:val="00D73C1F"/>
    <w:pPr>
      <w:outlineLvl w:val="2"/>
    </w:pPr>
  </w:style>
  <w:style w:type="paragraph" w:customStyle="1" w:styleId="TableInnerSideHeading">
    <w:name w:val="Table InnerSideHeading"/>
    <w:basedOn w:val="TableSideHeading"/>
    <w:rsid w:val="00D73C1F"/>
    <w:pPr>
      <w:outlineLvl w:val="9"/>
    </w:pPr>
  </w:style>
  <w:style w:type="paragraph" w:customStyle="1" w:styleId="TableText2">
    <w:name w:val="Table Text2"/>
    <w:basedOn w:val="TableText"/>
    <w:rsid w:val="009579F7"/>
  </w:style>
  <w:style w:type="paragraph" w:styleId="ad">
    <w:name w:val="Title"/>
    <w:basedOn w:val="a"/>
    <w:qFormat/>
    <w:rsid w:val="009579F7"/>
    <w:pPr>
      <w:jc w:val="center"/>
    </w:pPr>
    <w:rPr>
      <w:b/>
      <w:bCs/>
      <w:sz w:val="28"/>
      <w:szCs w:val="28"/>
      <w:u w:val="single"/>
    </w:rPr>
  </w:style>
  <w:style w:type="paragraph" w:customStyle="1" w:styleId="TOC">
    <w:name w:val="TOC"/>
    <w:basedOn w:val="a"/>
    <w:rsid w:val="009579F7"/>
    <w:pPr>
      <w:tabs>
        <w:tab w:val="left" w:leader="dot" w:pos="8789"/>
      </w:tabs>
      <w:snapToGrid w:val="0"/>
      <w:spacing w:before="120"/>
      <w:ind w:left="284" w:right="284"/>
    </w:pPr>
    <w:rPr>
      <w:rFonts w:ascii="Arial" w:eastAsia="Arial Unicode MS" w:hAnsi="Arial"/>
      <w:snapToGrid w:val="0"/>
      <w:sz w:val="20"/>
      <w:szCs w:val="26"/>
    </w:rPr>
  </w:style>
  <w:style w:type="paragraph" w:customStyle="1" w:styleId="TOCpg">
    <w:name w:val="TOC pg"/>
    <w:basedOn w:val="TOC"/>
    <w:rsid w:val="009579F7"/>
    <w:pPr>
      <w:spacing w:after="120"/>
      <w:ind w:right="567"/>
      <w:jc w:val="right"/>
    </w:pPr>
  </w:style>
  <w:style w:type="paragraph" w:customStyle="1" w:styleId="Noparagraphstyle">
    <w:name w:val="[No paragraph style]"/>
    <w:rsid w:val="00B416AF"/>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character" w:customStyle="1" w:styleId="HeadHatzaotHok0">
    <w:name w:val="Head HatzaotHok תו"/>
    <w:link w:val="HeadHatzaotHok"/>
    <w:rsid w:val="00B16515"/>
    <w:rPr>
      <w:rFonts w:ascii="Arial" w:eastAsia="Arial Unicode MS" w:hAnsi="Arial" w:cs="David"/>
      <w:b/>
      <w:bCs/>
      <w:snapToGrid w:val="0"/>
      <w:szCs w:val="26"/>
    </w:rPr>
  </w:style>
  <w:style w:type="character" w:customStyle="1" w:styleId="aa">
    <w:name w:val="טקסט הערת שוליים תו"/>
    <w:link w:val="a9"/>
    <w:semiHidden/>
    <w:rsid w:val="008525E2"/>
    <w:rPr>
      <w:rFonts w:ascii="Arial" w:eastAsia="Arial Unicode MS" w:hAnsi="Arial" w:cs="David"/>
      <w:snapToGrid w:val="0"/>
      <w:sz w:val="14"/>
    </w:rPr>
  </w:style>
  <w:style w:type="paragraph" w:styleId="ae">
    <w:name w:val="Balloon Text"/>
    <w:basedOn w:val="a"/>
    <w:link w:val="af"/>
    <w:rsid w:val="0024044E"/>
    <w:pPr>
      <w:spacing w:line="240" w:lineRule="auto"/>
    </w:pPr>
    <w:rPr>
      <w:rFonts w:ascii="Tahoma" w:hAnsi="Tahoma" w:cs="Tahoma"/>
      <w:sz w:val="16"/>
      <w:szCs w:val="16"/>
    </w:rPr>
  </w:style>
  <w:style w:type="character" w:customStyle="1" w:styleId="af">
    <w:name w:val="טקסט בלונים תו"/>
    <w:basedOn w:val="a0"/>
    <w:link w:val="ae"/>
    <w:rsid w:val="0024044E"/>
    <w:rPr>
      <w:rFonts w:ascii="Tahoma" w:eastAsia="MS Mincho" w:hAnsi="Tahoma" w:cs="Tahoma"/>
      <w:color w:val="000000"/>
      <w:spacing w:val="1"/>
      <w:sz w:val="16"/>
      <w:szCs w:val="16"/>
      <w:lang w:eastAsia="ja-JP"/>
    </w:rPr>
  </w:style>
  <w:style w:type="character" w:customStyle="1" w:styleId="30">
    <w:name w:val="כותרת 3 תו"/>
    <w:basedOn w:val="a0"/>
    <w:link w:val="3"/>
    <w:rsid w:val="00D73C1F"/>
    <w:rPr>
      <w:rFonts w:asciiTheme="majorHAnsi" w:eastAsiaTheme="majorEastAsia" w:hAnsiTheme="majorHAnsi" w:cs="David"/>
      <w:sz w:val="24"/>
      <w:szCs w:val="28"/>
      <w:u w:val="double"/>
    </w:rPr>
  </w:style>
  <w:style w:type="character" w:customStyle="1" w:styleId="40">
    <w:name w:val="כותרת 4 תו"/>
    <w:basedOn w:val="a0"/>
    <w:link w:val="4"/>
    <w:uiPriority w:val="9"/>
    <w:rsid w:val="00D73C1F"/>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D73C1F"/>
    <w:rPr>
      <w:rFonts w:ascii="David" w:eastAsiaTheme="minorHAnsi" w:hAnsi="David" w:cs="David"/>
      <w:color w:val="000000" w:themeColor="text1"/>
      <w:sz w:val="24"/>
      <w:szCs w:val="24"/>
    </w:rPr>
  </w:style>
  <w:style w:type="character" w:customStyle="1" w:styleId="10">
    <w:name w:val="כותרת 1 תו"/>
    <w:basedOn w:val="a0"/>
    <w:link w:val="1"/>
    <w:uiPriority w:val="9"/>
    <w:rsid w:val="00D73C1F"/>
    <w:rPr>
      <w:rFonts w:asciiTheme="majorHAnsi" w:eastAsiaTheme="majorEastAsia" w:hAnsiTheme="majorHAnsi" w:cs="David"/>
      <w:bCs/>
      <w:sz w:val="32"/>
      <w:szCs w:val="36"/>
    </w:rPr>
  </w:style>
  <w:style w:type="paragraph" w:styleId="af0">
    <w:name w:val="TOC Heading"/>
    <w:basedOn w:val="1"/>
    <w:next w:val="a"/>
    <w:uiPriority w:val="39"/>
    <w:unhideWhenUsed/>
    <w:qFormat/>
    <w:rsid w:val="00D73C1F"/>
    <w:pPr>
      <w:widowControl/>
      <w:spacing w:before="120" w:after="120"/>
      <w:outlineLvl w:val="9"/>
    </w:pPr>
    <w:rPr>
      <w:rtl/>
      <w:cs/>
    </w:rPr>
  </w:style>
  <w:style w:type="paragraph" w:styleId="TOC1">
    <w:name w:val="toc 1"/>
    <w:basedOn w:val="a"/>
    <w:next w:val="a"/>
    <w:autoRedefine/>
    <w:uiPriority w:val="39"/>
    <w:unhideWhenUsed/>
    <w:rsid w:val="00D73C1F"/>
    <w:pPr>
      <w:tabs>
        <w:tab w:val="right" w:leader="dot" w:pos="9629"/>
      </w:tabs>
      <w:spacing w:after="100"/>
    </w:pPr>
    <w:rPr>
      <w:bCs/>
      <w:szCs w:val="22"/>
    </w:rPr>
  </w:style>
  <w:style w:type="paragraph" w:styleId="TOC2">
    <w:name w:val="toc 2"/>
    <w:basedOn w:val="a"/>
    <w:next w:val="a"/>
    <w:uiPriority w:val="39"/>
    <w:unhideWhenUsed/>
    <w:rsid w:val="00D73C1F"/>
    <w:pPr>
      <w:tabs>
        <w:tab w:val="right" w:leader="dot" w:pos="9628"/>
      </w:tabs>
      <w:spacing w:after="100"/>
    </w:pPr>
    <w:rPr>
      <w:szCs w:val="22"/>
    </w:rPr>
  </w:style>
  <w:style w:type="paragraph" w:styleId="TOC3">
    <w:name w:val="toc 3"/>
    <w:basedOn w:val="a"/>
    <w:next w:val="a"/>
    <w:uiPriority w:val="39"/>
    <w:unhideWhenUsed/>
    <w:rsid w:val="00D73C1F"/>
    <w:pPr>
      <w:numPr>
        <w:numId w:val="21"/>
      </w:numPr>
      <w:tabs>
        <w:tab w:val="right" w:leader="dot" w:pos="9629"/>
      </w:tabs>
      <w:spacing w:after="100"/>
      <w:ind w:left="811" w:hanging="357"/>
    </w:pPr>
    <w:rPr>
      <w:szCs w:val="22"/>
    </w:rPr>
  </w:style>
  <w:style w:type="paragraph" w:styleId="TOC4">
    <w:name w:val="toc 4"/>
    <w:basedOn w:val="a"/>
    <w:next w:val="a"/>
    <w:autoRedefine/>
    <w:unhideWhenUsed/>
    <w:qFormat/>
    <w:rsid w:val="00D73C1F"/>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D73C1F"/>
    <w:pPr>
      <w:tabs>
        <w:tab w:val="right" w:leader="dot" w:pos="9628"/>
      </w:tabs>
      <w:spacing w:after="100"/>
      <w:ind w:left="567"/>
    </w:pPr>
    <w:rPr>
      <w:szCs w:val="22"/>
    </w:rPr>
  </w:style>
  <w:style w:type="paragraph" w:styleId="TOC6">
    <w:name w:val="toc 6"/>
    <w:basedOn w:val="a"/>
    <w:next w:val="a"/>
    <w:autoRedefine/>
    <w:semiHidden/>
    <w:unhideWhenUsed/>
    <w:rsid w:val="00D73C1F"/>
    <w:pPr>
      <w:spacing w:after="100"/>
      <w:ind w:left="850"/>
    </w:pPr>
  </w:style>
  <w:style w:type="paragraph" w:styleId="TOC7">
    <w:name w:val="toc 7"/>
    <w:basedOn w:val="a"/>
    <w:next w:val="a"/>
    <w:autoRedefine/>
    <w:semiHidden/>
    <w:unhideWhenUsed/>
    <w:rsid w:val="00D73C1F"/>
    <w:pPr>
      <w:spacing w:after="100"/>
      <w:ind w:left="1020"/>
    </w:pPr>
  </w:style>
  <w:style w:type="paragraph" w:styleId="TOC8">
    <w:name w:val="toc 8"/>
    <w:basedOn w:val="a"/>
    <w:next w:val="a"/>
    <w:autoRedefine/>
    <w:semiHidden/>
    <w:unhideWhenUsed/>
    <w:rsid w:val="00D73C1F"/>
    <w:pPr>
      <w:spacing w:after="100"/>
      <w:ind w:left="1190"/>
    </w:pPr>
  </w:style>
  <w:style w:type="paragraph" w:styleId="TOC9">
    <w:name w:val="toc 9"/>
    <w:basedOn w:val="a"/>
    <w:next w:val="a"/>
    <w:autoRedefine/>
    <w:semiHidden/>
    <w:unhideWhenUsed/>
    <w:rsid w:val="00D73C1F"/>
    <w:pPr>
      <w:spacing w:after="100"/>
      <w:ind w:left="1360"/>
    </w:pPr>
  </w:style>
  <w:style w:type="character" w:customStyle="1" w:styleId="20">
    <w:name w:val="כותרת 2 תו"/>
    <w:basedOn w:val="a0"/>
    <w:link w:val="2"/>
    <w:rsid w:val="00D73C1F"/>
    <w:rPr>
      <w:rFonts w:asciiTheme="majorHAnsi" w:eastAsiaTheme="majorEastAsia" w:hAnsiTheme="majorHAnsi" w:cs="David"/>
      <w:bCs/>
      <w:sz w:val="26"/>
      <w:szCs w:val="36"/>
      <w:u w:val="single"/>
    </w:rPr>
  </w:style>
  <w:style w:type="paragraph" w:customStyle="1" w:styleId="TableHead2">
    <w:name w:val="Table Head2"/>
    <w:basedOn w:val="TableHead"/>
    <w:qFormat/>
    <w:rsid w:val="00D73C1F"/>
    <w:pPr>
      <w:outlineLvl w:val="9"/>
    </w:pPr>
  </w:style>
  <w:style w:type="paragraph" w:customStyle="1" w:styleId="TableSideHeading2">
    <w:name w:val="Table SideHeading2"/>
    <w:basedOn w:val="TableSideHeading"/>
    <w:autoRedefine/>
    <w:qFormat/>
    <w:rsid w:val="00D73C1F"/>
    <w:pPr>
      <w:keepLines w:val="0"/>
      <w:outlineLvl w:val="9"/>
    </w:pPr>
  </w:style>
  <w:style w:type="paragraph" w:customStyle="1" w:styleId="0">
    <w:name w:val="סגנון שורה ראשונה:  0  ס''מ"/>
    <w:basedOn w:val="2"/>
    <w:rsid w:val="00D73C1F"/>
    <w:rPr>
      <w:rFonts w:eastAsia="Times New Roman"/>
    </w:rPr>
  </w:style>
  <w:style w:type="paragraph" w:styleId="af1">
    <w:name w:val="List Paragraph"/>
    <w:basedOn w:val="a"/>
    <w:uiPriority w:val="34"/>
    <w:qFormat/>
    <w:rsid w:val="00D73C1F"/>
    <w:pPr>
      <w:widowControl/>
      <w:spacing w:line="259" w:lineRule="auto"/>
    </w:pPr>
    <w:rPr>
      <w:rFonts w:asciiTheme="minorHAnsi" w:hAnsiTheme="minorHAnsi"/>
      <w:sz w:val="22"/>
    </w:rPr>
  </w:style>
  <w:style w:type="table" w:styleId="af2">
    <w:name w:val="Table Grid"/>
    <w:basedOn w:val="a1"/>
    <w:rsid w:val="00D73C1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D73C1F"/>
    <w:rPr>
      <w:rFonts w:eastAsia="MS Mincho"/>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3">
    <w:name w:val="Grid Table 1 Light"/>
    <w:basedOn w:val="a1"/>
    <w:uiPriority w:val="46"/>
    <w:rsid w:val="00D73C1F"/>
    <w:rPr>
      <w:rFonts w:eastAsia="MS Minch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3">
    <w:name w:val="טבלת חקיקה"/>
    <w:basedOn w:val="a1"/>
    <w:uiPriority w:val="99"/>
    <w:rsid w:val="00D73C1F"/>
    <w:pPr>
      <w:jc w:val="center"/>
    </w:pPr>
    <w:rPr>
      <w:rFonts w:eastAsia="MS Mincho"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4">
    <w:name w:val="סגנון1"/>
    <w:basedOn w:val="a1"/>
    <w:uiPriority w:val="99"/>
    <w:rsid w:val="00D73C1F"/>
    <w:rPr>
      <w:rFonts w:eastAsia="MS Mincho"/>
    </w:rPr>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2.xml"/><Relationship Id="rId9"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C990E72-2A10-47B5-8633-F22511D80AB8}">
  <ds:schemaRefs>
    <ds:schemaRef ds:uri="http://schemas.microsoft.com/sharepoint/v3/contenttype/forms"/>
  </ds:schemaRefs>
</ds:datastoreItem>
</file>

<file path=customXml/itemProps2.xml><?xml version="1.0" encoding="utf-8"?>
<ds:datastoreItem xmlns:ds="http://schemas.openxmlformats.org/officeDocument/2006/customXml" ds:itemID="{F780E189-910F-4169-BA82-89A3F0FB06D6}"/>
</file>

<file path=customXml/itemProps3.xml><?xml version="1.0" encoding="utf-8"?>
<ds:datastoreItem xmlns:ds="http://schemas.openxmlformats.org/officeDocument/2006/customXml" ds:itemID="{9AAD3E59-1685-4866-88AE-10917921A27A}">
  <ds:schemaRefs>
    <ds:schemaRef ds:uri="http://purl.org/dc/terms/"/>
    <ds:schemaRef ds:uri="http://schemas.microsoft.com/office/2006/documentManagement/types"/>
    <ds:schemaRef ds:uri="http://schemas.microsoft.com/office/infopath/2007/PartnerControls"/>
    <ds:schemaRef ds:uri="http://purl.org/dc/elements/1.1/"/>
    <ds:schemaRef ds:uri="http://purl.org/dc/dcmitype/"/>
    <ds:schemaRef ds:uri="http://www.w3.org/XML/1998/namespace"/>
    <ds:schemaRef ds:uri="http://schemas.openxmlformats.org/package/2006/metadata/core-properties"/>
    <ds:schemaRef ds:uri="f380af25-22dd-4a89-bd18-c5bf793c562b"/>
    <ds:schemaRef ds:uri="c8ce1d4b-e1f6-446e-84c0-71ee544e8fe0"/>
    <ds:schemaRef ds:uri="e860c347-3c75-42f3-9b43-fe3c3ef9805f"/>
    <ds:schemaRef ds:uri="http://schemas.microsoft.com/office/2006/metadata/properties"/>
  </ds:schemaRefs>
</ds:datastoreItem>
</file>

<file path=customXml/itemProps4.xml><?xml version="1.0" encoding="utf-8"?>
<ds:datastoreItem xmlns:ds="http://schemas.openxmlformats.org/officeDocument/2006/customXml" ds:itemID="{6BA78DBA-E2E5-45C5-BC31-A6C43A63FA8B}">
  <ds:schemaRefs>
    <ds:schemaRef ds:uri="http://schemas.microsoft.com/sharepoint/events"/>
  </ds:schemaRefs>
</ds:datastoreItem>
</file>

<file path=customXml/itemProps5.xml><?xml version="1.0" encoding="utf-8"?>
<ds:datastoreItem xmlns:ds="http://schemas.openxmlformats.org/officeDocument/2006/customXml" ds:itemID="{C3E1657D-317C-48BB-A872-2C64BBB17B1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1120</Words>
  <Characters>5473</Characters>
  <Application>Microsoft Office Word</Application>
  <DocSecurity>0</DocSecurity>
  <Lines>1824</Lines>
  <Paragraphs>599</Paragraphs>
  <ScaleCrop>false</ScaleCrop>
  <HeadingPairs>
    <vt:vector size="2" baseType="variant">
      <vt:variant>
        <vt:lpstr>שם</vt:lpstr>
      </vt:variant>
      <vt:variant>
        <vt:i4>1</vt:i4>
      </vt:variant>
    </vt:vector>
  </HeadingPairs>
  <TitlesOfParts>
    <vt:vector size="1" baseType="lpstr">
      <vt:lpstr>תבנית חוק שהתקבל</vt:lpstr>
    </vt:vector>
  </TitlesOfParts>
  <Company>knesset</Company>
  <LinksUpToDate>false</LinksUpToDate>
  <CharactersWithSpaces>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תבנית חוק שהתקבל</dc:title>
  <dc:creator>דפנה - כנסת</dc:creator>
  <cp:lastModifiedBy>לילך יעיש</cp:lastModifiedBy>
  <cp:revision>7</cp:revision>
  <cp:lastPrinted>2020-07-21T07:32:00Z</cp:lastPrinted>
  <dcterms:created xsi:type="dcterms:W3CDTF">2018-06-18T13:53:00Z</dcterms:created>
  <dcterms:modified xsi:type="dcterms:W3CDTF">2020-07-21T08:22:00Z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ContentType">
    <vt:lpwstr>הלשכה המשפטית - נוסח חוק שהתקבל בכנסת</vt:lpwstr>
  </property>
  <property fmtid="{D5CDD505-2E9C-101B-9397-08002B2CF9AE}" pid="4" name="MisHatzaatChok">
    <vt:lpwstr/>
  </property>
  <property fmtid="{D5CDD505-2E9C-101B-9397-08002B2CF9AE}" pid="5" name="To1">
    <vt:lpwstr/>
  </property>
  <property fmtid="{D5CDD505-2E9C-101B-9397-08002B2CF9AE}" pid="6" name="YozemHatzaa_ChakList">
    <vt:lpwstr/>
  </property>
  <property fmtid="{D5CDD505-2E9C-101B-9397-08002B2CF9AE}" pid="7" name="מספר חוברת">
    <vt:lpwstr/>
  </property>
  <property fmtid="{D5CDD505-2E9C-101B-9397-08002B2CF9AE}" pid="8" name="FileNum">
    <vt:lpwstr/>
  </property>
  <property fmtid="{D5CDD505-2E9C-101B-9397-08002B2CF9AE}" pid="9" name="HanchayaNum">
    <vt:lpwstr/>
  </property>
  <property fmtid="{D5CDD505-2E9C-101B-9397-08002B2CF9AE}" pid="10" name="מספר הצח">
    <vt:lpwstr/>
  </property>
  <property fmtid="{D5CDD505-2E9C-101B-9397-08002B2CF9AE}" pid="11" name="Writer_UserList">
    <vt:lpwstr/>
  </property>
  <property fmtid="{D5CDD505-2E9C-101B-9397-08002B2CF9AE}" pid="12" name="body">
    <vt:lpwstr/>
  </property>
  <property fmtid="{D5CDD505-2E9C-101B-9397-08002B2CF9AE}" pid="13" name="Cc">
    <vt:lpwstr/>
  </property>
  <property fmtid="{D5CDD505-2E9C-101B-9397-08002B2CF9AE}" pid="14" name="From">
    <vt:lpwstr/>
  </property>
  <property fmtid="{D5CDD505-2E9C-101B-9397-08002B2CF9AE}" pid="15" name="To">
    <vt:lpwstr/>
  </property>
  <property fmtid="{D5CDD505-2E9C-101B-9397-08002B2CF9AE}" pid="16" name="Sides">
    <vt:lpwstr/>
  </property>
  <property fmtid="{D5CDD505-2E9C-101B-9397-08002B2CF9AE}" pid="17" name="Approved">
    <vt:lpwstr/>
  </property>
  <property fmtid="{D5CDD505-2E9C-101B-9397-08002B2CF9AE}" pid="18" name="SDToList">
    <vt:lpwstr/>
  </property>
  <property fmtid="{D5CDD505-2E9C-101B-9397-08002B2CF9AE}" pid="19" name="_dlc_DocIdItemGuid">
    <vt:lpwstr>701b247d-c216-43a8-b1c1-ffad864edabf</vt:lpwstr>
  </property>
  <property fmtid="{D5CDD505-2E9C-101B-9397-08002B2CF9AE}" pid="20" name="_docset_NoMedatataSyncRequired">
    <vt:lpwstr>False</vt:lpwstr>
  </property>
  <property fmtid="{D5CDD505-2E9C-101B-9397-08002B2CF9AE}" pid="21" name="SanhedrinItemID">
    <vt:r8>2141852</vt:r8>
  </property>
  <property fmtid="{D5CDD505-2E9C-101B-9397-08002B2CF9AE}" pid="22" name="SanhedrinDocumentType">
    <vt:r8>42</vt:r8>
  </property>
</Properties>
</file>