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4D4B0" w14:textId="77777777" w:rsidR="008525E2" w:rsidRDefault="00C7276B" w:rsidP="008525E2">
      <w:pPr>
        <w:spacing w:before="0"/>
        <w:jc w:val="center"/>
        <w:rPr>
          <w:b/>
          <w:bCs/>
          <w:sz w:val="28"/>
          <w:szCs w:val="28"/>
          <w:rtl/>
        </w:rPr>
      </w:pPr>
      <w:r>
        <w:rPr>
          <w:noProof/>
          <w:lang w:eastAsia="en-US"/>
        </w:rPr>
        <w:drawing>
          <wp:inline distT="0" distB="0" distL="0" distR="0" wp14:anchorId="0CA5837F" wp14:editId="44B26652">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297026C6" w14:textId="77777777" w:rsidR="008525E2" w:rsidRDefault="008525E2" w:rsidP="008525E2">
      <w:pPr>
        <w:spacing w:before="0"/>
        <w:jc w:val="center"/>
        <w:rPr>
          <w:b/>
          <w:bCs/>
          <w:sz w:val="28"/>
          <w:szCs w:val="28"/>
          <w:rtl/>
        </w:rPr>
      </w:pPr>
    </w:p>
    <w:p w14:paraId="4E8C54AB" w14:textId="77777777" w:rsidR="00CE6F4F" w:rsidRPr="00961EFA" w:rsidRDefault="00CE6F4F" w:rsidP="00CE6F4F">
      <w:pPr>
        <w:pStyle w:val="HeadHatzaotHok"/>
        <w:keepNext w:val="0"/>
        <w:keepLines w:val="0"/>
        <w:rPr>
          <w:rtl/>
        </w:rPr>
      </w:pPr>
      <w:r w:rsidRPr="00961EFA">
        <w:rPr>
          <w:rtl/>
        </w:rPr>
        <w:t>חו</w:t>
      </w:r>
      <w:r w:rsidRPr="00961EFA">
        <w:rPr>
          <w:rFonts w:hint="cs"/>
          <w:rtl/>
        </w:rPr>
        <w:t xml:space="preserve">ק </w:t>
      </w:r>
      <w:r>
        <w:rPr>
          <w:rFonts w:hint="cs"/>
          <w:rtl/>
        </w:rPr>
        <w:t xml:space="preserve">סדר הדין הפלילי (סמכויות אכיפה </w:t>
      </w:r>
      <w:r>
        <w:rPr>
          <w:rFonts w:hint="eastAsia"/>
          <w:rtl/>
        </w:rPr>
        <w:t>–</w:t>
      </w:r>
      <w:r>
        <w:rPr>
          <w:rFonts w:hint="cs"/>
          <w:rtl/>
        </w:rPr>
        <w:t xml:space="preserve"> מעצרים) </w:t>
      </w:r>
      <w:r w:rsidRPr="00961EFA">
        <w:rPr>
          <w:rFonts w:hint="cs"/>
          <w:rtl/>
        </w:rPr>
        <w:t xml:space="preserve">(הוראת שעה </w:t>
      </w:r>
      <w:r w:rsidRPr="00961EFA">
        <w:rPr>
          <w:rtl/>
        </w:rPr>
        <w:t>–</w:t>
      </w:r>
      <w:r w:rsidRPr="00961EFA">
        <w:rPr>
          <w:rFonts w:hint="cs"/>
          <w:rtl/>
        </w:rPr>
        <w:t xml:space="preserve"> נגיף הקורונה החדש)</w:t>
      </w:r>
      <w:r>
        <w:rPr>
          <w:rFonts w:hint="cs"/>
          <w:rtl/>
        </w:rPr>
        <w:t xml:space="preserve"> </w:t>
      </w:r>
      <w:r w:rsidRPr="00961EFA">
        <w:rPr>
          <w:rFonts w:hint="cs"/>
          <w:rtl/>
        </w:rPr>
        <w:t>(</w:t>
      </w:r>
      <w:r>
        <w:rPr>
          <w:rFonts w:hint="cs"/>
          <w:rtl/>
        </w:rPr>
        <w:t>שיקול חיוניות המעצר</w:t>
      </w:r>
      <w:r w:rsidRPr="00961EFA">
        <w:rPr>
          <w:rtl/>
        </w:rPr>
        <w:t>)</w:t>
      </w:r>
      <w:r w:rsidRPr="00961EFA">
        <w:rPr>
          <w:rFonts w:hint="cs"/>
          <w:rtl/>
        </w:rPr>
        <w:t xml:space="preserve">, </w:t>
      </w:r>
      <w:proofErr w:type="spellStart"/>
      <w:r w:rsidRPr="00961EFA">
        <w:rPr>
          <w:rFonts w:hint="cs"/>
          <w:rtl/>
        </w:rPr>
        <w:t>התש"ף</w:t>
      </w:r>
      <w:proofErr w:type="spellEnd"/>
      <w:r>
        <w:rPr>
          <w:rFonts w:hint="eastAsia"/>
          <w:rtl/>
        </w:rPr>
        <w:t>–</w:t>
      </w:r>
      <w:r w:rsidRPr="00961EFA">
        <w:rPr>
          <w:rFonts w:hint="cs"/>
          <w:rtl/>
        </w:rPr>
        <w:t>2020</w:t>
      </w:r>
      <w:r>
        <w:rPr>
          <w:rStyle w:val="a8"/>
          <w:sz w:val="28"/>
          <w:szCs w:val="28"/>
          <w:rtl/>
        </w:rPr>
        <w:footnoteReference w:customMarkFollows="1" w:id="1"/>
        <w:t>*</w:t>
      </w:r>
    </w:p>
    <w:p w14:paraId="7898FCAF" w14:textId="77777777" w:rsidR="00CE6F4F" w:rsidRDefault="00CE6F4F" w:rsidP="00CE6F4F">
      <w:pPr>
        <w:pStyle w:val="HeadHatzaotHok"/>
        <w:spacing w:before="0" w:after="360"/>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00CE6F4F" w:rsidRPr="00A3238A" w14:paraId="6AC1BB26" w14:textId="77777777" w:rsidTr="00F82F9A">
        <w:trPr>
          <w:cantSplit/>
        </w:trPr>
        <w:tc>
          <w:tcPr>
            <w:tcW w:w="1871" w:type="dxa"/>
            <w:shd w:val="clear" w:color="auto" w:fill="auto"/>
            <w:tcMar>
              <w:top w:w="91" w:type="dxa"/>
              <w:left w:w="0" w:type="dxa"/>
              <w:bottom w:w="91" w:type="dxa"/>
              <w:right w:w="0" w:type="dxa"/>
            </w:tcMar>
          </w:tcPr>
          <w:p w14:paraId="2022BA3D" w14:textId="77777777" w:rsidR="00CE6F4F" w:rsidRPr="00A7152F" w:rsidRDefault="00CE6F4F" w:rsidP="00CE6F4F">
            <w:pPr>
              <w:pStyle w:val="TableSideHeading"/>
              <w:spacing w:before="0"/>
              <w:jc w:val="left"/>
              <w:rPr>
                <w:sz w:val="26"/>
                <w:rtl/>
              </w:rPr>
            </w:pPr>
            <w:r w:rsidRPr="00A7152F">
              <w:rPr>
                <w:rFonts w:hint="eastAsia"/>
                <w:sz w:val="26"/>
                <w:rtl/>
              </w:rPr>
              <w:t>תיקון</w:t>
            </w:r>
            <w:r w:rsidRPr="00A7152F">
              <w:rPr>
                <w:sz w:val="26"/>
                <w:rtl/>
              </w:rPr>
              <w:t xml:space="preserve"> </w:t>
            </w:r>
            <w:r w:rsidRPr="00A7152F">
              <w:rPr>
                <w:rFonts w:hint="eastAsia"/>
                <w:sz w:val="26"/>
                <w:rtl/>
              </w:rPr>
              <w:t>חוק</w:t>
            </w:r>
            <w:r w:rsidRPr="00A7152F">
              <w:rPr>
                <w:sz w:val="26"/>
                <w:rtl/>
              </w:rPr>
              <w:t xml:space="preserve"> </w:t>
            </w:r>
            <w:r w:rsidRPr="00A7152F">
              <w:rPr>
                <w:rFonts w:hint="eastAsia"/>
                <w:sz w:val="26"/>
                <w:rtl/>
              </w:rPr>
              <w:t>סדר</w:t>
            </w:r>
            <w:r w:rsidRPr="00A7152F">
              <w:rPr>
                <w:sz w:val="26"/>
                <w:rtl/>
              </w:rPr>
              <w:t xml:space="preserve"> </w:t>
            </w:r>
            <w:r w:rsidRPr="00A7152F">
              <w:rPr>
                <w:rFonts w:hint="eastAsia"/>
                <w:sz w:val="26"/>
                <w:rtl/>
              </w:rPr>
              <w:t>הדין</w:t>
            </w:r>
            <w:r w:rsidRPr="00A7152F">
              <w:rPr>
                <w:sz w:val="26"/>
                <w:rtl/>
              </w:rPr>
              <w:t xml:space="preserve"> </w:t>
            </w:r>
            <w:r w:rsidRPr="00A7152F">
              <w:rPr>
                <w:rFonts w:hint="eastAsia"/>
                <w:sz w:val="26"/>
                <w:rtl/>
              </w:rPr>
              <w:t>הפלילי</w:t>
            </w:r>
            <w:r w:rsidRPr="00A7152F">
              <w:rPr>
                <w:sz w:val="26"/>
                <w:rtl/>
              </w:rPr>
              <w:t xml:space="preserve"> (</w:t>
            </w:r>
            <w:r w:rsidRPr="00A7152F">
              <w:rPr>
                <w:rFonts w:hint="eastAsia"/>
                <w:sz w:val="26"/>
                <w:rtl/>
              </w:rPr>
              <w:t>סמכויות</w:t>
            </w:r>
            <w:r w:rsidRPr="00A7152F">
              <w:rPr>
                <w:sz w:val="26"/>
                <w:rtl/>
              </w:rPr>
              <w:t xml:space="preserve"> </w:t>
            </w:r>
            <w:r w:rsidRPr="00A7152F">
              <w:rPr>
                <w:rFonts w:hint="eastAsia"/>
                <w:sz w:val="26"/>
                <w:rtl/>
              </w:rPr>
              <w:t>אכיפה</w:t>
            </w:r>
            <w:r>
              <w:rPr>
                <w:sz w:val="26"/>
                <w:rtl/>
              </w:rPr>
              <w:t xml:space="preserve"> – </w:t>
            </w:r>
            <w:r w:rsidRPr="00A7152F">
              <w:rPr>
                <w:rFonts w:hint="eastAsia"/>
                <w:sz w:val="26"/>
                <w:rtl/>
              </w:rPr>
              <w:t>מעצרים</w:t>
            </w:r>
            <w:r w:rsidRPr="00A7152F">
              <w:rPr>
                <w:sz w:val="26"/>
                <w:rtl/>
              </w:rPr>
              <w:t>)</w:t>
            </w:r>
            <w:r>
              <w:rPr>
                <w:sz w:val="26"/>
                <w:rtl/>
              </w:rPr>
              <w:t xml:space="preserve"> – </w:t>
            </w:r>
            <w:r w:rsidRPr="00A7152F">
              <w:rPr>
                <w:rFonts w:hint="eastAsia"/>
                <w:sz w:val="26"/>
                <w:rtl/>
              </w:rPr>
              <w:t>הוראת</w:t>
            </w:r>
            <w:r w:rsidRPr="00A7152F">
              <w:rPr>
                <w:sz w:val="26"/>
                <w:rtl/>
              </w:rPr>
              <w:t xml:space="preserve"> </w:t>
            </w:r>
            <w:r w:rsidRPr="00A7152F">
              <w:rPr>
                <w:rFonts w:hint="eastAsia"/>
                <w:sz w:val="26"/>
                <w:rtl/>
              </w:rPr>
              <w:t>שעה</w:t>
            </w:r>
          </w:p>
        </w:tc>
        <w:tc>
          <w:tcPr>
            <w:tcW w:w="624" w:type="dxa"/>
            <w:shd w:val="clear" w:color="auto" w:fill="auto"/>
            <w:tcMar>
              <w:top w:w="91" w:type="dxa"/>
              <w:left w:w="0" w:type="dxa"/>
              <w:bottom w:w="91" w:type="dxa"/>
              <w:right w:w="0" w:type="dxa"/>
            </w:tcMar>
          </w:tcPr>
          <w:p w14:paraId="6F4F88F4" w14:textId="77777777" w:rsidR="00CE6F4F" w:rsidRPr="00A7152F" w:rsidRDefault="00CE6F4F" w:rsidP="00CE6F4F">
            <w:pPr>
              <w:pStyle w:val="TableText"/>
              <w:spacing w:before="0"/>
              <w:rPr>
                <w:sz w:val="26"/>
                <w:rtl/>
              </w:rPr>
            </w:pPr>
            <w:r w:rsidRPr="00A7152F">
              <w:rPr>
                <w:sz w:val="26"/>
                <w:rtl/>
              </w:rPr>
              <w:t>1.</w:t>
            </w:r>
          </w:p>
        </w:tc>
        <w:tc>
          <w:tcPr>
            <w:tcW w:w="7143" w:type="dxa"/>
            <w:shd w:val="clear" w:color="auto" w:fill="auto"/>
            <w:tcMar>
              <w:top w:w="91" w:type="dxa"/>
              <w:left w:w="0" w:type="dxa"/>
              <w:bottom w:w="91" w:type="dxa"/>
              <w:right w:w="0" w:type="dxa"/>
            </w:tcMar>
          </w:tcPr>
          <w:p w14:paraId="5945EDD4" w14:textId="77777777" w:rsidR="00CE6F4F" w:rsidRPr="00A7152F" w:rsidRDefault="00CE6F4F" w:rsidP="00CE6F4F">
            <w:pPr>
              <w:pStyle w:val="TableBlock"/>
              <w:spacing w:before="0"/>
              <w:rPr>
                <w:sz w:val="26"/>
                <w:rtl/>
              </w:rPr>
            </w:pPr>
            <w:r w:rsidRPr="00A3238A">
              <w:rPr>
                <w:rFonts w:hint="cs"/>
                <w:sz w:val="26"/>
                <w:rtl/>
              </w:rPr>
              <w:t xml:space="preserve">בתקופה שמיום תחילתו של חוק זה עד תום </w:t>
            </w:r>
            <w:r w:rsidRPr="00A3238A">
              <w:rPr>
                <w:rFonts w:hint="eastAsia"/>
                <w:sz w:val="26"/>
                <w:rtl/>
              </w:rPr>
              <w:t>תוקפן</w:t>
            </w:r>
            <w:r w:rsidRPr="00A3238A">
              <w:rPr>
                <w:sz w:val="26"/>
                <w:rtl/>
              </w:rPr>
              <w:t xml:space="preserve"> </w:t>
            </w:r>
            <w:r w:rsidRPr="00A3238A">
              <w:rPr>
                <w:rFonts w:hint="eastAsia"/>
                <w:sz w:val="26"/>
                <w:rtl/>
              </w:rPr>
              <w:t>של</w:t>
            </w:r>
            <w:r w:rsidRPr="00A3238A">
              <w:rPr>
                <w:sz w:val="26"/>
                <w:rtl/>
              </w:rPr>
              <w:t xml:space="preserve"> </w:t>
            </w:r>
            <w:r w:rsidRPr="00A3238A">
              <w:rPr>
                <w:rFonts w:hint="eastAsia"/>
                <w:sz w:val="26"/>
                <w:rtl/>
              </w:rPr>
              <w:t>תקנות</w:t>
            </w:r>
            <w:r w:rsidRPr="00A3238A">
              <w:rPr>
                <w:sz w:val="26"/>
                <w:rtl/>
              </w:rPr>
              <w:t xml:space="preserve"> </w:t>
            </w:r>
            <w:r w:rsidRPr="00A3238A">
              <w:rPr>
                <w:rFonts w:hint="eastAsia"/>
                <w:sz w:val="26"/>
                <w:rtl/>
              </w:rPr>
              <w:t>שעת</w:t>
            </w:r>
            <w:r w:rsidRPr="00A3238A">
              <w:rPr>
                <w:sz w:val="26"/>
                <w:rtl/>
              </w:rPr>
              <w:t xml:space="preserve"> </w:t>
            </w:r>
            <w:r w:rsidRPr="00A3238A">
              <w:rPr>
                <w:rFonts w:hint="eastAsia"/>
                <w:sz w:val="26"/>
                <w:rtl/>
              </w:rPr>
              <w:t>חירום</w:t>
            </w:r>
            <w:r w:rsidRPr="00A3238A">
              <w:rPr>
                <w:sz w:val="26"/>
                <w:rtl/>
              </w:rPr>
              <w:t xml:space="preserve"> (</w:t>
            </w:r>
            <w:r w:rsidRPr="00A3238A">
              <w:rPr>
                <w:rFonts w:hint="cs"/>
                <w:sz w:val="26"/>
                <w:rtl/>
              </w:rPr>
              <w:t>דיוני מעצרים)</w:t>
            </w:r>
            <w:r w:rsidRPr="00A3238A">
              <w:rPr>
                <w:sz w:val="26"/>
                <w:rtl/>
              </w:rPr>
              <w:t xml:space="preserve">, </w:t>
            </w:r>
            <w:proofErr w:type="spellStart"/>
            <w:r w:rsidRPr="00A3238A">
              <w:rPr>
                <w:sz w:val="26"/>
                <w:rtl/>
              </w:rPr>
              <w:t>התש"ף</w:t>
            </w:r>
            <w:proofErr w:type="spellEnd"/>
            <w:r>
              <w:rPr>
                <w:rFonts w:hint="cs"/>
                <w:sz w:val="26"/>
                <w:rtl/>
              </w:rPr>
              <w:t>–</w:t>
            </w:r>
            <w:r w:rsidRPr="00A3238A">
              <w:rPr>
                <w:sz w:val="26"/>
                <w:rtl/>
              </w:rPr>
              <w:t>2020</w:t>
            </w:r>
            <w:r w:rsidRPr="001C5835">
              <w:rPr>
                <w:rFonts w:ascii="David" w:hAnsi="David"/>
                <w:sz w:val="26"/>
                <w:vertAlign w:val="superscript"/>
                <w:rtl/>
              </w:rPr>
              <w:footnoteReference w:id="2"/>
            </w:r>
            <w:r w:rsidRPr="00A3238A">
              <w:rPr>
                <w:sz w:val="26"/>
                <w:rtl/>
              </w:rPr>
              <w:t>,</w:t>
            </w:r>
            <w:r w:rsidRPr="00A3238A">
              <w:rPr>
                <w:rFonts w:hint="cs"/>
                <w:sz w:val="26"/>
                <w:rtl/>
              </w:rPr>
              <w:t xml:space="preserve"> יקראו את חוק סדר הדין הפלילי (סמכויות אכיפה </w:t>
            </w:r>
            <w:r w:rsidRPr="00A3238A">
              <w:rPr>
                <w:sz w:val="26"/>
                <w:rtl/>
              </w:rPr>
              <w:t>–</w:t>
            </w:r>
            <w:r w:rsidRPr="00A3238A">
              <w:rPr>
                <w:rFonts w:hint="cs"/>
                <w:sz w:val="26"/>
                <w:rtl/>
              </w:rPr>
              <w:t xml:space="preserve"> מעצרים), </w:t>
            </w:r>
            <w:proofErr w:type="spellStart"/>
            <w:r w:rsidRPr="00A3238A">
              <w:rPr>
                <w:rFonts w:hint="cs"/>
                <w:sz w:val="26"/>
                <w:rtl/>
              </w:rPr>
              <w:t>התשנ"ו</w:t>
            </w:r>
            <w:proofErr w:type="spellEnd"/>
            <w:r>
              <w:rPr>
                <w:rFonts w:hint="eastAsia"/>
                <w:sz w:val="26"/>
                <w:rtl/>
              </w:rPr>
              <w:t>–</w:t>
            </w:r>
            <w:r w:rsidRPr="00A3238A">
              <w:rPr>
                <w:rFonts w:hint="cs"/>
                <w:sz w:val="26"/>
                <w:rtl/>
              </w:rPr>
              <w:t>1996</w:t>
            </w:r>
            <w:r w:rsidRPr="001C5835">
              <w:rPr>
                <w:rFonts w:ascii="David" w:hAnsi="David"/>
                <w:sz w:val="26"/>
                <w:vertAlign w:val="superscript"/>
                <w:rtl/>
              </w:rPr>
              <w:footnoteReference w:id="3"/>
            </w:r>
            <w:r w:rsidRPr="00A3238A">
              <w:rPr>
                <w:rFonts w:hint="cs"/>
                <w:sz w:val="26"/>
                <w:rtl/>
              </w:rPr>
              <w:t xml:space="preserve">, כך שבסעיף 13, אחרי סעיף קטן (ב) </w:t>
            </w:r>
            <w:r w:rsidRPr="00A3238A">
              <w:rPr>
                <w:rFonts w:hint="eastAsia"/>
                <w:sz w:val="26"/>
                <w:rtl/>
              </w:rPr>
              <w:t>יבוא</w:t>
            </w:r>
            <w:r w:rsidRPr="00A3238A">
              <w:rPr>
                <w:rFonts w:hint="cs"/>
                <w:sz w:val="26"/>
                <w:rtl/>
              </w:rPr>
              <w:t>:</w:t>
            </w:r>
          </w:p>
        </w:tc>
      </w:tr>
      <w:tr w:rsidR="00CE6F4F" w:rsidRPr="00A7152F" w14:paraId="4DF989BA" w14:textId="77777777" w:rsidTr="00F82F9A">
        <w:trPr>
          <w:cantSplit/>
        </w:trPr>
        <w:tc>
          <w:tcPr>
            <w:tcW w:w="1871" w:type="dxa"/>
            <w:shd w:val="clear" w:color="auto" w:fill="auto"/>
            <w:tcMar>
              <w:top w:w="91" w:type="dxa"/>
              <w:left w:w="0" w:type="dxa"/>
              <w:bottom w:w="91" w:type="dxa"/>
              <w:right w:w="0" w:type="dxa"/>
            </w:tcMar>
          </w:tcPr>
          <w:p w14:paraId="2535988B" w14:textId="77777777" w:rsidR="00CE6F4F" w:rsidRPr="00A7152F" w:rsidRDefault="00CE6F4F" w:rsidP="00CE6F4F">
            <w:pPr>
              <w:pStyle w:val="TableSideHeading"/>
              <w:spacing w:before="0"/>
              <w:rPr>
                <w:sz w:val="26"/>
                <w:rtl/>
              </w:rPr>
            </w:pPr>
          </w:p>
        </w:tc>
        <w:tc>
          <w:tcPr>
            <w:tcW w:w="624" w:type="dxa"/>
            <w:shd w:val="clear" w:color="auto" w:fill="auto"/>
            <w:tcMar>
              <w:top w:w="91" w:type="dxa"/>
              <w:left w:w="0" w:type="dxa"/>
              <w:bottom w:w="91" w:type="dxa"/>
              <w:right w:w="0" w:type="dxa"/>
            </w:tcMar>
          </w:tcPr>
          <w:p w14:paraId="1429CA04" w14:textId="77777777" w:rsidR="00CE6F4F" w:rsidRPr="00A7152F" w:rsidRDefault="00CE6F4F" w:rsidP="00CE6F4F">
            <w:pPr>
              <w:pStyle w:val="TableText"/>
              <w:spacing w:before="0"/>
              <w:rPr>
                <w:rtl/>
              </w:rPr>
            </w:pPr>
          </w:p>
        </w:tc>
        <w:tc>
          <w:tcPr>
            <w:tcW w:w="7143" w:type="dxa"/>
            <w:shd w:val="clear" w:color="auto" w:fill="auto"/>
            <w:tcMar>
              <w:top w:w="91" w:type="dxa"/>
              <w:left w:w="0" w:type="dxa"/>
              <w:bottom w:w="91" w:type="dxa"/>
              <w:right w:w="0" w:type="dxa"/>
            </w:tcMar>
          </w:tcPr>
          <w:p w14:paraId="2237B3CD" w14:textId="77777777" w:rsidR="00CE6F4F" w:rsidRPr="00A7152F" w:rsidRDefault="00CE6F4F" w:rsidP="00CE6F4F">
            <w:pPr>
              <w:pStyle w:val="TableBlock"/>
              <w:spacing w:before="0"/>
              <w:rPr>
                <w:sz w:val="26"/>
                <w:rtl/>
              </w:rPr>
            </w:pPr>
            <w:r>
              <w:rPr>
                <w:rFonts w:hint="cs"/>
                <w:sz w:val="26"/>
                <w:rtl/>
              </w:rPr>
              <w:t>"(ב1)</w:t>
            </w:r>
            <w:r>
              <w:rPr>
                <w:sz w:val="26"/>
                <w:rtl/>
              </w:rPr>
              <w:tab/>
            </w:r>
            <w:r>
              <w:rPr>
                <w:rFonts w:hint="cs"/>
                <w:sz w:val="26"/>
                <w:rtl/>
              </w:rPr>
              <w:t>בלי לגרוע מהוראות סעיפים קטנים (א) ו-(ב), בבואו לצוות על מעצרו של אדם לפי סעיף קטן (א), ישקול השופט גם את חיוניות המעצר, בין השאר בהתחשב בפגיעה בעצור הנובעת מקיומו של הדיון לפי הוראות סעיף 16א, שלא בנוכחותו, הסיכון להידבקות העצור בנגיף הקורונה (</w:t>
            </w:r>
            <w:bookmarkStart w:id="5" w:name="_GoBack"/>
            <w:bookmarkEnd w:id="5"/>
            <w:r>
              <w:rPr>
                <w:sz w:val="26"/>
              </w:rPr>
              <w:t>Novel Coronavirus</w:t>
            </w:r>
            <w:r>
              <w:rPr>
                <w:sz w:val="26"/>
              </w:rPr>
              <w:t xml:space="preserve"> </w:t>
            </w:r>
            <w:proofErr w:type="spellStart"/>
            <w:r>
              <w:rPr>
                <w:sz w:val="26"/>
              </w:rPr>
              <w:t>nCov</w:t>
            </w:r>
            <w:proofErr w:type="spellEnd"/>
            <w:r>
              <w:rPr>
                <w:sz w:val="26"/>
              </w:rPr>
              <w:t>–2019</w:t>
            </w:r>
            <w:r>
              <w:rPr>
                <w:rFonts w:hint="cs"/>
                <w:sz w:val="26"/>
                <w:rtl/>
              </w:rPr>
              <w:t>) בעת שהותו במעצר ומצב הכליאה באותה עת.</w:t>
            </w:r>
            <w:r>
              <w:rPr>
                <w:rFonts w:hint="cs"/>
                <w:sz w:val="26"/>
                <w:rtl/>
              </w:rPr>
              <w:t>"</w:t>
            </w:r>
          </w:p>
        </w:tc>
      </w:tr>
    </w:tbl>
    <w:p w14:paraId="79257EA2" w14:textId="77777777" w:rsidR="00CE6F4F" w:rsidRPr="00CE6F4F" w:rsidRDefault="00CE6F4F"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0B20FC84" w14:textId="77777777" w:rsidTr="00D114CA">
        <w:tc>
          <w:tcPr>
            <w:tcW w:w="2409" w:type="dxa"/>
            <w:shd w:val="clear" w:color="auto" w:fill="auto"/>
          </w:tcPr>
          <w:p w14:paraId="2E77F36E"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4AC29010" w14:textId="77777777" w:rsidR="008525E2" w:rsidRPr="00D466D4" w:rsidRDefault="00220CAF" w:rsidP="006F3CC7">
            <w:pPr>
              <w:spacing w:before="0" w:line="360" w:lineRule="auto"/>
              <w:ind w:firstLine="0"/>
              <w:jc w:val="center"/>
              <w:rPr>
                <w:rFonts w:cs="David"/>
                <w:sz w:val="26"/>
                <w:szCs w:val="26"/>
                <w:rtl/>
              </w:rPr>
            </w:pPr>
            <w:bookmarkStart w:id="6" w:name="PrimeMinistryName"/>
            <w:r>
              <w:rPr>
                <w:rFonts w:cs="David" w:hint="cs"/>
                <w:sz w:val="26"/>
                <w:szCs w:val="26"/>
                <w:rtl/>
              </w:rPr>
              <w:t>בנימין נתניהו</w:t>
            </w:r>
            <w:bookmarkEnd w:id="6"/>
          </w:p>
          <w:p w14:paraId="251D8C2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7995B16A"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7EC43121" w14:textId="77777777" w:rsidR="008525E2" w:rsidRPr="00D466D4" w:rsidRDefault="00CE6F4F" w:rsidP="006F3CC7">
            <w:pPr>
              <w:spacing w:before="0" w:line="360" w:lineRule="auto"/>
              <w:ind w:firstLine="0"/>
              <w:jc w:val="center"/>
              <w:rPr>
                <w:rFonts w:cs="David"/>
                <w:sz w:val="26"/>
                <w:szCs w:val="26"/>
                <w:rtl/>
              </w:rPr>
            </w:pPr>
            <w:r>
              <w:rPr>
                <w:rFonts w:cs="David" w:hint="cs"/>
                <w:sz w:val="26"/>
                <w:szCs w:val="26"/>
                <w:rtl/>
              </w:rPr>
              <w:t xml:space="preserve">אבי </w:t>
            </w:r>
            <w:proofErr w:type="spellStart"/>
            <w:r>
              <w:rPr>
                <w:rFonts w:cs="David" w:hint="cs"/>
                <w:sz w:val="26"/>
                <w:szCs w:val="26"/>
                <w:rtl/>
              </w:rPr>
              <w:t>ניסנקורן</w:t>
            </w:r>
            <w:proofErr w:type="spellEnd"/>
          </w:p>
          <w:p w14:paraId="479DC87B" w14:textId="77777777" w:rsidR="008525E2" w:rsidRPr="00D466D4" w:rsidRDefault="008525E2" w:rsidP="00CE6F4F">
            <w:pPr>
              <w:spacing w:before="0" w:line="360" w:lineRule="auto"/>
              <w:ind w:firstLine="0"/>
              <w:jc w:val="center"/>
              <w:rPr>
                <w:rFonts w:cs="David"/>
                <w:sz w:val="26"/>
                <w:szCs w:val="26"/>
                <w:rtl/>
              </w:rPr>
            </w:pPr>
            <w:r w:rsidRPr="00D466D4">
              <w:rPr>
                <w:rFonts w:cs="David" w:hint="cs"/>
                <w:sz w:val="26"/>
                <w:szCs w:val="26"/>
                <w:rtl/>
              </w:rPr>
              <w:t>שר ה</w:t>
            </w:r>
            <w:r w:rsidR="00CE6F4F">
              <w:rPr>
                <w:rFonts w:cs="David" w:hint="cs"/>
                <w:sz w:val="26"/>
                <w:szCs w:val="26"/>
                <w:rtl/>
              </w:rPr>
              <w:t>משפטים</w:t>
            </w:r>
          </w:p>
        </w:tc>
      </w:tr>
      <w:tr w:rsidR="008525E2" w:rsidRPr="00D466D4" w14:paraId="10AF15D7" w14:textId="77777777" w:rsidTr="00D114CA">
        <w:tc>
          <w:tcPr>
            <w:tcW w:w="2409" w:type="dxa"/>
            <w:shd w:val="clear" w:color="auto" w:fill="auto"/>
          </w:tcPr>
          <w:p w14:paraId="0B8401AA" w14:textId="77777777" w:rsidR="008525E2" w:rsidRPr="00D466D4" w:rsidRDefault="008525E2" w:rsidP="006F3CC7">
            <w:pPr>
              <w:spacing w:before="0" w:line="360" w:lineRule="auto"/>
              <w:ind w:firstLine="0"/>
              <w:jc w:val="center"/>
              <w:rPr>
                <w:rFonts w:cs="David"/>
                <w:sz w:val="26"/>
                <w:szCs w:val="26"/>
                <w:rtl/>
              </w:rPr>
            </w:pPr>
          </w:p>
          <w:p w14:paraId="62408297"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5FDEBEA9"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7F453122"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C7ADA18" w14:textId="77777777" w:rsidR="008525E2" w:rsidRPr="00D466D4" w:rsidRDefault="008525E2" w:rsidP="006F3CC7">
            <w:pPr>
              <w:spacing w:before="0" w:line="360" w:lineRule="auto"/>
              <w:ind w:firstLine="0"/>
              <w:jc w:val="center"/>
              <w:rPr>
                <w:rFonts w:cs="David"/>
                <w:sz w:val="26"/>
                <w:szCs w:val="26"/>
                <w:rtl/>
              </w:rPr>
            </w:pPr>
          </w:p>
          <w:p w14:paraId="300D7E32"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766351DE" w14:textId="77777777" w:rsidTr="00D114CA">
        <w:tc>
          <w:tcPr>
            <w:tcW w:w="2409" w:type="dxa"/>
            <w:shd w:val="clear" w:color="auto" w:fill="auto"/>
          </w:tcPr>
          <w:p w14:paraId="27E58C22"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2C3DC294"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585E7384"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3A82814B" w14:textId="77777777" w:rsidR="008525E2" w:rsidRPr="00D466D4" w:rsidRDefault="00220CAF" w:rsidP="006F3CC7">
            <w:pPr>
              <w:spacing w:before="0" w:line="360" w:lineRule="auto"/>
              <w:ind w:firstLine="0"/>
              <w:jc w:val="center"/>
              <w:rPr>
                <w:rFonts w:cs="David"/>
                <w:sz w:val="26"/>
                <w:szCs w:val="26"/>
                <w:rtl/>
              </w:rPr>
            </w:pPr>
            <w:bookmarkStart w:id="7" w:name="HeadKnessetName"/>
            <w:r>
              <w:rPr>
                <w:rFonts w:cs="David" w:hint="cs"/>
                <w:sz w:val="26"/>
                <w:szCs w:val="26"/>
                <w:rtl/>
              </w:rPr>
              <w:t>יריב לוין</w:t>
            </w:r>
            <w:bookmarkEnd w:id="7"/>
          </w:p>
          <w:p w14:paraId="3BA6FB21"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0FFCF583" w14:textId="77777777" w:rsidR="008525E2" w:rsidRPr="00D466D4" w:rsidRDefault="008525E2" w:rsidP="006F3CC7">
            <w:pPr>
              <w:spacing w:before="0" w:line="360" w:lineRule="auto"/>
              <w:ind w:firstLine="0"/>
              <w:jc w:val="center"/>
              <w:rPr>
                <w:rFonts w:cs="David"/>
                <w:sz w:val="26"/>
                <w:szCs w:val="26"/>
                <w:rtl/>
              </w:rPr>
            </w:pPr>
          </w:p>
        </w:tc>
      </w:tr>
    </w:tbl>
    <w:p w14:paraId="5B48A317" w14:textId="77777777" w:rsidR="002137F8" w:rsidRPr="008525E2" w:rsidRDefault="002137F8" w:rsidP="00D114CA">
      <w:pPr>
        <w:rPr>
          <w:rtl/>
        </w:rPr>
      </w:pPr>
    </w:p>
    <w:sectPr w:rsidR="002137F8" w:rsidRPr="008525E2" w:rsidSect="004E77B7">
      <w:headerReference w:type="even" r:id="rId13"/>
      <w:headerReference w:type="default" r:id="rId14"/>
      <w:footerReference w:type="even" r:id="rId15"/>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C67E9" w14:textId="77777777" w:rsidR="00AC209E" w:rsidRDefault="00AC209E" w:rsidP="00B416AF">
      <w:pPr>
        <w:pStyle w:val="HeadHatzaotHok"/>
      </w:pPr>
      <w:r>
        <w:separator/>
      </w:r>
    </w:p>
  </w:endnote>
  <w:endnote w:type="continuationSeparator" w:id="0">
    <w:p w14:paraId="44ACC750"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8762"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8158BC0"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6B906" w14:textId="77777777" w:rsidR="00AC209E" w:rsidRDefault="00AC209E" w:rsidP="00696C5E">
      <w:pPr>
        <w:pStyle w:val="HeadHatzaotHok"/>
        <w:spacing w:before="0"/>
        <w:ind w:firstLine="0"/>
        <w:jc w:val="left"/>
      </w:pPr>
      <w:r>
        <w:separator/>
      </w:r>
    </w:p>
  </w:footnote>
  <w:footnote w:type="continuationSeparator" w:id="0">
    <w:p w14:paraId="2C3FECBA" w14:textId="77777777" w:rsidR="00AC209E" w:rsidRPr="00696C5E" w:rsidRDefault="00AC209E" w:rsidP="00696C5E">
      <w:pPr>
        <w:pStyle w:val="HeadHatzaotHok"/>
        <w:spacing w:before="0"/>
        <w:ind w:firstLine="0"/>
        <w:jc w:val="left"/>
      </w:pPr>
      <w:r>
        <w:separator/>
      </w:r>
    </w:p>
  </w:footnote>
  <w:footnote w:id="1">
    <w:p w14:paraId="51201249" w14:textId="77777777" w:rsidR="00CE6F4F" w:rsidRDefault="00CE6F4F" w:rsidP="00CE6F4F">
      <w:pPr>
        <w:pStyle w:val="a9"/>
        <w:rPr>
          <w:rtl/>
        </w:rPr>
      </w:pPr>
      <w:r>
        <w:rPr>
          <w:rStyle w:val="a8"/>
        </w:rPr>
        <w:t>*</w:t>
      </w:r>
      <w:r>
        <w:rPr>
          <w:rFonts w:hint="cs"/>
          <w:rtl/>
        </w:rPr>
        <w:t xml:space="preserve"> התקבל בכנסת ביום</w:t>
      </w:r>
      <w:r>
        <w:rPr>
          <w:rFonts w:hint="cs"/>
          <w:rtl/>
        </w:rPr>
        <w:t xml:space="preserve"> ט"ז בסיוון </w:t>
      </w:r>
      <w:proofErr w:type="spellStart"/>
      <w:r>
        <w:rPr>
          <w:rFonts w:hint="cs"/>
          <w:rtl/>
        </w:rPr>
        <w:t>התש"ף</w:t>
      </w:r>
      <w:proofErr w:type="spellEnd"/>
      <w:r>
        <w:rPr>
          <w:rFonts w:hint="cs"/>
          <w:rtl/>
        </w:rPr>
        <w:t xml:space="preserve"> </w:t>
      </w:r>
      <w:bookmarkStart w:id="0" w:name="LGSVote3Date"/>
      <w:r>
        <w:rPr>
          <w:rFonts w:hint="cs"/>
          <w:rtl/>
        </w:rPr>
        <w:t>(8 ביוני 2020)</w:t>
      </w:r>
      <w:bookmarkEnd w:id="0"/>
      <w:r>
        <w:rPr>
          <w:rFonts w:hint="cs"/>
          <w:rtl/>
        </w:rPr>
        <w:t xml:space="preserve">; הצעת החוק ודברי הסבר פורסמו בהצעות חוק </w:t>
      </w:r>
      <w:bookmarkStart w:id="1" w:name="LGSType"/>
      <w:r>
        <w:rPr>
          <w:rFonts w:hint="cs"/>
          <w:rtl/>
        </w:rPr>
        <w:t>הממשלה</w:t>
      </w:r>
      <w:bookmarkEnd w:id="1"/>
      <w:r>
        <w:rPr>
          <w:rFonts w:hint="cs"/>
          <w:rtl/>
        </w:rPr>
        <w:t xml:space="preserve"> </w:t>
      </w:r>
      <w:r>
        <w:rPr>
          <w:rFonts w:hint="eastAsia"/>
          <w:rtl/>
        </w:rPr>
        <w:t>–</w:t>
      </w:r>
      <w:r>
        <w:rPr>
          <w:rFonts w:hint="cs"/>
          <w:rtl/>
        </w:rPr>
        <w:t xml:space="preserve"> </w:t>
      </w:r>
      <w:bookmarkStart w:id="2" w:name="LGSNum"/>
      <w:r>
        <w:rPr>
          <w:rFonts w:hint="cs"/>
          <w:rtl/>
        </w:rPr>
        <w:t>1308</w:t>
      </w:r>
      <w:bookmarkEnd w:id="2"/>
      <w:r>
        <w:rPr>
          <w:rFonts w:hint="eastAsia"/>
          <w:rtl/>
        </w:rPr>
        <w:t xml:space="preserve">, מיום </w:t>
      </w:r>
      <w:bookmarkStart w:id="3" w:name="HebDate"/>
      <w:r>
        <w:rPr>
          <w:rFonts w:hint="cs"/>
          <w:rtl/>
        </w:rPr>
        <w:t xml:space="preserve">ט' בסיוון </w:t>
      </w:r>
      <w:proofErr w:type="spellStart"/>
      <w:r>
        <w:rPr>
          <w:rFonts w:hint="cs"/>
          <w:rtl/>
        </w:rPr>
        <w:t>התש"פ</w:t>
      </w:r>
      <w:bookmarkEnd w:id="3"/>
      <w:proofErr w:type="spellEnd"/>
      <w:r w:rsidRPr="00827E61">
        <w:rPr>
          <w:rFonts w:hint="cs"/>
          <w:rtl/>
        </w:rPr>
        <w:t xml:space="preserve"> (</w:t>
      </w:r>
      <w:bookmarkStart w:id="4" w:name="EngDate"/>
      <w:r>
        <w:rPr>
          <w:rFonts w:hint="cs"/>
          <w:rtl/>
        </w:rPr>
        <w:t>1 ביוני 2020</w:t>
      </w:r>
      <w:bookmarkEnd w:id="4"/>
      <w:r w:rsidRPr="00827E61">
        <w:rPr>
          <w:rFonts w:hint="cs"/>
          <w:rtl/>
        </w:rPr>
        <w:t>), עמ'</w:t>
      </w:r>
      <w:r>
        <w:rPr>
          <w:rFonts w:hint="cs"/>
          <w:rtl/>
        </w:rPr>
        <w:t xml:space="preserve"> 118.</w:t>
      </w:r>
    </w:p>
  </w:footnote>
  <w:footnote w:id="2">
    <w:p w14:paraId="566A5F26" w14:textId="77777777" w:rsidR="00CE6F4F" w:rsidRDefault="00CE6F4F" w:rsidP="00CE6F4F">
      <w:pPr>
        <w:pStyle w:val="a9"/>
        <w:rPr>
          <w:rtl/>
        </w:rPr>
      </w:pPr>
      <w:r>
        <w:rPr>
          <w:rStyle w:val="a8"/>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התש"ף</w:t>
      </w:r>
      <w:proofErr w:type="spellEnd"/>
      <w:r>
        <w:rPr>
          <w:rFonts w:hint="cs"/>
          <w:rtl/>
        </w:rPr>
        <w:t xml:space="preserve">, עמ' 748; </w:t>
      </w:r>
      <w:proofErr w:type="spellStart"/>
      <w:r>
        <w:rPr>
          <w:rFonts w:hint="cs"/>
          <w:rtl/>
        </w:rPr>
        <w:t>התש"ף</w:t>
      </w:r>
      <w:proofErr w:type="spellEnd"/>
      <w:r>
        <w:rPr>
          <w:rFonts w:hint="cs"/>
          <w:rtl/>
        </w:rPr>
        <w:t>, עמ' 1423.</w:t>
      </w:r>
    </w:p>
  </w:footnote>
  <w:footnote w:id="3">
    <w:p w14:paraId="49D10C78" w14:textId="77777777" w:rsidR="00CE6F4F" w:rsidRDefault="00CE6F4F" w:rsidP="00CE6F4F">
      <w:pPr>
        <w:pStyle w:val="a9"/>
        <w:rPr>
          <w:rtl/>
        </w:rPr>
      </w:pPr>
      <w:r>
        <w:rPr>
          <w:rStyle w:val="a8"/>
        </w:rPr>
        <w:footnoteRef/>
      </w:r>
      <w:r>
        <w:rPr>
          <w:rtl/>
        </w:rPr>
        <w:t xml:space="preserve"> </w:t>
      </w:r>
      <w:r>
        <w:rPr>
          <w:rFonts w:hint="cs"/>
          <w:rtl/>
        </w:rPr>
        <w:t xml:space="preserve">ס"ח </w:t>
      </w:r>
      <w:proofErr w:type="spellStart"/>
      <w:r>
        <w:rPr>
          <w:rFonts w:hint="cs"/>
          <w:rtl/>
        </w:rPr>
        <w:t>התשנ"ו</w:t>
      </w:r>
      <w:proofErr w:type="spellEnd"/>
      <w:r>
        <w:rPr>
          <w:rFonts w:hint="cs"/>
          <w:rtl/>
        </w:rPr>
        <w:t xml:space="preserve">, עמ' 338; </w:t>
      </w:r>
      <w:proofErr w:type="spellStart"/>
      <w:r>
        <w:rPr>
          <w:rFonts w:hint="cs"/>
          <w:rtl/>
        </w:rPr>
        <w:t>התש"ף</w:t>
      </w:r>
      <w:proofErr w:type="spellEnd"/>
      <w:r>
        <w:rPr>
          <w:rFonts w:hint="cs"/>
          <w:rtl/>
        </w:rPr>
        <w:t>, עמ'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0F5D"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7E583188"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90ED5"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CE6F4F">
      <w:rPr>
        <w:rStyle w:val="ac"/>
        <w:rFonts w:cs="David"/>
        <w:noProof/>
        <w:sz w:val="24"/>
        <w:szCs w:val="24"/>
        <w:rtl/>
      </w:rPr>
      <w:t>2</w:t>
    </w:r>
    <w:r w:rsidRPr="00E125CC">
      <w:rPr>
        <w:rStyle w:val="ac"/>
        <w:rFonts w:cs="David"/>
        <w:sz w:val="24"/>
        <w:szCs w:val="24"/>
        <w:rtl/>
      </w:rPr>
      <w:fldChar w:fldCharType="end"/>
    </w:r>
    <w:r>
      <w:rPr>
        <w:rStyle w:val="ac"/>
        <w:rFonts w:cs="David" w:hint="cs"/>
        <w:sz w:val="24"/>
        <w:szCs w:val="24"/>
        <w:rtl/>
      </w:rPr>
      <w:t xml:space="preserve"> -</w:t>
    </w:r>
  </w:p>
  <w:p w14:paraId="4D0ACC75"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CE6F4F"/>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0E83"/>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5">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aliases w:val="Footnote Reference_0"/>
    <w:rsid w:val="009579F7"/>
    <w:rPr>
      <w:vertAlign w:val="superscript"/>
    </w:rPr>
  </w:style>
  <w:style w:type="paragraph" w:styleId="a9">
    <w:name w:val="footnote text"/>
    <w:basedOn w:val="Ragil"/>
    <w:link w:val="aa"/>
    <w:autoRedefine/>
    <w:rsid w:val="00FD1D3D"/>
    <w:pPr>
      <w:spacing w:before="0"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b">
    <w:name w:val="header"/>
    <w:basedOn w:val="a"/>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a">
    <w:name w:val="טקסט הערת שוליים תו"/>
    <w:link w:val="a9"/>
    <w:rsid w:val="008525E2"/>
    <w:rPr>
      <w:rFonts w:ascii="Arial" w:eastAsia="Arial Unicode MS" w:hAnsi="Arial" w:cs="David"/>
      <w:snapToGrid w:val="0"/>
      <w:color w:val="000000"/>
      <w:spacing w:val="1"/>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BD030-DD8D-4D3A-BB65-723165FF72E2}"/>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3CDA8B20-404D-4CA1-AE87-42D3C79AEFEA}">
  <ds:schemaRefs>
    <ds:schemaRef ds:uri="http://schemas.microsoft.com/sharepoint/events"/>
  </ds:schemaRefs>
</ds:datastoreItem>
</file>

<file path=customXml/itemProps5.xml><?xml version="1.0" encoding="utf-8"?>
<ds:datastoreItem xmlns:ds="http://schemas.openxmlformats.org/officeDocument/2006/customXml" ds:itemID="{9AAD3E59-1685-4866-88AE-10917921A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60c347-3c75-42f3-9b43-fe3c3ef9805f"/>
    <ds:schemaRef ds:uri="f380af25-22dd-4a89-bd18-c5bf793c562b"/>
    <ds:schemaRef ds:uri="c8ce1d4b-e1f6-446e-84c0-71ee544e8f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679</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דפנה ברנאי</cp:lastModifiedBy>
  <cp:revision>4</cp:revision>
  <cp:lastPrinted>2018-05-03T09:43:00Z</cp:lastPrinted>
  <dcterms:created xsi:type="dcterms:W3CDTF">2018-06-18T13:53:00Z</dcterms:created>
  <dcterms:modified xsi:type="dcterms:W3CDTF">2020-06-08T14:12:00Z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ff7e091e-8af5-4de0-a24c-f181b32b57a9</vt:lpwstr>
  </property>
  <property fmtid="{D5CDD505-2E9C-101B-9397-08002B2CF9AE}" pid="20" name="_docset_NoMedatataSyncRequired">
    <vt:lpwstr>False</vt:lpwstr>
  </property>
  <property fmtid="{D5CDD505-2E9C-101B-9397-08002B2CF9AE}" pid="21" name="SanhedrinItemID">
    <vt:r8>2140117</vt:r8>
  </property>
  <property fmtid="{D5CDD505-2E9C-101B-9397-08002B2CF9AE}" pid="22" name="SanhedrinDocumentType">
    <vt:r8>42</vt:r8>
  </property>
</Properties>
</file>