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2083818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1400267B" w:rsidR="00E13C27" w:rsidRPr="00CF1AA2" w:rsidRDefault="008F6665" w:rsidP="00065CF8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ארבל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מיכאל מלכיאלי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אבוטבול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קטי קטרין שטרית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E1558E4" w:rsidR="00E13C27" w:rsidRPr="00E06736" w:rsidRDefault="00904591" w:rsidP="00065CF8">
      <w:pPr>
        <w:pStyle w:val="David"/>
        <w:spacing w:line="240" w:lineRule="auto"/>
        <w:ind w:left="3544"/>
        <w:rPr>
          <w:rtl/>
        </w:rPr>
      </w:pPr>
      <w:r>
        <w:t xml:space="preserve"> </w:t>
      </w:r>
      <w:bookmarkStart w:id="6" w:name="Private_Number"/>
      <w:r w:rsidR="00065CF8">
        <w:rPr>
          <w:rtl/>
        </w:rPr>
        <w:tab/>
      </w:r>
      <w:r w:rsidR="00065CF8">
        <w:rPr>
          <w:rtl/>
        </w:rPr>
        <w:tab/>
      </w:r>
      <w:r w:rsidR="00065CF8">
        <w:rPr>
          <w:rtl/>
        </w:rPr>
        <w:tab/>
      </w:r>
      <w:r w:rsidR="00065CF8">
        <w:rPr>
          <w:rtl/>
        </w:rPr>
        <w:tab/>
      </w:r>
      <w:r>
        <w:rPr>
          <w:rFonts w:hint="cs"/>
          <w:rtl/>
        </w:rPr>
        <w:t>פ/1402/22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הביטוח הלאומי (תיקון – הארכת המועד להגשת תביעה לגמלה והתקופה שבעדה תשולם), התש"ף–2019 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5895"/>
      </w:tblGrid>
      <w:tr w:rsidR="00C134BE" w:rsidRPr="00357F6D" w14:paraId="7DFD2C55" w14:textId="77777777" w:rsidTr="00065CF8">
        <w:trPr>
          <w:cantSplit/>
        </w:trPr>
        <w:tc>
          <w:tcPr>
            <w:tcW w:w="1871" w:type="dxa"/>
          </w:tcPr>
          <w:p w14:paraId="52BCABAE" w14:textId="77777777" w:rsidR="00C134BE" w:rsidRDefault="00C134BE" w:rsidP="00165FE5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296</w:t>
            </w:r>
          </w:p>
        </w:tc>
        <w:tc>
          <w:tcPr>
            <w:tcW w:w="624" w:type="dxa"/>
          </w:tcPr>
          <w:p w14:paraId="2B1316D7" w14:textId="77777777" w:rsidR="00C134BE" w:rsidRDefault="00C134BE" w:rsidP="00165FE5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16600DC6" w14:textId="77777777" w:rsidR="00C134BE" w:rsidRPr="00675308" w:rsidRDefault="00C134BE" w:rsidP="00065CF8">
            <w:pPr>
              <w:pStyle w:val="TableBlock"/>
            </w:pPr>
            <w:r w:rsidRPr="00675308">
              <w:rPr>
                <w:rFonts w:hint="cs"/>
                <w:rtl/>
              </w:rPr>
              <w:t>בחוק הביטוח הלאומי [נוסח משולב], התשנ"ה</w:t>
            </w:r>
            <w:r w:rsidRPr="00675308">
              <w:rPr>
                <w:rFonts w:hint="eastAsia"/>
                <w:rtl/>
              </w:rPr>
              <w:t>–</w:t>
            </w:r>
            <w:r w:rsidRPr="00675308">
              <w:rPr>
                <w:rFonts w:hint="cs"/>
                <w:rtl/>
              </w:rPr>
              <w:t>1995</w:t>
            </w:r>
            <w:r w:rsidRPr="00065CF8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Pr="00675308">
              <w:rPr>
                <w:rFonts w:hint="cs"/>
                <w:rtl/>
              </w:rPr>
              <w:t xml:space="preserve">, בסעיף 296 </w:t>
            </w:r>
            <w:r w:rsidRPr="00675308">
              <w:rPr>
                <w:rFonts w:hint="eastAsia"/>
                <w:rtl/>
              </w:rPr>
              <w:t>–</w:t>
            </w:r>
          </w:p>
        </w:tc>
      </w:tr>
      <w:tr w:rsidR="00C134BE" w14:paraId="34E9BBB4" w14:textId="77777777" w:rsidTr="00065CF8">
        <w:trPr>
          <w:cantSplit/>
        </w:trPr>
        <w:tc>
          <w:tcPr>
            <w:tcW w:w="1871" w:type="dxa"/>
          </w:tcPr>
          <w:p w14:paraId="749ABD0D" w14:textId="77777777" w:rsidR="00C134BE" w:rsidRDefault="00C134BE" w:rsidP="00165FE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6F538572" w14:textId="77777777" w:rsidR="00C134BE" w:rsidRDefault="00C134BE" w:rsidP="00165FE5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72334BA4" w14:textId="77777777" w:rsidR="00C134BE" w:rsidRPr="00675308" w:rsidRDefault="00C134BE" w:rsidP="00065CF8">
            <w:pPr>
              <w:pStyle w:val="TableBlock"/>
              <w:rPr>
                <w:rtl/>
              </w:rPr>
            </w:pPr>
            <w:r w:rsidRPr="00675308">
              <w:rPr>
                <w:rFonts w:hint="cs"/>
                <w:rtl/>
              </w:rPr>
              <w:t>(1)</w:t>
            </w:r>
            <w:r w:rsidRPr="00675308">
              <w:rPr>
                <w:rtl/>
              </w:rPr>
              <w:tab/>
            </w:r>
            <w:r w:rsidRPr="00675308">
              <w:rPr>
                <w:rFonts w:hint="cs"/>
                <w:rtl/>
              </w:rPr>
              <w:t>בסעיף קטן (א), במקום "שנים עשר חודשים" יבוא "שבע שנים";</w:t>
            </w:r>
          </w:p>
        </w:tc>
      </w:tr>
      <w:tr w:rsidR="00C134BE" w14:paraId="6DD10E88" w14:textId="77777777" w:rsidTr="00065CF8">
        <w:trPr>
          <w:cantSplit/>
        </w:trPr>
        <w:tc>
          <w:tcPr>
            <w:tcW w:w="1871" w:type="dxa"/>
          </w:tcPr>
          <w:p w14:paraId="05D2BC3D" w14:textId="77777777" w:rsidR="00C134BE" w:rsidRDefault="00C134BE" w:rsidP="00165FE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008C2D75" w14:textId="77777777" w:rsidR="00C134BE" w:rsidRDefault="00C134BE" w:rsidP="00C134BE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1CB884F3" w14:textId="77777777" w:rsidR="00C134BE" w:rsidRPr="00675308" w:rsidRDefault="00C134BE" w:rsidP="00065CF8">
            <w:pPr>
              <w:pStyle w:val="TableBlock"/>
              <w:rPr>
                <w:rtl/>
              </w:rPr>
            </w:pPr>
            <w:r w:rsidRPr="00675308">
              <w:rPr>
                <w:rFonts w:hint="cs"/>
                <w:rtl/>
              </w:rPr>
              <w:t>(2)</w:t>
            </w:r>
            <w:r w:rsidRPr="00675308">
              <w:rPr>
                <w:rtl/>
              </w:rPr>
              <w:tab/>
            </w:r>
            <w:r w:rsidRPr="00675308">
              <w:rPr>
                <w:rFonts w:hint="cs"/>
                <w:rtl/>
              </w:rPr>
              <w:t xml:space="preserve">בסעיף קטן (ב) </w:t>
            </w:r>
            <w:r w:rsidRPr="00675308">
              <w:rPr>
                <w:rFonts w:hint="eastAsia"/>
                <w:rtl/>
              </w:rPr>
              <w:t>–</w:t>
            </w:r>
            <w:r w:rsidRPr="00675308">
              <w:rPr>
                <w:rFonts w:hint="cs"/>
                <w:rtl/>
              </w:rPr>
              <w:t xml:space="preserve"> </w:t>
            </w:r>
          </w:p>
        </w:tc>
      </w:tr>
      <w:tr w:rsidR="00C134BE" w14:paraId="38577F26" w14:textId="77777777" w:rsidTr="00065CF8">
        <w:trPr>
          <w:cantSplit/>
        </w:trPr>
        <w:tc>
          <w:tcPr>
            <w:tcW w:w="1871" w:type="dxa"/>
          </w:tcPr>
          <w:p w14:paraId="08275BDA" w14:textId="77777777" w:rsidR="00C134BE" w:rsidRDefault="00C134BE" w:rsidP="00165FE5">
            <w:pPr>
              <w:pStyle w:val="TableSideHeading"/>
            </w:pPr>
          </w:p>
        </w:tc>
        <w:tc>
          <w:tcPr>
            <w:tcW w:w="624" w:type="dxa"/>
          </w:tcPr>
          <w:p w14:paraId="68FB6D5F" w14:textId="77777777" w:rsidR="00C134BE" w:rsidRDefault="00C134BE" w:rsidP="00165FE5">
            <w:pPr>
              <w:pStyle w:val="TableText"/>
            </w:pPr>
          </w:p>
        </w:tc>
        <w:tc>
          <w:tcPr>
            <w:tcW w:w="624" w:type="dxa"/>
          </w:tcPr>
          <w:p w14:paraId="109FB1AD" w14:textId="77777777" w:rsidR="00C134BE" w:rsidRDefault="00C134BE" w:rsidP="00165FE5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596FFD5B" w14:textId="77777777" w:rsidR="00C134BE" w:rsidRDefault="00C134BE" w:rsidP="00065CF8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בפסקה (1) </w:t>
            </w:r>
            <w:r>
              <w:rPr>
                <w:rFonts w:hint="eastAsia"/>
                <w:rtl/>
              </w:rPr>
              <w:t>–</w:t>
            </w:r>
          </w:p>
        </w:tc>
      </w:tr>
      <w:tr w:rsidR="00C134BE" w14:paraId="6DF5CFC2" w14:textId="77777777" w:rsidTr="00065CF8">
        <w:trPr>
          <w:cantSplit/>
        </w:trPr>
        <w:tc>
          <w:tcPr>
            <w:tcW w:w="1871" w:type="dxa"/>
          </w:tcPr>
          <w:p w14:paraId="0FB5AEA6" w14:textId="77777777" w:rsidR="00C134BE" w:rsidRDefault="00C134BE" w:rsidP="00165FE5">
            <w:pPr>
              <w:pStyle w:val="TableSideHeading"/>
            </w:pPr>
          </w:p>
        </w:tc>
        <w:tc>
          <w:tcPr>
            <w:tcW w:w="624" w:type="dxa"/>
          </w:tcPr>
          <w:p w14:paraId="47F9C19D" w14:textId="77777777" w:rsidR="00C134BE" w:rsidRDefault="00C134BE" w:rsidP="00165FE5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3857D6C" w14:textId="77777777" w:rsidR="00C134BE" w:rsidRDefault="00C134BE" w:rsidP="00165FE5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3298CD3" w14:textId="77777777" w:rsidR="00C134BE" w:rsidRPr="00065CF8" w:rsidRDefault="00C134BE" w:rsidP="00065CF8">
            <w:pPr>
              <w:pStyle w:val="TableText"/>
              <w:jc w:val="both"/>
            </w:pPr>
          </w:p>
        </w:tc>
        <w:tc>
          <w:tcPr>
            <w:tcW w:w="5895" w:type="dxa"/>
          </w:tcPr>
          <w:p w14:paraId="2C0C4668" w14:textId="122AC3ED" w:rsidR="00C134BE" w:rsidRPr="00065CF8" w:rsidRDefault="00C134BE" w:rsidP="00065CF8">
            <w:pPr>
              <w:pStyle w:val="TableBlock"/>
            </w:pPr>
            <w:r w:rsidRPr="00065CF8">
              <w:rPr>
                <w:rFonts w:hint="cs"/>
                <w:rtl/>
              </w:rPr>
              <w:t>(1)</w:t>
            </w:r>
            <w:r w:rsidRPr="00065CF8">
              <w:rPr>
                <w:rtl/>
              </w:rPr>
              <w:tab/>
            </w:r>
            <w:r w:rsidRPr="00065CF8">
              <w:rPr>
                <w:rFonts w:hint="cs"/>
                <w:rtl/>
              </w:rPr>
              <w:t>במקום "12 חודשים" יבוא "</w:t>
            </w:r>
            <w:r w:rsidR="00675308" w:rsidRPr="00065CF8">
              <w:rPr>
                <w:rFonts w:hint="cs"/>
                <w:rtl/>
              </w:rPr>
              <w:t xml:space="preserve">שבע </w:t>
            </w:r>
            <w:r w:rsidRPr="00065CF8">
              <w:rPr>
                <w:rFonts w:hint="cs"/>
                <w:rtl/>
              </w:rPr>
              <w:t>שנים";</w:t>
            </w:r>
          </w:p>
        </w:tc>
      </w:tr>
      <w:tr w:rsidR="00C134BE" w14:paraId="1923D792" w14:textId="77777777" w:rsidTr="00065CF8">
        <w:trPr>
          <w:cantSplit/>
        </w:trPr>
        <w:tc>
          <w:tcPr>
            <w:tcW w:w="1871" w:type="dxa"/>
          </w:tcPr>
          <w:p w14:paraId="0A30265D" w14:textId="77777777" w:rsidR="00C134BE" w:rsidRDefault="00C134BE" w:rsidP="00165FE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43C6C03" w14:textId="77777777" w:rsidR="00C134BE" w:rsidRDefault="00C134BE" w:rsidP="00165FE5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D08B210" w14:textId="77777777" w:rsidR="00C134BE" w:rsidRDefault="00C134BE" w:rsidP="00165FE5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1A3FD22" w14:textId="77777777" w:rsidR="00C134BE" w:rsidRPr="00065CF8" w:rsidRDefault="00C134BE" w:rsidP="00065CF8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5" w:type="dxa"/>
          </w:tcPr>
          <w:p w14:paraId="6B32DBB6" w14:textId="0A3CB88B" w:rsidR="00C134BE" w:rsidRPr="00065CF8" w:rsidRDefault="00C134BE" w:rsidP="00065CF8">
            <w:pPr>
              <w:pStyle w:val="TableBlock"/>
              <w:rPr>
                <w:rtl/>
              </w:rPr>
            </w:pPr>
            <w:r w:rsidRPr="00065CF8">
              <w:rPr>
                <w:rFonts w:hint="cs"/>
                <w:rtl/>
              </w:rPr>
              <w:t>(2)</w:t>
            </w:r>
            <w:r w:rsidRPr="00065CF8">
              <w:rPr>
                <w:rtl/>
              </w:rPr>
              <w:tab/>
            </w:r>
            <w:r w:rsidR="00D97C9A" w:rsidRPr="00065CF8">
              <w:rPr>
                <w:rFonts w:hint="cs"/>
                <w:rtl/>
              </w:rPr>
              <w:t>הסיפה</w:t>
            </w:r>
            <w:r w:rsidRPr="00065CF8">
              <w:rPr>
                <w:rFonts w:hint="cs"/>
                <w:rtl/>
              </w:rPr>
              <w:t xml:space="preserve"> החל במילים "היתה התביעה שהוגשה" </w:t>
            </w:r>
            <w:r w:rsidRPr="00065CF8">
              <w:rPr>
                <w:rFonts w:hint="eastAsia"/>
                <w:rtl/>
              </w:rPr>
              <w:t>–</w:t>
            </w:r>
            <w:r w:rsidRPr="00065CF8">
              <w:rPr>
                <w:rFonts w:hint="cs"/>
                <w:rtl/>
              </w:rPr>
              <w:t xml:space="preserve"> תימחק.</w:t>
            </w:r>
          </w:p>
        </w:tc>
      </w:tr>
      <w:tr w:rsidR="00C134BE" w14:paraId="4689587B" w14:textId="77777777" w:rsidTr="00065CF8">
        <w:trPr>
          <w:cantSplit/>
        </w:trPr>
        <w:tc>
          <w:tcPr>
            <w:tcW w:w="1871" w:type="dxa"/>
          </w:tcPr>
          <w:p w14:paraId="0F11B8A9" w14:textId="77777777" w:rsidR="00C134BE" w:rsidRDefault="00C134BE" w:rsidP="00165FE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5E5DCD9" w14:textId="77777777" w:rsidR="00C134BE" w:rsidRDefault="00C134BE" w:rsidP="00165FE5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E56462D" w14:textId="77777777" w:rsidR="00C134BE" w:rsidRDefault="00C134BE" w:rsidP="00165FE5">
            <w:pPr>
              <w:pStyle w:val="TableText"/>
              <w:jc w:val="both"/>
            </w:pPr>
          </w:p>
        </w:tc>
        <w:tc>
          <w:tcPr>
            <w:tcW w:w="6519" w:type="dxa"/>
            <w:gridSpan w:val="2"/>
          </w:tcPr>
          <w:p w14:paraId="5ECF01EA" w14:textId="77777777" w:rsidR="00C134BE" w:rsidRPr="00065CF8" w:rsidRDefault="00C134BE" w:rsidP="00065CF8">
            <w:pPr>
              <w:pStyle w:val="TableBlock"/>
              <w:rPr>
                <w:rtl/>
              </w:rPr>
            </w:pPr>
            <w:r w:rsidRPr="00065CF8">
              <w:rPr>
                <w:rFonts w:hint="cs"/>
                <w:rtl/>
              </w:rPr>
              <w:t>(ב)</w:t>
            </w:r>
            <w:r w:rsidRPr="00065CF8">
              <w:rPr>
                <w:rtl/>
              </w:rPr>
              <w:tab/>
            </w:r>
            <w:r w:rsidRPr="00065CF8">
              <w:rPr>
                <w:rFonts w:hint="cs"/>
                <w:rtl/>
              </w:rPr>
              <w:t xml:space="preserve">פסקה (2) </w:t>
            </w:r>
            <w:r w:rsidRPr="00065CF8">
              <w:rPr>
                <w:rFonts w:hint="eastAsia"/>
                <w:rtl/>
              </w:rPr>
              <w:t>–</w:t>
            </w:r>
            <w:r w:rsidRPr="00065CF8">
              <w:rPr>
                <w:rFonts w:hint="cs"/>
                <w:rtl/>
              </w:rPr>
              <w:t xml:space="preserve"> </w:t>
            </w:r>
            <w:r w:rsidRPr="00065CF8">
              <w:rPr>
                <w:rFonts w:hint="eastAsia"/>
                <w:rtl/>
              </w:rPr>
              <w:t>תימחק.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D39D867" w14:textId="4F3763F9" w:rsidR="00C134BE" w:rsidRDefault="00C134BE" w:rsidP="00C134BE">
      <w:pPr>
        <w:pStyle w:val="Hesber"/>
        <w:rPr>
          <w:rtl/>
        </w:rPr>
      </w:pPr>
      <w:r w:rsidRPr="007E1581">
        <w:rPr>
          <w:rFonts w:hint="cs"/>
          <w:rtl/>
        </w:rPr>
        <w:t>סעיף 296 לחוק הביטוח הלאומי [נוסח משלב], התשנ"</w:t>
      </w:r>
      <w:r w:rsidR="002F3EAC">
        <w:rPr>
          <w:rFonts w:hint="cs"/>
          <w:rtl/>
        </w:rPr>
        <w:t>ה–1995, קובע שהתקופה להגשת תביעה לגמלה</w:t>
      </w:r>
      <w:r w:rsidRPr="007E1581">
        <w:rPr>
          <w:rFonts w:hint="cs"/>
          <w:rtl/>
        </w:rPr>
        <w:t xml:space="preserve"> מה</w:t>
      </w:r>
      <w:r w:rsidR="002F3EAC">
        <w:rPr>
          <w:rFonts w:hint="cs"/>
          <w:rtl/>
        </w:rPr>
        <w:t>מוסד ל</w:t>
      </w:r>
      <w:r w:rsidRPr="007E1581">
        <w:rPr>
          <w:rFonts w:hint="cs"/>
          <w:rtl/>
        </w:rPr>
        <w:t xml:space="preserve">ביטוח הלאומי </w:t>
      </w:r>
      <w:r>
        <w:rPr>
          <w:rFonts w:hint="cs"/>
          <w:rtl/>
        </w:rPr>
        <w:t>היא מוגבלת וקצרה יחסית, ו</w:t>
      </w:r>
      <w:r w:rsidRPr="007E1581">
        <w:rPr>
          <w:rFonts w:hint="cs"/>
          <w:rtl/>
        </w:rPr>
        <w:t xml:space="preserve">עומדת על שנים עשר חודשים מהיום </w:t>
      </w:r>
      <w:r>
        <w:rPr>
          <w:rFonts w:hint="cs"/>
          <w:rtl/>
        </w:rPr>
        <w:t>ש</w:t>
      </w:r>
      <w:r w:rsidRPr="007E1581">
        <w:rPr>
          <w:rFonts w:hint="cs"/>
          <w:rtl/>
        </w:rPr>
        <w:t>בו נוצרה עילת התביעה וכי הגמלה תשולם בעד תקופה של שנים עשר החודשים שקדמו למועד הגשת התביעה, לכל היותר.</w:t>
      </w:r>
      <w:r>
        <w:rPr>
          <w:rFonts w:hint="cs"/>
          <w:rtl/>
        </w:rPr>
        <w:t xml:space="preserve"> זאת, בעוד שכאשר המבוטח הוא שחייב כסף למוסד לביטוח לאומי, רשאי המוסד לגבות את החוב בתוך תקופה של 7 שנים.</w:t>
      </w:r>
    </w:p>
    <w:p w14:paraId="2F2FD1E4" w14:textId="7628C832" w:rsidR="00C134BE" w:rsidRDefault="00C134BE" w:rsidP="008E6490">
      <w:pPr>
        <w:pStyle w:val="Hesber"/>
        <w:rPr>
          <w:rtl/>
        </w:rPr>
      </w:pPr>
      <w:r>
        <w:rPr>
          <w:rFonts w:hint="cs"/>
          <w:rtl/>
        </w:rPr>
        <w:t xml:space="preserve">מוצע, אם כן, להאריך את התקופה להגשת תביעה לגמלת כסף למוסד </w:t>
      </w:r>
      <w:r w:rsidR="002F3EAC">
        <w:rPr>
          <w:rFonts w:hint="cs"/>
          <w:rtl/>
        </w:rPr>
        <w:t>מ-12 חודשים לשבע</w:t>
      </w:r>
      <w:r w:rsidR="008E6490">
        <w:rPr>
          <w:rFonts w:hint="cs"/>
          <w:rtl/>
        </w:rPr>
        <w:t xml:space="preserve"> שנים מהיום שבו נוצרה עילת, וכן להאריך את התקופה שקדמה להגשת התביעה שבעדה תשולם גמלה, לשבע </w:t>
      </w:r>
      <w:r w:rsidR="008E6490">
        <w:rPr>
          <w:rFonts w:hint="cs"/>
          <w:rtl/>
        </w:rPr>
        <w:lastRenderedPageBreak/>
        <w:t>שנים.</w:t>
      </w:r>
    </w:p>
    <w:p w14:paraId="6B9B70B7" w14:textId="291ECA09" w:rsidR="00752AF6" w:rsidRDefault="00752AF6" w:rsidP="00C134BE">
      <w:pPr>
        <w:pStyle w:val="Hesber"/>
        <w:rPr>
          <w:rtl/>
        </w:rPr>
      </w:pPr>
      <w:r>
        <w:rPr>
          <w:rFonts w:hint="cs"/>
          <w:rtl/>
        </w:rPr>
        <w:t>הצעת חוק זהה הונחה על שולחן הכנסת העשרים על ידי</w:t>
      </w:r>
      <w:r w:rsidRPr="00752AF6">
        <w:rPr>
          <w:rFonts w:hint="cs"/>
          <w:rtl/>
        </w:rPr>
        <w:t xml:space="preserve"> </w:t>
      </w:r>
      <w:r>
        <w:rPr>
          <w:rFonts w:hint="cs"/>
          <w:rtl/>
        </w:rPr>
        <w:t>חבר הכנסת יגאל גואטה וקבוצת חברי הכנסת (פ/3087/20).</w:t>
      </w:r>
      <w:r>
        <w:t xml:space="preserve"> </w:t>
      </w:r>
      <w:r>
        <w:rPr>
          <w:rFonts w:hint="cs"/>
          <w:rtl/>
        </w:rPr>
        <w:t xml:space="preserve"> </w:t>
      </w:r>
    </w:p>
    <w:p w14:paraId="5893F603" w14:textId="38A92486" w:rsidR="00C134BE" w:rsidRDefault="00C134BE" w:rsidP="00752AF6">
      <w:pPr>
        <w:pStyle w:val="Hesber"/>
        <w:rPr>
          <w:rtl/>
        </w:rPr>
      </w:pPr>
      <w:r>
        <w:rPr>
          <w:rFonts w:hint="cs"/>
          <w:rtl/>
        </w:rPr>
        <w:t>הצעת חוק דומ</w:t>
      </w:r>
      <w:r w:rsidR="00973EDC">
        <w:rPr>
          <w:rFonts w:hint="cs"/>
          <w:rtl/>
        </w:rPr>
        <w:t>ה</w:t>
      </w:r>
      <w:r>
        <w:rPr>
          <w:rFonts w:hint="cs"/>
          <w:rtl/>
        </w:rPr>
        <w:t xml:space="preserve"> בעיקר</w:t>
      </w:r>
      <w:r w:rsidR="00973EDC">
        <w:rPr>
          <w:rFonts w:hint="cs"/>
          <w:rtl/>
        </w:rPr>
        <w:t>ה</w:t>
      </w:r>
      <w:r>
        <w:rPr>
          <w:rFonts w:hint="cs"/>
          <w:rtl/>
        </w:rPr>
        <w:t xml:space="preserve"> הונח</w:t>
      </w:r>
      <w:r w:rsidR="00973EDC">
        <w:rPr>
          <w:rFonts w:hint="cs"/>
          <w:rtl/>
        </w:rPr>
        <w:t>ה</w:t>
      </w:r>
      <w:r>
        <w:rPr>
          <w:rFonts w:hint="cs"/>
          <w:rtl/>
        </w:rPr>
        <w:t xml:space="preserve"> על שולחן הכנסת התשע-עשרה על ידי חבר הכנסת אחמד טיבי (</w:t>
      </w:r>
      <w:r>
        <w:rPr>
          <w:sz w:val="26"/>
          <w:rtl/>
        </w:rPr>
        <w:t>פ/892/19</w:t>
      </w:r>
      <w:r>
        <w:rPr>
          <w:rFonts w:hint="cs"/>
          <w:rtl/>
        </w:rPr>
        <w:t>)</w:t>
      </w:r>
      <w:r w:rsidR="00973EDC">
        <w:rPr>
          <w:rFonts w:hint="cs"/>
          <w:rtl/>
        </w:rPr>
        <w:t>.</w:t>
      </w:r>
    </w:p>
    <w:p w14:paraId="21E6B8CD" w14:textId="77777777" w:rsidR="00065CF8" w:rsidRDefault="00065CF8" w:rsidP="00752AF6">
      <w:pPr>
        <w:pStyle w:val="Hesber"/>
        <w:rPr>
          <w:rtl/>
        </w:rPr>
      </w:pPr>
    </w:p>
    <w:p w14:paraId="7C0FAA33" w14:textId="77777777" w:rsidR="00065CF8" w:rsidRDefault="00065CF8" w:rsidP="00065CF8">
      <w:pPr>
        <w:pStyle w:val="Hesber"/>
        <w:ind w:firstLine="0"/>
      </w:pPr>
      <w:r>
        <w:rPr>
          <w:rFonts w:hint="cs"/>
          <w:rtl/>
        </w:rPr>
        <w:t>---------------------------------</w:t>
      </w:r>
    </w:p>
    <w:p w14:paraId="00016BE8" w14:textId="77777777" w:rsidR="00065CF8" w:rsidRDefault="00065CF8" w:rsidP="00065CF8">
      <w:pPr>
        <w:pStyle w:val="Hesber"/>
        <w:ind w:firstLine="0"/>
        <w:rPr>
          <w:rFonts w:hint="cs"/>
          <w:rtl/>
        </w:rPr>
      </w:pPr>
      <w:r>
        <w:rPr>
          <w:rFonts w:hint="cs"/>
          <w:rtl/>
        </w:rPr>
        <w:t>הוגשה ליו"ר הכנסת והסגנים</w:t>
      </w:r>
    </w:p>
    <w:p w14:paraId="51954838" w14:textId="77777777" w:rsidR="00065CF8" w:rsidRDefault="00065CF8" w:rsidP="00065CF8">
      <w:pPr>
        <w:pStyle w:val="Hesber"/>
        <w:ind w:firstLine="0"/>
        <w:rPr>
          <w:rFonts w:hint="cs"/>
          <w:rtl/>
        </w:rPr>
      </w:pPr>
      <w:r>
        <w:rPr>
          <w:rFonts w:hint="cs"/>
          <w:rtl/>
        </w:rPr>
        <w:t>והונחה על שולחן הכנסת ביום</w:t>
      </w:r>
    </w:p>
    <w:p w14:paraId="67007B3D" w14:textId="77777777" w:rsidR="00065CF8" w:rsidRDefault="00065CF8" w:rsidP="00065CF8">
      <w:pPr>
        <w:pStyle w:val="Hesber"/>
        <w:ind w:firstLine="0"/>
        <w:rPr>
          <w:rFonts w:hint="cs"/>
          <w:color w:val="000000"/>
          <w:rtl/>
          <w:lang w:eastAsia="ja-JP"/>
        </w:rPr>
      </w:pPr>
      <w:r>
        <w:rPr>
          <w:rFonts w:hint="cs"/>
          <w:rtl/>
        </w:rPr>
        <w:t>י"א בכסלו התש"ף – 9.12.19</w:t>
      </w:r>
      <w:bookmarkStart w:id="8" w:name="_GoBack"/>
      <w:bookmarkEnd w:id="8"/>
    </w:p>
    <w:p w14:paraId="2B4C4EF7" w14:textId="77777777" w:rsidR="00065CF8" w:rsidRPr="00752AF6" w:rsidRDefault="00065CF8" w:rsidP="00752AF6">
      <w:pPr>
        <w:pStyle w:val="Hesber"/>
        <w:rPr>
          <w:rtl/>
        </w:rPr>
      </w:pPr>
    </w:p>
    <w:p w14:paraId="3F51B74B" w14:textId="77777777" w:rsidR="00C134BE" w:rsidRDefault="00C134BE" w:rsidP="00C134BE">
      <w:pPr>
        <w:pStyle w:val="Hesber"/>
        <w:ind w:firstLine="0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065CF8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65CF8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065CF8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E1444CC" w14:textId="77777777" w:rsidR="00C134BE" w:rsidRDefault="00C134BE" w:rsidP="00C134BE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התשנ"ה,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83A"/>
    <w:rsid w:val="00063A3E"/>
    <w:rsid w:val="00065CF8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2F3EAC"/>
    <w:rsid w:val="003232A2"/>
    <w:rsid w:val="00325C14"/>
    <w:rsid w:val="00350840"/>
    <w:rsid w:val="0036422C"/>
    <w:rsid w:val="003710F6"/>
    <w:rsid w:val="00386E88"/>
    <w:rsid w:val="00396585"/>
    <w:rsid w:val="003A3B8A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F5D17"/>
    <w:rsid w:val="0062674B"/>
    <w:rsid w:val="006363B2"/>
    <w:rsid w:val="00644940"/>
    <w:rsid w:val="00675308"/>
    <w:rsid w:val="006818A9"/>
    <w:rsid w:val="006A2D81"/>
    <w:rsid w:val="006C1D0D"/>
    <w:rsid w:val="0070601E"/>
    <w:rsid w:val="00712C72"/>
    <w:rsid w:val="00735FE9"/>
    <w:rsid w:val="00752AF6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490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3EDC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134BE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97C9A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0D7CC8C-5A65-423C-8FDC-3228C02E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F8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5CF8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65CF8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65CF8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65CF8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65CF8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065CF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65CF8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065CF8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65CF8"/>
    <w:rPr>
      <w:sz w:val="36"/>
      <w:szCs w:val="52"/>
    </w:rPr>
  </w:style>
  <w:style w:type="paragraph" w:customStyle="1" w:styleId="Cover3-Haknesset">
    <w:name w:val="Cover 3-Haknesset"/>
    <w:basedOn w:val="Cover1-Reshumot"/>
    <w:rsid w:val="00065CF8"/>
    <w:rPr>
      <w:b/>
      <w:bCs/>
      <w:spacing w:val="60"/>
    </w:rPr>
  </w:style>
  <w:style w:type="paragraph" w:customStyle="1" w:styleId="Cover4-Date">
    <w:name w:val="Cover 4-Date"/>
    <w:basedOn w:val="a"/>
    <w:rsid w:val="00065CF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065CF8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065CF8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65CF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065CF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065CF8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065CF8"/>
    <w:pPr>
      <w:outlineLvl w:val="2"/>
    </w:pPr>
  </w:style>
  <w:style w:type="paragraph" w:customStyle="1" w:styleId="TableBlock">
    <w:name w:val="Table Block"/>
    <w:basedOn w:val="TableText"/>
    <w:rsid w:val="00065CF8"/>
    <w:pPr>
      <w:jc w:val="both"/>
    </w:pPr>
  </w:style>
  <w:style w:type="paragraph" w:customStyle="1" w:styleId="TableHead">
    <w:name w:val="Table Head"/>
    <w:basedOn w:val="TableText"/>
    <w:rsid w:val="00065CF8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065CF8"/>
    <w:pPr>
      <w:outlineLvl w:val="9"/>
    </w:pPr>
  </w:style>
  <w:style w:type="paragraph" w:customStyle="1" w:styleId="Hesber">
    <w:name w:val="Hesber"/>
    <w:basedOn w:val="a"/>
    <w:rsid w:val="00065CF8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065CF8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065CF8"/>
    <w:rPr>
      <w:vertAlign w:val="superscript"/>
    </w:rPr>
  </w:style>
  <w:style w:type="paragraph" w:customStyle="1" w:styleId="HesberHeading">
    <w:name w:val="Hesber Heading"/>
    <w:basedOn w:val="Hesber"/>
    <w:rsid w:val="00065CF8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65CF8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065CF8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065CF8"/>
    <w:rPr>
      <w:vertAlign w:val="superscript"/>
    </w:rPr>
  </w:style>
  <w:style w:type="paragraph" w:customStyle="1" w:styleId="TableBlockOutdent">
    <w:name w:val="Table BlockOutdent"/>
    <w:basedOn w:val="TableBlock"/>
    <w:rsid w:val="00065CF8"/>
    <w:pPr>
      <w:ind w:left="624" w:hanging="624"/>
    </w:pPr>
  </w:style>
  <w:style w:type="paragraph" w:styleId="a7">
    <w:name w:val="header"/>
    <w:basedOn w:val="a"/>
    <w:rsid w:val="00065CF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65CF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065CF8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065CF8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065C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065CF8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065CF8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065CF8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65CF8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65CF8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065CF8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65CF8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65CF8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065CF8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065CF8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65CF8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65CF8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65CF8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65CF8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65CF8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65CF8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065CF8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65CF8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65CF8"/>
    <w:rPr>
      <w:rFonts w:eastAsia="Times New Roman"/>
    </w:rPr>
  </w:style>
  <w:style w:type="paragraph" w:styleId="ae">
    <w:name w:val="List Paragraph"/>
    <w:basedOn w:val="a"/>
    <w:uiPriority w:val="34"/>
    <w:qFormat/>
    <w:rsid w:val="00065CF8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06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65C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065C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065CF8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065CF8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BCE5C9-A250-456B-A89C-EFA799066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CB80C0-82B5-4FB5-8235-02369ED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15</cp:revision>
  <cp:lastPrinted>2019-11-18T13:38:00Z</cp:lastPrinted>
  <dcterms:created xsi:type="dcterms:W3CDTF">2015-04-20T09:58:00Z</dcterms:created>
  <dcterms:modified xsi:type="dcterms:W3CDTF">2019-12-05T09:27:00Z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2083818</vt:r8>
  </property>
</Properties>
</file>