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2083227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פ/1359/22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ביטוח בריאות ממלכתי (תיקון – החזר דמי נסיעה באמבולנס למבוטח שהגיע לגיל פרישה), התש"ף–2019</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538"/>
        <w:gridCol w:w="710"/>
        <w:gridCol w:w="6522"/>
      </w:tblGrid>
      <w:tr w:rsidR="004233D1" w14:paraId="280C6129" w14:textId="77777777" w:rsidTr="00E52212">
        <w:trPr>
          <w:cantSplit/>
          <w:trHeight w:val="60"/>
        </w:trPr>
        <w:tc>
          <w:tcPr>
            <w:tcW w:w="1871" w:type="dxa"/>
          </w:tcPr>
          <w:p w14:paraId="39C37766" w14:textId="77777777" w:rsidR="004233D1" w:rsidRPr="00087728" w:rsidRDefault="004233D1" w:rsidP="00E52212">
            <w:pPr>
              <w:pStyle w:val="TableSideHeading"/>
              <w:ind w:right="0"/>
            </w:pPr>
            <w:r w:rsidRPr="00087728">
              <w:rPr>
                <w:rtl/>
              </w:rPr>
              <w:t>תיקון התוספת השנייה</w:t>
            </w:r>
          </w:p>
        </w:tc>
        <w:tc>
          <w:tcPr>
            <w:tcW w:w="538" w:type="dxa"/>
          </w:tcPr>
          <w:p w14:paraId="1AC85AD3" w14:textId="77777777" w:rsidR="004233D1" w:rsidRPr="00087728" w:rsidRDefault="004233D1" w:rsidP="00E52212">
            <w:pPr>
              <w:pStyle w:val="TableText"/>
              <w:ind w:right="0"/>
              <w:jc w:val="both"/>
            </w:pPr>
            <w:r w:rsidRPr="00087728">
              <w:rPr>
                <w:rtl/>
              </w:rPr>
              <w:t>1.</w:t>
            </w:r>
          </w:p>
        </w:tc>
        <w:tc>
          <w:tcPr>
            <w:tcW w:w="7232" w:type="dxa"/>
            <w:gridSpan w:val="2"/>
          </w:tcPr>
          <w:p w14:paraId="1351112B" w14:textId="77777777" w:rsidR="004233D1" w:rsidRPr="00E52212" w:rsidRDefault="004233D1" w:rsidP="00E52212">
            <w:pPr>
              <w:pStyle w:val="TableBlock"/>
            </w:pPr>
            <w:r w:rsidRPr="00087728">
              <w:rPr>
                <w:rtl/>
              </w:rPr>
              <w:t>בחוק ביטוח בריאות ממלכתי, התשנ"ד–1994</w:t>
            </w:r>
            <w:r w:rsidRPr="00E52212">
              <w:rPr>
                <w:vertAlign w:val="superscript"/>
                <w:rtl/>
              </w:rPr>
              <w:footnoteReference w:id="2"/>
            </w:r>
            <w:r w:rsidRPr="00087728">
              <w:rPr>
                <w:rtl/>
              </w:rPr>
              <w:t>, בתוספת השנייה –</w:t>
            </w:r>
          </w:p>
        </w:tc>
      </w:tr>
      <w:tr w:rsidR="004233D1" w14:paraId="235A3D05" w14:textId="77777777" w:rsidTr="00E52212">
        <w:trPr>
          <w:cantSplit/>
          <w:trHeight w:val="60"/>
        </w:trPr>
        <w:tc>
          <w:tcPr>
            <w:tcW w:w="1871" w:type="dxa"/>
          </w:tcPr>
          <w:p w14:paraId="7DF820C2" w14:textId="77777777" w:rsidR="004233D1" w:rsidRPr="00087728" w:rsidRDefault="004233D1" w:rsidP="00E52212">
            <w:pPr>
              <w:pStyle w:val="TableSideHeading"/>
            </w:pPr>
          </w:p>
        </w:tc>
        <w:tc>
          <w:tcPr>
            <w:tcW w:w="538" w:type="dxa"/>
          </w:tcPr>
          <w:p w14:paraId="330D9B87" w14:textId="77777777" w:rsidR="004233D1" w:rsidRPr="00087728" w:rsidRDefault="004233D1" w:rsidP="00E52212">
            <w:pPr>
              <w:pStyle w:val="TableText"/>
            </w:pPr>
          </w:p>
        </w:tc>
        <w:tc>
          <w:tcPr>
            <w:tcW w:w="7232" w:type="dxa"/>
            <w:gridSpan w:val="2"/>
          </w:tcPr>
          <w:p w14:paraId="2C1456FF" w14:textId="77777777" w:rsidR="004233D1" w:rsidRPr="00E52212" w:rsidRDefault="004233D1" w:rsidP="00E52212">
            <w:pPr>
              <w:pStyle w:val="TableBlock"/>
            </w:pPr>
            <w:r w:rsidRPr="00E52212">
              <w:rPr>
                <w:rtl/>
              </w:rPr>
              <w:t xml:space="preserve">(1) </w:t>
            </w:r>
            <w:r w:rsidRPr="00E52212">
              <w:rPr>
                <w:rtl/>
              </w:rPr>
              <w:tab/>
              <w:t xml:space="preserve"> בחלק שכותרתו "שירותי הבריאות של קופת החולים של ההסתדרות  הכללית של העובדים בארץ ישראל לחבריה במועד הקובע (פירוט)", בפרט 28 –</w:t>
            </w:r>
          </w:p>
        </w:tc>
      </w:tr>
      <w:tr w:rsidR="004233D1" w14:paraId="55714EE6" w14:textId="77777777" w:rsidTr="00E52212">
        <w:trPr>
          <w:cantSplit/>
          <w:trHeight w:val="60"/>
        </w:trPr>
        <w:tc>
          <w:tcPr>
            <w:tcW w:w="1871" w:type="dxa"/>
          </w:tcPr>
          <w:p w14:paraId="57E3AE20" w14:textId="77777777" w:rsidR="004233D1" w:rsidRPr="00087728" w:rsidRDefault="004233D1" w:rsidP="00E52212">
            <w:pPr>
              <w:pStyle w:val="TableSideHeading"/>
            </w:pPr>
          </w:p>
        </w:tc>
        <w:tc>
          <w:tcPr>
            <w:tcW w:w="538" w:type="dxa"/>
          </w:tcPr>
          <w:p w14:paraId="549BDC23" w14:textId="77777777" w:rsidR="004233D1" w:rsidRPr="00087728" w:rsidRDefault="004233D1" w:rsidP="00E52212">
            <w:pPr>
              <w:pStyle w:val="TableText"/>
            </w:pPr>
          </w:p>
        </w:tc>
        <w:tc>
          <w:tcPr>
            <w:tcW w:w="710" w:type="dxa"/>
          </w:tcPr>
          <w:p w14:paraId="7A5914BC" w14:textId="77777777" w:rsidR="004233D1" w:rsidRDefault="004233D1" w:rsidP="00B5568F">
            <w:pPr>
              <w:pStyle w:val="TableText"/>
            </w:pPr>
          </w:p>
        </w:tc>
        <w:tc>
          <w:tcPr>
            <w:tcW w:w="6522" w:type="dxa"/>
          </w:tcPr>
          <w:p w14:paraId="467D7153" w14:textId="595B9B3D" w:rsidR="004233D1" w:rsidRPr="00087728" w:rsidRDefault="004233D1" w:rsidP="00E52212">
            <w:pPr>
              <w:pStyle w:val="TableBlock"/>
            </w:pPr>
            <w:r w:rsidRPr="00E52212">
              <w:rPr>
                <w:rtl/>
              </w:rPr>
              <w:t xml:space="preserve">(א)  </w:t>
            </w:r>
            <w:r w:rsidRPr="00E52212">
              <w:rPr>
                <w:rtl/>
              </w:rPr>
              <w:tab/>
              <w:t xml:space="preserve">בפסקה (2), </w:t>
            </w:r>
            <w:r w:rsidRPr="00E52212">
              <w:rPr>
                <w:rFonts w:hint="eastAsia"/>
                <w:rtl/>
              </w:rPr>
              <w:t>בסופה</w:t>
            </w:r>
            <w:r w:rsidRPr="00E52212">
              <w:rPr>
                <w:rtl/>
              </w:rPr>
              <w:t xml:space="preserve"> </w:t>
            </w:r>
            <w:r w:rsidRPr="00E52212">
              <w:rPr>
                <w:rFonts w:hint="eastAsia"/>
                <w:rtl/>
              </w:rPr>
              <w:t>יבוא</w:t>
            </w:r>
            <w:r w:rsidRPr="00E52212">
              <w:rPr>
                <w:rtl/>
              </w:rPr>
              <w:t xml:space="preserve"> "ואם הוא מבוטח שהגיע לגיל פרישה ולא אושפז –</w:t>
            </w:r>
            <w:r w:rsidR="001D739C" w:rsidRPr="00E52212">
              <w:rPr>
                <w:rtl/>
              </w:rPr>
              <w:t xml:space="preserve"> יקבל החזר של</w:t>
            </w:r>
            <w:r w:rsidRPr="00E52212">
              <w:rPr>
                <w:rtl/>
              </w:rPr>
              <w:t xml:space="preserve"> 90% מן ההוצאה;";</w:t>
            </w:r>
          </w:p>
        </w:tc>
      </w:tr>
      <w:tr w:rsidR="004233D1" w14:paraId="34F51605" w14:textId="77777777" w:rsidTr="00E52212">
        <w:trPr>
          <w:cantSplit/>
          <w:trHeight w:val="60"/>
        </w:trPr>
        <w:tc>
          <w:tcPr>
            <w:tcW w:w="1871" w:type="dxa"/>
          </w:tcPr>
          <w:p w14:paraId="76ECADE9" w14:textId="77777777" w:rsidR="004233D1" w:rsidRPr="00087728" w:rsidRDefault="004233D1" w:rsidP="00E52212">
            <w:pPr>
              <w:pStyle w:val="TableSideHeading"/>
              <w:rPr>
                <w:rtl/>
              </w:rPr>
            </w:pPr>
          </w:p>
        </w:tc>
        <w:tc>
          <w:tcPr>
            <w:tcW w:w="538" w:type="dxa"/>
          </w:tcPr>
          <w:p w14:paraId="70D8B41C" w14:textId="77777777" w:rsidR="004233D1" w:rsidRPr="00087728" w:rsidRDefault="004233D1" w:rsidP="00E52212">
            <w:pPr>
              <w:pStyle w:val="TableText"/>
            </w:pPr>
          </w:p>
        </w:tc>
        <w:tc>
          <w:tcPr>
            <w:tcW w:w="710" w:type="dxa"/>
          </w:tcPr>
          <w:p w14:paraId="448288BD" w14:textId="77777777" w:rsidR="004233D1" w:rsidRDefault="004233D1" w:rsidP="00B5568F">
            <w:pPr>
              <w:pStyle w:val="TableText"/>
            </w:pPr>
          </w:p>
        </w:tc>
        <w:tc>
          <w:tcPr>
            <w:tcW w:w="6522" w:type="dxa"/>
          </w:tcPr>
          <w:p w14:paraId="5EC48A28" w14:textId="77777777" w:rsidR="004233D1" w:rsidRPr="00E52212" w:rsidRDefault="004233D1" w:rsidP="00E52212">
            <w:pPr>
              <w:pStyle w:val="TableBlock"/>
              <w:rPr>
                <w:rtl/>
              </w:rPr>
            </w:pPr>
            <w:r w:rsidRPr="00E52212">
              <w:rPr>
                <w:rtl/>
              </w:rPr>
              <w:t xml:space="preserve">(ב)  </w:t>
            </w:r>
            <w:r w:rsidRPr="00E52212">
              <w:rPr>
                <w:rtl/>
              </w:rPr>
              <w:tab/>
              <w:t>בפסקה (3), בסופה יבוא "(אם לא אושפז והוא מבוטח שהגיע לגיל פרישה – יקבל החזר של 90% מן ההוצאה).";</w:t>
            </w:r>
          </w:p>
        </w:tc>
      </w:tr>
      <w:tr w:rsidR="004233D1" w14:paraId="72FDF36D" w14:textId="77777777" w:rsidTr="00E52212">
        <w:trPr>
          <w:cantSplit/>
          <w:trHeight w:val="60"/>
        </w:trPr>
        <w:tc>
          <w:tcPr>
            <w:tcW w:w="1871" w:type="dxa"/>
          </w:tcPr>
          <w:p w14:paraId="395A9077" w14:textId="77777777" w:rsidR="004233D1" w:rsidRPr="00087728" w:rsidRDefault="004233D1" w:rsidP="00E52212">
            <w:pPr>
              <w:pStyle w:val="TableSideHeading"/>
              <w:rPr>
                <w:rtl/>
              </w:rPr>
            </w:pPr>
          </w:p>
        </w:tc>
        <w:tc>
          <w:tcPr>
            <w:tcW w:w="538" w:type="dxa"/>
          </w:tcPr>
          <w:p w14:paraId="6264E61E" w14:textId="77777777" w:rsidR="004233D1" w:rsidRPr="00087728" w:rsidRDefault="004233D1" w:rsidP="00E52212">
            <w:pPr>
              <w:pStyle w:val="TableText"/>
            </w:pPr>
          </w:p>
        </w:tc>
        <w:tc>
          <w:tcPr>
            <w:tcW w:w="710" w:type="dxa"/>
          </w:tcPr>
          <w:p w14:paraId="53DCF247" w14:textId="77777777" w:rsidR="004233D1" w:rsidRDefault="004233D1" w:rsidP="00B5568F">
            <w:pPr>
              <w:pStyle w:val="TableText"/>
            </w:pPr>
          </w:p>
        </w:tc>
        <w:tc>
          <w:tcPr>
            <w:tcW w:w="6522" w:type="dxa"/>
          </w:tcPr>
          <w:p w14:paraId="5E475E6A" w14:textId="77777777" w:rsidR="004233D1" w:rsidRPr="00E52212" w:rsidRDefault="004233D1" w:rsidP="00E52212">
            <w:pPr>
              <w:pStyle w:val="TableBlock"/>
              <w:rPr>
                <w:rtl/>
              </w:rPr>
            </w:pPr>
            <w:r w:rsidRPr="00E52212">
              <w:rPr>
                <w:rtl/>
              </w:rPr>
              <w:t xml:space="preserve">(ג)  </w:t>
            </w:r>
            <w:r w:rsidRPr="00E52212">
              <w:rPr>
                <w:rtl/>
              </w:rPr>
              <w:tab/>
              <w:t>בסופו יבוא "בפרט זה, "גיל פרישה" – כמשמעותו בחוק גיל פרישה, התשס"ד–2004</w:t>
            </w:r>
            <w:r w:rsidRPr="00E52212">
              <w:rPr>
                <w:vertAlign w:val="superscript"/>
                <w:rtl/>
              </w:rPr>
              <w:footnoteReference w:id="3"/>
            </w:r>
            <w:r w:rsidRPr="00E52212">
              <w:rPr>
                <w:rtl/>
              </w:rPr>
              <w:t>.";</w:t>
            </w:r>
          </w:p>
        </w:tc>
      </w:tr>
      <w:tr w:rsidR="004233D1" w14:paraId="3B188C45" w14:textId="77777777" w:rsidTr="00E52212">
        <w:trPr>
          <w:cantSplit/>
          <w:trHeight w:val="60"/>
        </w:trPr>
        <w:tc>
          <w:tcPr>
            <w:tcW w:w="1871" w:type="dxa"/>
          </w:tcPr>
          <w:p w14:paraId="1370A485" w14:textId="77777777" w:rsidR="004233D1" w:rsidRPr="00087728" w:rsidRDefault="004233D1" w:rsidP="00E52212">
            <w:pPr>
              <w:pStyle w:val="TableSideHeading"/>
            </w:pPr>
          </w:p>
        </w:tc>
        <w:tc>
          <w:tcPr>
            <w:tcW w:w="538" w:type="dxa"/>
          </w:tcPr>
          <w:p w14:paraId="636448F9" w14:textId="77777777" w:rsidR="004233D1" w:rsidRPr="00087728" w:rsidRDefault="004233D1" w:rsidP="00E52212">
            <w:pPr>
              <w:pStyle w:val="TableText"/>
            </w:pPr>
          </w:p>
        </w:tc>
        <w:tc>
          <w:tcPr>
            <w:tcW w:w="7232" w:type="dxa"/>
            <w:gridSpan w:val="2"/>
          </w:tcPr>
          <w:p w14:paraId="19505D50" w14:textId="77777777" w:rsidR="004233D1" w:rsidRPr="00087728" w:rsidRDefault="004233D1" w:rsidP="00E52212">
            <w:pPr>
              <w:pStyle w:val="TableBlock"/>
            </w:pPr>
            <w:r w:rsidRPr="00E52212">
              <w:rPr>
                <w:rtl/>
              </w:rPr>
              <w:t xml:space="preserve">(2)  </w:t>
            </w:r>
            <w:r w:rsidRPr="00E52212">
              <w:rPr>
                <w:rtl/>
              </w:rPr>
              <w:tab/>
              <w:t>בחלק שכותרתו "שירותים בהשתתפות כספית עצמית של המבוטח", בפרט 3 –</w:t>
            </w:r>
          </w:p>
        </w:tc>
      </w:tr>
      <w:tr w:rsidR="004233D1" w14:paraId="65EF2872" w14:textId="77777777" w:rsidTr="00E52212">
        <w:trPr>
          <w:cantSplit/>
          <w:trHeight w:val="60"/>
        </w:trPr>
        <w:tc>
          <w:tcPr>
            <w:tcW w:w="1871" w:type="dxa"/>
          </w:tcPr>
          <w:p w14:paraId="37CA1479" w14:textId="77777777" w:rsidR="004233D1" w:rsidRPr="00087728" w:rsidRDefault="004233D1" w:rsidP="00E52212">
            <w:pPr>
              <w:pStyle w:val="TableSideHeading"/>
            </w:pPr>
          </w:p>
        </w:tc>
        <w:tc>
          <w:tcPr>
            <w:tcW w:w="538" w:type="dxa"/>
          </w:tcPr>
          <w:p w14:paraId="5E8044E4" w14:textId="77777777" w:rsidR="004233D1" w:rsidRPr="00087728" w:rsidRDefault="004233D1" w:rsidP="00E52212">
            <w:pPr>
              <w:pStyle w:val="TableText"/>
            </w:pPr>
          </w:p>
        </w:tc>
        <w:tc>
          <w:tcPr>
            <w:tcW w:w="710" w:type="dxa"/>
          </w:tcPr>
          <w:p w14:paraId="79DFBDFC" w14:textId="77777777" w:rsidR="004233D1" w:rsidRDefault="004233D1" w:rsidP="00B5568F">
            <w:pPr>
              <w:pStyle w:val="TableText"/>
            </w:pPr>
          </w:p>
        </w:tc>
        <w:tc>
          <w:tcPr>
            <w:tcW w:w="6522" w:type="dxa"/>
          </w:tcPr>
          <w:p w14:paraId="1788609D" w14:textId="77777777" w:rsidR="004233D1" w:rsidRPr="00087728" w:rsidRDefault="004233D1" w:rsidP="00E52212">
            <w:pPr>
              <w:pStyle w:val="TableBlock"/>
            </w:pPr>
            <w:r w:rsidRPr="00E52212">
              <w:rPr>
                <w:rtl/>
              </w:rPr>
              <w:t xml:space="preserve">(א)  </w:t>
            </w:r>
            <w:r w:rsidRPr="00E52212">
              <w:rPr>
                <w:rtl/>
              </w:rPr>
              <w:tab/>
              <w:t>בפסקה (ב), בסופה יבוא "</w:t>
            </w:r>
            <w:r w:rsidRPr="00E52212">
              <w:rPr>
                <w:rFonts w:hint="eastAsia"/>
                <w:rtl/>
              </w:rPr>
              <w:t>ו</w:t>
            </w:r>
            <w:r w:rsidRPr="00E52212">
              <w:rPr>
                <w:rtl/>
              </w:rPr>
              <w:t xml:space="preserve">אם הוא מבוטח שהגיע לגיל פרישה ולא אושפז – </w:t>
            </w:r>
            <w:r w:rsidRPr="00E52212">
              <w:rPr>
                <w:rFonts w:hint="eastAsia"/>
                <w:rtl/>
              </w:rPr>
              <w:t>יקבל</w:t>
            </w:r>
            <w:r w:rsidRPr="00E52212">
              <w:rPr>
                <w:rtl/>
              </w:rPr>
              <w:t xml:space="preserve"> </w:t>
            </w:r>
            <w:r w:rsidRPr="00E52212">
              <w:rPr>
                <w:rFonts w:hint="eastAsia"/>
                <w:rtl/>
              </w:rPr>
              <w:t>החזר</w:t>
            </w:r>
            <w:r w:rsidRPr="00E52212">
              <w:rPr>
                <w:rtl/>
              </w:rPr>
              <w:t xml:space="preserve"> </w:t>
            </w:r>
            <w:r w:rsidRPr="00E52212">
              <w:rPr>
                <w:rFonts w:hint="eastAsia"/>
                <w:rtl/>
              </w:rPr>
              <w:t>של</w:t>
            </w:r>
            <w:r w:rsidRPr="00E52212">
              <w:rPr>
                <w:rtl/>
              </w:rPr>
              <w:t xml:space="preserve"> 90% מן ההוצאה;";</w:t>
            </w:r>
          </w:p>
        </w:tc>
      </w:tr>
      <w:tr w:rsidR="004233D1" w14:paraId="358650E2" w14:textId="77777777" w:rsidTr="00E52212">
        <w:trPr>
          <w:cantSplit/>
          <w:trHeight w:val="60"/>
        </w:trPr>
        <w:tc>
          <w:tcPr>
            <w:tcW w:w="1871" w:type="dxa"/>
          </w:tcPr>
          <w:p w14:paraId="22EF8D36" w14:textId="77777777" w:rsidR="004233D1" w:rsidRDefault="004233D1" w:rsidP="00B5568F">
            <w:pPr>
              <w:pStyle w:val="TableSideHeading"/>
              <w:rPr>
                <w:rtl/>
              </w:rPr>
            </w:pPr>
          </w:p>
        </w:tc>
        <w:tc>
          <w:tcPr>
            <w:tcW w:w="538" w:type="dxa"/>
          </w:tcPr>
          <w:p w14:paraId="5B090464" w14:textId="77777777" w:rsidR="004233D1" w:rsidRPr="00087728" w:rsidRDefault="004233D1" w:rsidP="00E52212">
            <w:pPr>
              <w:pStyle w:val="TableText"/>
            </w:pPr>
          </w:p>
        </w:tc>
        <w:tc>
          <w:tcPr>
            <w:tcW w:w="710" w:type="dxa"/>
          </w:tcPr>
          <w:p w14:paraId="03FA5DE1" w14:textId="77777777" w:rsidR="004233D1" w:rsidRDefault="004233D1" w:rsidP="00B5568F">
            <w:pPr>
              <w:pStyle w:val="TableText"/>
            </w:pPr>
          </w:p>
        </w:tc>
        <w:tc>
          <w:tcPr>
            <w:tcW w:w="6522" w:type="dxa"/>
          </w:tcPr>
          <w:p w14:paraId="36F02348" w14:textId="77777777" w:rsidR="004233D1" w:rsidRPr="00E52212" w:rsidRDefault="004233D1" w:rsidP="00E52212">
            <w:pPr>
              <w:pStyle w:val="TableBlock"/>
              <w:rPr>
                <w:rtl/>
              </w:rPr>
            </w:pPr>
            <w:r w:rsidRPr="00E52212">
              <w:rPr>
                <w:rtl/>
              </w:rPr>
              <w:t xml:space="preserve">(ב)  </w:t>
            </w:r>
            <w:r w:rsidRPr="00E52212">
              <w:rPr>
                <w:rtl/>
              </w:rPr>
              <w:tab/>
              <w:t>בפסקה (ג), בסופה יבוא "למעט מבוטח שהגיע לגיל פרישה, שיה</w:t>
            </w:r>
            <w:r w:rsidRPr="00E52212">
              <w:rPr>
                <w:rFonts w:hint="eastAsia"/>
                <w:rtl/>
              </w:rPr>
              <w:t>יה</w:t>
            </w:r>
            <w:r w:rsidRPr="00E52212">
              <w:rPr>
                <w:rtl/>
              </w:rPr>
              <w:t xml:space="preserve"> זכאי להחזר של 90% מן ההוצאה אם לא אושפז.";</w:t>
            </w:r>
          </w:p>
        </w:tc>
      </w:tr>
      <w:tr w:rsidR="004233D1" w14:paraId="5C83027D" w14:textId="77777777" w:rsidTr="00E52212">
        <w:trPr>
          <w:cantSplit/>
          <w:trHeight w:val="60"/>
        </w:trPr>
        <w:tc>
          <w:tcPr>
            <w:tcW w:w="1871" w:type="dxa"/>
          </w:tcPr>
          <w:p w14:paraId="7CD9ABC4" w14:textId="77777777" w:rsidR="004233D1" w:rsidRDefault="004233D1" w:rsidP="00B5568F">
            <w:pPr>
              <w:pStyle w:val="TableSideHeading"/>
              <w:rPr>
                <w:rtl/>
              </w:rPr>
            </w:pPr>
          </w:p>
        </w:tc>
        <w:tc>
          <w:tcPr>
            <w:tcW w:w="538" w:type="dxa"/>
          </w:tcPr>
          <w:p w14:paraId="459F6AD9" w14:textId="77777777" w:rsidR="004233D1" w:rsidRPr="00087728" w:rsidRDefault="004233D1" w:rsidP="00E52212">
            <w:pPr>
              <w:pStyle w:val="TableText"/>
            </w:pPr>
          </w:p>
        </w:tc>
        <w:tc>
          <w:tcPr>
            <w:tcW w:w="710" w:type="dxa"/>
          </w:tcPr>
          <w:p w14:paraId="0FD2EF5C" w14:textId="77777777" w:rsidR="004233D1" w:rsidRDefault="004233D1" w:rsidP="00B5568F">
            <w:pPr>
              <w:pStyle w:val="TableText"/>
            </w:pPr>
          </w:p>
        </w:tc>
        <w:tc>
          <w:tcPr>
            <w:tcW w:w="6522" w:type="dxa"/>
          </w:tcPr>
          <w:p w14:paraId="2A355ECF" w14:textId="77777777" w:rsidR="004233D1" w:rsidRPr="00E52212" w:rsidRDefault="004233D1" w:rsidP="00E52212">
            <w:pPr>
              <w:pStyle w:val="TableBlock"/>
              <w:rPr>
                <w:rtl/>
              </w:rPr>
            </w:pPr>
            <w:r w:rsidRPr="00E52212">
              <w:rPr>
                <w:rtl/>
              </w:rPr>
              <w:t xml:space="preserve">(ג)  </w:t>
            </w:r>
            <w:r w:rsidRPr="00E52212">
              <w:rPr>
                <w:rtl/>
              </w:rPr>
              <w:tab/>
              <w:t>בסופו יבוא "בפרט זה, "גיל פרישה" – כמשמעותו בחוק גיל פרישה, התשס"ד–2004."</w:t>
            </w:r>
          </w:p>
        </w:tc>
      </w:tr>
    </w:tbl>
    <w:p w14:paraId="707CE514" w14:textId="77777777" w:rsidR="00762DE9" w:rsidRDefault="00762DE9" w:rsidP="00762DE9">
      <w:pPr>
        <w:pStyle w:val="HeadDivreiHesber"/>
        <w:jc w:val="both"/>
        <w:rPr>
          <w:rtl/>
        </w:rPr>
      </w:pPr>
    </w:p>
    <w:p w14:paraId="7F6961CA" w14:textId="77777777" w:rsidR="002D1EE3" w:rsidRDefault="002D1EE3" w:rsidP="002D1EE3">
      <w:pPr>
        <w:pStyle w:val="HeadDivreiHesber"/>
        <w:rPr>
          <w:rtl/>
        </w:rPr>
      </w:pPr>
      <w:r w:rsidRPr="0027450A">
        <w:rPr>
          <w:rFonts w:hint="cs"/>
          <w:rtl/>
        </w:rPr>
        <w:t>דברי הסבר</w:t>
      </w:r>
    </w:p>
    <w:p w14:paraId="6DF5F0C9" w14:textId="7620A0B6" w:rsidR="000563F2" w:rsidRPr="00E52212" w:rsidRDefault="000563F2" w:rsidP="00E52212">
      <w:pPr>
        <w:pStyle w:val="Hesber"/>
      </w:pPr>
      <w:r w:rsidRPr="00E52212">
        <w:rPr>
          <w:rFonts w:hint="cs"/>
          <w:rtl/>
        </w:rPr>
        <w:t xml:space="preserve">מוצע לקבוע כי מבוטח שהגיע לגיל פרישה יהיה זכאי להחזר בשיעור של 90% מן ההוצאה במקרה שהוסע לבית חולים בניידת טיפול נמרץ או באמבולנס של מד"א גם אם לא אושפז, וזאת כדי למנוע מקרים בהם מבוטחים לא מזעיקים אמבולנס לצורך פינוי לבית חולים בשל העלות הגבוהה הכרוכה בכך ונוכח מצבם הסוציו-אקונומי הקשה. </w:t>
      </w:r>
    </w:p>
    <w:p w14:paraId="53E71694" w14:textId="54B21CC5" w:rsidR="000563F2" w:rsidRPr="00E52212" w:rsidRDefault="000563F2" w:rsidP="00E52212">
      <w:pPr>
        <w:pStyle w:val="Hesber"/>
        <w:rPr>
          <w:rtl/>
        </w:rPr>
      </w:pPr>
      <w:r w:rsidRPr="00E52212">
        <w:rPr>
          <w:rFonts w:hint="cs"/>
          <w:rtl/>
        </w:rPr>
        <w:t xml:space="preserve">הצעת החוק גובשה נוכח פניות רבות שהתקבלו מאזרחים שהתלוננו על כך שהוריהם נפטרו או לא טופלו כראוי בשל כך שחששו להזמין אמבולנס עקב עלותו הגבוהה. </w:t>
      </w:r>
    </w:p>
    <w:p w14:paraId="1EB7D01D" w14:textId="46BBDBE1" w:rsidR="004233D1" w:rsidRPr="00E52212" w:rsidRDefault="004233D1" w:rsidP="00E52212">
      <w:pPr>
        <w:pStyle w:val="Hesber"/>
        <w:rPr>
          <w:rtl/>
        </w:rPr>
      </w:pPr>
      <w:r w:rsidRPr="00E52212">
        <w:rPr>
          <w:rtl/>
        </w:rPr>
        <w:t xml:space="preserve">הצעות חוק דומות בעיקרן הונחו על שולחן הכנסת </w:t>
      </w:r>
      <w:r w:rsidRPr="00E52212">
        <w:rPr>
          <w:rFonts w:hint="eastAsia"/>
          <w:rtl/>
        </w:rPr>
        <w:t>התשע</w:t>
      </w:r>
      <w:r w:rsidRPr="00E52212">
        <w:rPr>
          <w:rtl/>
        </w:rPr>
        <w:t xml:space="preserve">-עשרה ועל שולחן הכנסת </w:t>
      </w:r>
      <w:r w:rsidRPr="00E52212">
        <w:rPr>
          <w:rFonts w:hint="eastAsia"/>
          <w:rtl/>
        </w:rPr>
        <w:t>העשרים</w:t>
      </w:r>
      <w:r w:rsidRPr="00E52212">
        <w:rPr>
          <w:rtl/>
        </w:rPr>
        <w:t xml:space="preserve"> על ידי חבר הכנסת </w:t>
      </w:r>
      <w:r w:rsidRPr="00E52212">
        <w:rPr>
          <w:rFonts w:hint="eastAsia"/>
          <w:rtl/>
        </w:rPr>
        <w:t>דב</w:t>
      </w:r>
      <w:r w:rsidRPr="00E52212">
        <w:rPr>
          <w:rtl/>
        </w:rPr>
        <w:t xml:space="preserve"> </w:t>
      </w:r>
      <w:r w:rsidRPr="00E52212">
        <w:rPr>
          <w:rFonts w:hint="eastAsia"/>
          <w:rtl/>
        </w:rPr>
        <w:t>חנין</w:t>
      </w:r>
      <w:r w:rsidRPr="00E52212">
        <w:rPr>
          <w:rtl/>
        </w:rPr>
        <w:t xml:space="preserve"> (פ/2305/19; פ/1505/20)</w:t>
      </w:r>
      <w:r w:rsidR="00FE1A32">
        <w:rPr>
          <w:rFonts w:hint="cs"/>
          <w:rtl/>
        </w:rPr>
        <w:t>,</w:t>
      </w:r>
      <w:r w:rsidR="001D739C" w:rsidRPr="00E52212">
        <w:rPr>
          <w:rtl/>
        </w:rPr>
        <w:t xml:space="preserve"> ועל שולחן הכנסת העשרים ושתיים על ידי חבר הכנסת איציק שמולי (פ/999/22)</w:t>
      </w:r>
      <w:r w:rsidRPr="00E52212">
        <w:rPr>
          <w:rtl/>
        </w:rPr>
        <w:t xml:space="preserve">. </w:t>
      </w:r>
    </w:p>
    <w:p w14:paraId="7F6961CB" w14:textId="708E9FCE" w:rsidR="00E13C27" w:rsidRDefault="004233D1" w:rsidP="00E52212">
      <w:pPr>
        <w:pStyle w:val="Hesber"/>
        <w:rPr>
          <w:rtl/>
        </w:rPr>
      </w:pPr>
      <w:r w:rsidRPr="00E52212">
        <w:rPr>
          <w:rFonts w:hint="eastAsia"/>
          <w:rtl/>
        </w:rPr>
        <w:t>הצע</w:t>
      </w:r>
      <w:r w:rsidR="001D739C" w:rsidRPr="00E52212">
        <w:rPr>
          <w:rFonts w:hint="eastAsia"/>
          <w:rtl/>
        </w:rPr>
        <w:t>ו</w:t>
      </w:r>
      <w:r w:rsidRPr="00E52212">
        <w:rPr>
          <w:rFonts w:hint="eastAsia"/>
          <w:rtl/>
        </w:rPr>
        <w:t>ת</w:t>
      </w:r>
      <w:r w:rsidRPr="00E52212">
        <w:rPr>
          <w:rtl/>
        </w:rPr>
        <w:t xml:space="preserve"> חוק </w:t>
      </w:r>
      <w:r w:rsidR="001D739C" w:rsidRPr="00E52212">
        <w:rPr>
          <w:rFonts w:hint="eastAsia"/>
          <w:rtl/>
        </w:rPr>
        <w:t>זהות</w:t>
      </w:r>
      <w:r w:rsidR="001D739C" w:rsidRPr="00E52212">
        <w:rPr>
          <w:rtl/>
        </w:rPr>
        <w:t xml:space="preserve"> </w:t>
      </w:r>
      <w:r w:rsidRPr="00E52212">
        <w:rPr>
          <w:rFonts w:hint="eastAsia"/>
          <w:rtl/>
        </w:rPr>
        <w:t>הונחה</w:t>
      </w:r>
      <w:r w:rsidRPr="00E52212">
        <w:rPr>
          <w:rtl/>
        </w:rPr>
        <w:t xml:space="preserve"> </w:t>
      </w:r>
      <w:r w:rsidRPr="00E52212">
        <w:rPr>
          <w:rFonts w:hint="eastAsia"/>
          <w:rtl/>
        </w:rPr>
        <w:t>על</w:t>
      </w:r>
      <w:r w:rsidRPr="00E52212">
        <w:rPr>
          <w:rtl/>
        </w:rPr>
        <w:t xml:space="preserve"> </w:t>
      </w:r>
      <w:r w:rsidRPr="00E52212">
        <w:rPr>
          <w:rFonts w:hint="eastAsia"/>
          <w:rtl/>
        </w:rPr>
        <w:t>שולחן</w:t>
      </w:r>
      <w:r w:rsidRPr="00E52212">
        <w:rPr>
          <w:rtl/>
        </w:rPr>
        <w:t xml:space="preserve"> </w:t>
      </w:r>
      <w:r w:rsidRPr="00E52212">
        <w:rPr>
          <w:rFonts w:hint="eastAsia"/>
          <w:rtl/>
        </w:rPr>
        <w:t>הכנסת</w:t>
      </w:r>
      <w:r w:rsidRPr="00E52212">
        <w:rPr>
          <w:rtl/>
        </w:rPr>
        <w:t xml:space="preserve"> </w:t>
      </w:r>
      <w:r w:rsidRPr="00E52212">
        <w:rPr>
          <w:rFonts w:hint="eastAsia"/>
          <w:rtl/>
        </w:rPr>
        <w:t>העשרים</w:t>
      </w:r>
      <w:r w:rsidRPr="00E52212">
        <w:rPr>
          <w:rtl/>
        </w:rPr>
        <w:t xml:space="preserve"> </w:t>
      </w:r>
      <w:r w:rsidRPr="00E52212">
        <w:rPr>
          <w:rFonts w:hint="eastAsia"/>
          <w:rtl/>
        </w:rPr>
        <w:t>על</w:t>
      </w:r>
      <w:r w:rsidRPr="00E52212">
        <w:rPr>
          <w:rtl/>
        </w:rPr>
        <w:t xml:space="preserve"> </w:t>
      </w:r>
      <w:r w:rsidRPr="00E52212">
        <w:rPr>
          <w:rFonts w:hint="eastAsia"/>
          <w:rtl/>
        </w:rPr>
        <w:t>ידי</w:t>
      </w:r>
      <w:r w:rsidRPr="00E52212">
        <w:rPr>
          <w:rtl/>
        </w:rPr>
        <w:t xml:space="preserve"> </w:t>
      </w:r>
      <w:r w:rsidRPr="00E52212">
        <w:rPr>
          <w:rFonts w:hint="eastAsia"/>
          <w:rtl/>
        </w:rPr>
        <w:t>חברת</w:t>
      </w:r>
      <w:r w:rsidRPr="00E52212">
        <w:rPr>
          <w:rtl/>
        </w:rPr>
        <w:t xml:space="preserve"> </w:t>
      </w:r>
      <w:r w:rsidRPr="00E52212">
        <w:rPr>
          <w:rFonts w:hint="eastAsia"/>
          <w:rtl/>
        </w:rPr>
        <w:t>שולי</w:t>
      </w:r>
      <w:r w:rsidRPr="00E52212">
        <w:rPr>
          <w:rtl/>
        </w:rPr>
        <w:t xml:space="preserve"> </w:t>
      </w:r>
      <w:r w:rsidRPr="00E52212">
        <w:rPr>
          <w:rFonts w:hint="eastAsia"/>
          <w:rtl/>
        </w:rPr>
        <w:t>מועלם</w:t>
      </w:r>
      <w:r w:rsidRPr="00E52212">
        <w:rPr>
          <w:rtl/>
        </w:rPr>
        <w:t xml:space="preserve">-רפאלי </w:t>
      </w:r>
      <w:r w:rsidRPr="00E52212">
        <w:rPr>
          <w:rFonts w:hint="eastAsia"/>
          <w:rtl/>
        </w:rPr>
        <w:t>וקבוצת</w:t>
      </w:r>
      <w:r w:rsidRPr="00E52212">
        <w:rPr>
          <w:rtl/>
        </w:rPr>
        <w:t xml:space="preserve"> </w:t>
      </w:r>
      <w:r w:rsidRPr="00E52212">
        <w:rPr>
          <w:rFonts w:hint="eastAsia"/>
          <w:rtl/>
        </w:rPr>
        <w:t>חברי</w:t>
      </w:r>
      <w:r w:rsidRPr="00E52212">
        <w:rPr>
          <w:rtl/>
        </w:rPr>
        <w:t xml:space="preserve"> </w:t>
      </w:r>
      <w:r w:rsidRPr="00E52212">
        <w:rPr>
          <w:rFonts w:hint="eastAsia"/>
          <w:rtl/>
        </w:rPr>
        <w:t>הכנסת</w:t>
      </w:r>
      <w:r w:rsidRPr="00E52212">
        <w:rPr>
          <w:rtl/>
        </w:rPr>
        <w:t xml:space="preserve"> (פ/2876/20)</w:t>
      </w:r>
      <w:r w:rsidR="001D739C" w:rsidRPr="00E52212">
        <w:rPr>
          <w:rtl/>
        </w:rPr>
        <w:t xml:space="preserve">, </w:t>
      </w:r>
      <w:r w:rsidR="001D739C" w:rsidRPr="00E52212">
        <w:rPr>
          <w:rFonts w:hint="eastAsia"/>
          <w:rtl/>
        </w:rPr>
        <w:t>ועל</w:t>
      </w:r>
      <w:r w:rsidR="001D739C" w:rsidRPr="00E52212">
        <w:rPr>
          <w:rtl/>
        </w:rPr>
        <w:t xml:space="preserve"> שולחן הכנסת העשרים ואחת על ידי חבר הכנסת מאיר כהן וקבוצת חברי הכנסת (פ/39/21)</w:t>
      </w:r>
      <w:r w:rsidRPr="00E52212">
        <w:rPr>
          <w:rtl/>
        </w:rPr>
        <w:t>.</w:t>
      </w:r>
    </w:p>
    <w:p w14:paraId="1C5BE765" w14:textId="01C07EBC" w:rsidR="00FE1A32" w:rsidRDefault="00FE1A32" w:rsidP="00E52212">
      <w:pPr>
        <w:pStyle w:val="Hesber"/>
        <w:rPr>
          <w:rtl/>
        </w:rPr>
      </w:pPr>
    </w:p>
    <w:p w14:paraId="47076528" w14:textId="77777777" w:rsidR="00FE1A32" w:rsidRDefault="00FE1A32" w:rsidP="00E52212">
      <w:pPr>
        <w:pStyle w:val="Hesber"/>
        <w:rPr>
          <w:rtl/>
        </w:rPr>
      </w:pPr>
    </w:p>
    <w:p w14:paraId="028AA7C2" w14:textId="77777777" w:rsidR="00FE1A32" w:rsidRPr="00D73212" w:rsidRDefault="00FE1A32" w:rsidP="00FE1A32">
      <w:pPr>
        <w:pStyle w:val="Hesber"/>
        <w:ind w:firstLine="0"/>
        <w:rPr>
          <w:color w:val="auto"/>
          <w:rtl/>
          <w:lang w:eastAsia="en-US"/>
        </w:rPr>
      </w:pPr>
      <w:r w:rsidRPr="00D73212">
        <w:rPr>
          <w:color w:val="auto"/>
          <w:rtl/>
          <w:lang w:eastAsia="en-US"/>
        </w:rPr>
        <w:t>---------------------------------</w:t>
      </w:r>
    </w:p>
    <w:p w14:paraId="1C5270BB" w14:textId="77777777" w:rsidR="00FE1A32" w:rsidRPr="00D73212" w:rsidRDefault="00FE1A32" w:rsidP="00FE1A32">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1BB72B4" w14:textId="77777777" w:rsidR="00FE1A32" w:rsidRPr="00D73212" w:rsidRDefault="00FE1A32" w:rsidP="00FE1A32">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2F2C39C9" w14:textId="77777777" w:rsidR="00FE1A32" w:rsidRPr="005E6543" w:rsidRDefault="00FE1A32" w:rsidP="00FE1A32">
      <w:pPr>
        <w:pStyle w:val="Hesber"/>
        <w:ind w:firstLine="0"/>
        <w:rPr>
          <w:rtl/>
        </w:rPr>
      </w:pPr>
      <w:r>
        <w:rPr>
          <w:rFonts w:hint="cs"/>
          <w:color w:val="auto"/>
          <w:rtl/>
          <w:lang w:eastAsia="en-US"/>
        </w:rPr>
        <w:t xml:space="preserve">י"א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9.12</w:t>
      </w:r>
      <w:r w:rsidRPr="00D73212">
        <w:rPr>
          <w:color w:val="auto"/>
          <w:rtl/>
          <w:lang w:eastAsia="en-US"/>
        </w:rPr>
        <w:t>.</w:t>
      </w:r>
      <w:r>
        <w:rPr>
          <w:rFonts w:hint="cs"/>
          <w:color w:val="auto"/>
          <w:rtl/>
          <w:lang w:eastAsia="en-US"/>
        </w:rPr>
        <w:t>19</w:t>
      </w:r>
    </w:p>
    <w:p w14:paraId="1F64B029" w14:textId="77777777" w:rsidR="00FE1A32" w:rsidRPr="00E52212" w:rsidRDefault="00FE1A32" w:rsidP="00E52212">
      <w:pPr>
        <w:pStyle w:val="Hesber"/>
        <w:rPr>
          <w:rtl/>
        </w:rPr>
      </w:pPr>
      <w:bookmarkStart w:id="8" w:name="_GoBack"/>
      <w:bookmarkEnd w:id="8"/>
    </w:p>
    <w:sectPr w:rsidR="00FE1A32" w:rsidRPr="00E5221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E1A3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90366B4" w14:textId="77777777" w:rsidR="004233D1" w:rsidRDefault="004233D1" w:rsidP="004233D1">
      <w:pPr>
        <w:pStyle w:val="a4"/>
      </w:pPr>
      <w:r>
        <w:rPr>
          <w:rStyle w:val="a6"/>
        </w:rPr>
        <w:footnoteRef/>
      </w:r>
      <w:r>
        <w:rPr>
          <w:rtl/>
        </w:rPr>
        <w:t xml:space="preserve"> </w:t>
      </w:r>
      <w:r>
        <w:rPr>
          <w:rFonts w:hint="cs"/>
          <w:rtl/>
        </w:rPr>
        <w:t>ס"ח התשנ"ד, עמ' 156.</w:t>
      </w:r>
    </w:p>
  </w:footnote>
  <w:footnote w:id="3">
    <w:p w14:paraId="0287D372" w14:textId="77777777" w:rsidR="004233D1" w:rsidRDefault="004233D1" w:rsidP="004233D1">
      <w:pPr>
        <w:pStyle w:val="a4"/>
        <w:rPr>
          <w:rtl/>
        </w:rPr>
      </w:pPr>
      <w:r>
        <w:rPr>
          <w:rStyle w:val="a6"/>
        </w:rPr>
        <w:footnoteRef/>
      </w:r>
      <w:r>
        <w:rPr>
          <w:sz w:val="20"/>
          <w:rtl/>
        </w:rPr>
        <w:t xml:space="preserve"> ס"ח התשס"ד, עמ' 46. </w:t>
      </w:r>
      <w:r>
        <w:rPr>
          <w:sz w:val="20"/>
          <w:rtl/>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63F2"/>
    <w:rsid w:val="00063A3E"/>
    <w:rsid w:val="00072CAC"/>
    <w:rsid w:val="0007681A"/>
    <w:rsid w:val="00087728"/>
    <w:rsid w:val="000A542E"/>
    <w:rsid w:val="00102B6B"/>
    <w:rsid w:val="001052D4"/>
    <w:rsid w:val="0010644B"/>
    <w:rsid w:val="001207F8"/>
    <w:rsid w:val="00121924"/>
    <w:rsid w:val="001279A8"/>
    <w:rsid w:val="0014195F"/>
    <w:rsid w:val="00152609"/>
    <w:rsid w:val="00153E1B"/>
    <w:rsid w:val="001A0623"/>
    <w:rsid w:val="001C23B0"/>
    <w:rsid w:val="001D739C"/>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233D1"/>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2D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4726A"/>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2212"/>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E1A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FFF6757-DD0F-44FE-9340-8A8B7AB4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uiPriority w:val="99"/>
    <w:rsid w:val="004233D1"/>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8847">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4CA1E9B8-633A-4AE9-B584-E93FFE68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DB4FF6C-8CCC-4814-88C7-AD986DFA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317</Words>
  <Characters>1810</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11</cp:revision>
  <cp:lastPrinted>2019-12-04T13:59:00Z</cp:lastPrinted>
  <dcterms:created xsi:type="dcterms:W3CDTF">2015-04-20T09:58:00Z</dcterms:created>
  <dcterms:modified xsi:type="dcterms:W3CDTF">2019-12-04T14:01:00Z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2083227</vt:r8>
  </property>
</Properties>
</file>