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2083162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אילת שקד</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פ/1398/22</w:t>
      </w:r>
      <w:bookmarkEnd w:id="4"/>
    </w:p>
    <w:p w14:paraId="7F6961AD" w14:textId="331BD7D5" w:rsidR="00E13C27" w:rsidRPr="00F67051" w:rsidRDefault="00A443CF" w:rsidP="00C4173E">
      <w:pPr>
        <w:pStyle w:val="HeadHatzaotHok"/>
        <w:rPr>
          <w:rtl/>
        </w:rPr>
      </w:pPr>
      <w:bookmarkStart w:id="5" w:name="LGS_Subject"/>
      <w:r>
        <w:rPr>
          <w:rFonts w:hint="cs"/>
          <w:rtl/>
        </w:rPr>
        <w:t xml:space="preserve">הצעת חוק החלת ריבונות על בקעת הירדן, גוש עציון, גבעת זאב, מעלה אדומים, ביתר עילית ועפרה, </w:t>
      </w:r>
      <w:proofErr w:type="spellStart"/>
      <w:r>
        <w:rPr>
          <w:rFonts w:hint="cs"/>
          <w:rtl/>
        </w:rPr>
        <w:t>התש"ף</w:t>
      </w:r>
      <w:proofErr w:type="spellEnd"/>
      <w:r w:rsidR="00C4173E">
        <w:rPr>
          <w:rFonts w:hint="eastAsia"/>
          <w:rtl/>
        </w:rPr>
        <w:t>–</w:t>
      </w:r>
      <w:r>
        <w:rPr>
          <w:rFonts w:hint="cs"/>
          <w:rtl/>
        </w:rPr>
        <w:t>2019</w:t>
      </w:r>
      <w:bookmarkEnd w:id="5"/>
    </w:p>
    <w:tbl>
      <w:tblPr>
        <w:bidiVisual/>
        <w:tblW w:w="9581" w:type="dxa"/>
        <w:tblLayout w:type="fixed"/>
        <w:tblCellMar>
          <w:top w:w="57" w:type="dxa"/>
          <w:left w:w="0" w:type="dxa"/>
          <w:bottom w:w="57" w:type="dxa"/>
          <w:right w:w="0" w:type="dxa"/>
        </w:tblCellMar>
        <w:tblLook w:val="01E0" w:firstRow="1" w:lastRow="1" w:firstColumn="1" w:lastColumn="1" w:noHBand="0" w:noVBand="0"/>
      </w:tblPr>
      <w:tblGrid>
        <w:gridCol w:w="1859"/>
        <w:gridCol w:w="620"/>
        <w:gridCol w:w="7102"/>
      </w:tblGrid>
      <w:tr w:rsidR="002F1D80" w14:paraId="035EEF3D" w14:textId="77777777" w:rsidTr="004F4442">
        <w:trPr>
          <w:cantSplit/>
          <w:trHeight w:val="59"/>
        </w:trPr>
        <w:tc>
          <w:tcPr>
            <w:tcW w:w="1859" w:type="dxa"/>
          </w:tcPr>
          <w:p w14:paraId="3863FF98" w14:textId="34B20924" w:rsidR="002F1D80" w:rsidRDefault="00B25BDB" w:rsidP="002C3041">
            <w:pPr>
              <w:pStyle w:val="TableSideHeading"/>
              <w:keepLines w:val="0"/>
            </w:pPr>
            <w:r>
              <w:rPr>
                <w:rtl/>
              </w:rPr>
              <w:t>החלת המשפט</w:t>
            </w:r>
          </w:p>
        </w:tc>
        <w:tc>
          <w:tcPr>
            <w:tcW w:w="620" w:type="dxa"/>
          </w:tcPr>
          <w:p w14:paraId="6F513EF6" w14:textId="1F08A955" w:rsidR="002F1D80" w:rsidRDefault="00B25BDB" w:rsidP="002C3041">
            <w:pPr>
              <w:pStyle w:val="TableText"/>
              <w:keepLines w:val="0"/>
            </w:pPr>
            <w:r>
              <w:rPr>
                <w:rFonts w:hint="cs"/>
                <w:rtl/>
              </w:rPr>
              <w:t>1.</w:t>
            </w:r>
          </w:p>
        </w:tc>
        <w:tc>
          <w:tcPr>
            <w:tcW w:w="7102" w:type="dxa"/>
          </w:tcPr>
          <w:p w14:paraId="1AE94DEB" w14:textId="0F7E03B3" w:rsidR="002F1D80" w:rsidRPr="00B25BDB" w:rsidRDefault="00B25BDB" w:rsidP="00C4173E">
            <w:pPr>
              <w:pStyle w:val="TableBlock"/>
              <w:rPr>
                <w:b/>
                <w:bCs/>
              </w:rPr>
            </w:pPr>
            <w:r w:rsidRPr="00B25BDB">
              <w:rPr>
                <w:rtl/>
              </w:rPr>
              <w:t xml:space="preserve">המשפט, השיפוט </w:t>
            </w:r>
            <w:proofErr w:type="spellStart"/>
            <w:r w:rsidRPr="00B25BDB">
              <w:rPr>
                <w:rtl/>
              </w:rPr>
              <w:t>והמינהל</w:t>
            </w:r>
            <w:proofErr w:type="spellEnd"/>
            <w:r w:rsidRPr="00B25BDB">
              <w:rPr>
                <w:rtl/>
              </w:rPr>
              <w:t xml:space="preserve"> של המדינה יחולו </w:t>
            </w:r>
            <w:r w:rsidRPr="00C4173E">
              <w:rPr>
                <w:rtl/>
              </w:rPr>
              <w:t>בשטח</w:t>
            </w:r>
            <w:r w:rsidRPr="00B25BDB">
              <w:rPr>
                <w:rtl/>
              </w:rPr>
              <w:t xml:space="preserve"> בקעת הירדן</w:t>
            </w:r>
            <w:r w:rsidRPr="00B25BDB">
              <w:rPr>
                <w:rFonts w:hint="cs"/>
                <w:rtl/>
              </w:rPr>
              <w:t>, גוש עציון</w:t>
            </w:r>
            <w:r w:rsidR="00FF5A5D">
              <w:rPr>
                <w:rFonts w:hint="cs"/>
                <w:rtl/>
              </w:rPr>
              <w:t>, גבעת זאב</w:t>
            </w:r>
            <w:r w:rsidR="00657C32">
              <w:rPr>
                <w:rFonts w:hint="cs"/>
                <w:rtl/>
              </w:rPr>
              <w:t xml:space="preserve">, </w:t>
            </w:r>
            <w:r w:rsidRPr="00B25BDB">
              <w:rPr>
                <w:rFonts w:hint="cs"/>
                <w:rtl/>
              </w:rPr>
              <w:t>מעלה אדומים</w:t>
            </w:r>
            <w:r w:rsidR="00657C32">
              <w:rPr>
                <w:rFonts w:hint="cs"/>
                <w:rtl/>
              </w:rPr>
              <w:t>, ביתר עילית ועפרה,</w:t>
            </w:r>
            <w:r w:rsidRPr="00B25BDB">
              <w:rPr>
                <w:rtl/>
              </w:rPr>
              <w:t xml:space="preserve"> כמתואר בתוספת</w:t>
            </w:r>
            <w:r>
              <w:rPr>
                <w:rFonts w:hint="cs"/>
                <w:rtl/>
              </w:rPr>
              <w:t>.</w:t>
            </w:r>
          </w:p>
        </w:tc>
      </w:tr>
      <w:tr w:rsidR="002F1D80" w14:paraId="3D9B61D1" w14:textId="77777777" w:rsidTr="004F4442">
        <w:trPr>
          <w:cantSplit/>
          <w:trHeight w:val="59"/>
        </w:trPr>
        <w:tc>
          <w:tcPr>
            <w:tcW w:w="1859" w:type="dxa"/>
          </w:tcPr>
          <w:p w14:paraId="6C0CB9D8" w14:textId="2CAED3D0" w:rsidR="002F1D80" w:rsidRPr="00B25BDB" w:rsidRDefault="00B25BDB" w:rsidP="00B25BDB">
            <w:pPr>
              <w:pStyle w:val="TableSideHeading"/>
              <w:keepLines w:val="0"/>
            </w:pPr>
            <w:r>
              <w:rPr>
                <w:rFonts w:hint="cs"/>
                <w:rtl/>
              </w:rPr>
              <w:t>תחילה</w:t>
            </w:r>
          </w:p>
        </w:tc>
        <w:tc>
          <w:tcPr>
            <w:tcW w:w="620" w:type="dxa"/>
          </w:tcPr>
          <w:p w14:paraId="3F4286A2" w14:textId="412A66B5" w:rsidR="002F1D80" w:rsidRDefault="00B25BDB" w:rsidP="002C3041">
            <w:pPr>
              <w:pStyle w:val="TableText"/>
              <w:keepLines w:val="0"/>
            </w:pPr>
            <w:r>
              <w:rPr>
                <w:rFonts w:hint="cs"/>
                <w:rtl/>
              </w:rPr>
              <w:t>2.</w:t>
            </w:r>
          </w:p>
        </w:tc>
        <w:tc>
          <w:tcPr>
            <w:tcW w:w="7102" w:type="dxa"/>
          </w:tcPr>
          <w:p w14:paraId="7633D5BB" w14:textId="747D86F1" w:rsidR="002F1D80" w:rsidRPr="00C34DE2" w:rsidRDefault="00B25BDB" w:rsidP="002C3041">
            <w:pPr>
              <w:pStyle w:val="TableBlock"/>
              <w:keepLines w:val="0"/>
            </w:pPr>
            <w:r>
              <w:rPr>
                <w:rtl/>
              </w:rPr>
              <w:t>תחילתו של חוק זה ביום קבלתו בכנסת.</w:t>
            </w:r>
          </w:p>
        </w:tc>
      </w:tr>
      <w:tr w:rsidR="00B25BDB" w14:paraId="4006A782" w14:textId="77777777" w:rsidTr="004F4442">
        <w:trPr>
          <w:cantSplit/>
          <w:trHeight w:val="59"/>
        </w:trPr>
        <w:tc>
          <w:tcPr>
            <w:tcW w:w="1859" w:type="dxa"/>
          </w:tcPr>
          <w:p w14:paraId="4C4FF029" w14:textId="5C0A8EC0" w:rsidR="00B25BDB" w:rsidRPr="00B25BDB" w:rsidRDefault="00B25BDB" w:rsidP="002C3041">
            <w:pPr>
              <w:pStyle w:val="TableSideHeading"/>
              <w:keepLines w:val="0"/>
            </w:pPr>
            <w:r>
              <w:rPr>
                <w:rFonts w:hint="cs"/>
                <w:rtl/>
              </w:rPr>
              <w:t>ביצוע ותקנות</w:t>
            </w:r>
          </w:p>
        </w:tc>
        <w:tc>
          <w:tcPr>
            <w:tcW w:w="620" w:type="dxa"/>
          </w:tcPr>
          <w:p w14:paraId="31BD4297" w14:textId="37395198" w:rsidR="00B25BDB" w:rsidRDefault="00B25BDB" w:rsidP="002C3041">
            <w:pPr>
              <w:pStyle w:val="TableText"/>
              <w:keepLines w:val="0"/>
            </w:pPr>
            <w:r>
              <w:rPr>
                <w:rFonts w:hint="cs"/>
                <w:rtl/>
              </w:rPr>
              <w:t>3.</w:t>
            </w:r>
          </w:p>
        </w:tc>
        <w:tc>
          <w:tcPr>
            <w:tcW w:w="7102" w:type="dxa"/>
          </w:tcPr>
          <w:p w14:paraId="44B071B3" w14:textId="4553466D" w:rsidR="001D0550" w:rsidRPr="00C34DE2" w:rsidRDefault="00B25BDB" w:rsidP="001D0550">
            <w:pPr>
              <w:pStyle w:val="TableBlock"/>
              <w:keepLines w:val="0"/>
            </w:pPr>
            <w:r w:rsidRPr="00783D6B">
              <w:rPr>
                <w:rtl/>
              </w:rPr>
              <w:t>שר הפנים ממונה על ביצוע חוק זה והוא רשאי, בהתייעצות עם שר המשפטים, להתקין תקנות בכל הנוגע לביצועו ולקבוע בתקנות הוראות מעבר והוראות בדבר המשך תוקפ</w:t>
            </w:r>
            <w:r>
              <w:rPr>
                <w:rFonts w:hint="cs"/>
                <w:rtl/>
              </w:rPr>
              <w:t>ם</w:t>
            </w:r>
            <w:r w:rsidRPr="00783D6B">
              <w:rPr>
                <w:rtl/>
              </w:rPr>
              <w:t xml:space="preserve"> של תקנות, צווים, הוראות </w:t>
            </w:r>
            <w:proofErr w:type="spellStart"/>
            <w:r w:rsidRPr="00783D6B">
              <w:rPr>
                <w:rtl/>
              </w:rPr>
              <w:t>מינהל</w:t>
            </w:r>
            <w:proofErr w:type="spellEnd"/>
            <w:r w:rsidRPr="00783D6B">
              <w:rPr>
                <w:rtl/>
              </w:rPr>
              <w:t xml:space="preserve"> וזכויות וחובות אשר היו בתוקף בבקעת הירדן ערב תחילתו של חוק זה.</w:t>
            </w:r>
          </w:p>
        </w:tc>
      </w:tr>
      <w:tr w:rsidR="001D0550" w14:paraId="7E2918B2" w14:textId="77777777" w:rsidTr="004F4442">
        <w:trPr>
          <w:cantSplit/>
          <w:trHeight w:val="59"/>
        </w:trPr>
        <w:tc>
          <w:tcPr>
            <w:tcW w:w="1859" w:type="dxa"/>
          </w:tcPr>
          <w:p w14:paraId="2A01004A" w14:textId="77777777" w:rsidR="001D0550" w:rsidRDefault="001D0550" w:rsidP="002C3041">
            <w:pPr>
              <w:pStyle w:val="TableSideHeading"/>
              <w:keepLines w:val="0"/>
              <w:rPr>
                <w:rtl/>
              </w:rPr>
            </w:pPr>
          </w:p>
        </w:tc>
        <w:tc>
          <w:tcPr>
            <w:tcW w:w="620" w:type="dxa"/>
          </w:tcPr>
          <w:p w14:paraId="0374E350" w14:textId="77777777" w:rsidR="001D0550" w:rsidRDefault="001D0550" w:rsidP="002C3041">
            <w:pPr>
              <w:pStyle w:val="TableText"/>
              <w:keepLines w:val="0"/>
              <w:rPr>
                <w:rtl/>
              </w:rPr>
            </w:pPr>
          </w:p>
        </w:tc>
        <w:tc>
          <w:tcPr>
            <w:tcW w:w="7102" w:type="dxa"/>
          </w:tcPr>
          <w:p w14:paraId="36413207" w14:textId="524700AB" w:rsidR="001D0550" w:rsidRPr="00783D6B" w:rsidRDefault="001D0550" w:rsidP="00620BDE">
            <w:pPr>
              <w:pStyle w:val="TableBlock"/>
              <w:keepLines w:val="0"/>
              <w:jc w:val="center"/>
              <w:rPr>
                <w:rtl/>
              </w:rPr>
            </w:pPr>
            <w:r w:rsidRPr="004F4901">
              <w:rPr>
                <w:rFonts w:hint="cs"/>
                <w:b/>
                <w:bCs/>
                <w:rtl/>
              </w:rPr>
              <w:t>תוספת</w:t>
            </w:r>
          </w:p>
        </w:tc>
      </w:tr>
      <w:tr w:rsidR="00C4173E" w14:paraId="08376A03" w14:textId="77777777" w:rsidTr="004F4442">
        <w:trPr>
          <w:cantSplit/>
          <w:trHeight w:val="59"/>
        </w:trPr>
        <w:tc>
          <w:tcPr>
            <w:tcW w:w="1859" w:type="dxa"/>
          </w:tcPr>
          <w:p w14:paraId="035CD7D5" w14:textId="77777777" w:rsidR="00C4173E" w:rsidRDefault="00C4173E" w:rsidP="002C3041">
            <w:pPr>
              <w:pStyle w:val="TableSideHeading"/>
              <w:keepLines w:val="0"/>
              <w:rPr>
                <w:rtl/>
              </w:rPr>
            </w:pPr>
          </w:p>
        </w:tc>
        <w:tc>
          <w:tcPr>
            <w:tcW w:w="620" w:type="dxa"/>
          </w:tcPr>
          <w:p w14:paraId="1BD0B390" w14:textId="77777777" w:rsidR="00C4173E" w:rsidRDefault="00C4173E" w:rsidP="00C4173E">
            <w:pPr>
              <w:pStyle w:val="TableText"/>
              <w:rPr>
                <w:rtl/>
              </w:rPr>
            </w:pPr>
          </w:p>
        </w:tc>
        <w:tc>
          <w:tcPr>
            <w:tcW w:w="7102" w:type="dxa"/>
          </w:tcPr>
          <w:p w14:paraId="30856318" w14:textId="6AC543D4" w:rsidR="00C4173E" w:rsidRPr="00C4173E" w:rsidRDefault="00C4173E" w:rsidP="00C21F60">
            <w:pPr>
              <w:pStyle w:val="TableBlock"/>
              <w:jc w:val="center"/>
              <w:rPr>
                <w:rFonts w:hint="cs"/>
                <w:rtl/>
              </w:rPr>
            </w:pPr>
            <w:r w:rsidRPr="00C4173E">
              <w:rPr>
                <w:rFonts w:hint="cs"/>
                <w:rtl/>
              </w:rPr>
              <w:t>(סעיף 1)</w:t>
            </w:r>
          </w:p>
        </w:tc>
      </w:tr>
      <w:tr w:rsidR="00620BDE" w14:paraId="63ED2195" w14:textId="77777777" w:rsidTr="004F4442">
        <w:trPr>
          <w:cantSplit/>
          <w:trHeight w:val="59"/>
        </w:trPr>
        <w:tc>
          <w:tcPr>
            <w:tcW w:w="1859" w:type="dxa"/>
          </w:tcPr>
          <w:p w14:paraId="79DD7618" w14:textId="77777777" w:rsidR="00620BDE" w:rsidRDefault="00620BDE" w:rsidP="002C3041">
            <w:pPr>
              <w:pStyle w:val="TableSideHeading"/>
              <w:keepLines w:val="0"/>
              <w:rPr>
                <w:rtl/>
              </w:rPr>
            </w:pPr>
          </w:p>
        </w:tc>
        <w:tc>
          <w:tcPr>
            <w:tcW w:w="620" w:type="dxa"/>
          </w:tcPr>
          <w:p w14:paraId="40085FFF" w14:textId="77777777" w:rsidR="00620BDE" w:rsidRDefault="00620BDE" w:rsidP="00620BDE">
            <w:pPr>
              <w:pStyle w:val="TableText"/>
              <w:rPr>
                <w:rtl/>
              </w:rPr>
            </w:pPr>
          </w:p>
        </w:tc>
        <w:tc>
          <w:tcPr>
            <w:tcW w:w="7102" w:type="dxa"/>
          </w:tcPr>
          <w:p w14:paraId="1C578099" w14:textId="327C0891" w:rsidR="00620BDE" w:rsidRPr="004F4901" w:rsidRDefault="00620BDE" w:rsidP="001D0550">
            <w:pPr>
              <w:pStyle w:val="TableBlock"/>
              <w:keepLines w:val="0"/>
              <w:jc w:val="center"/>
              <w:rPr>
                <w:b/>
                <w:bCs/>
                <w:rtl/>
              </w:rPr>
            </w:pPr>
            <w:bookmarkStart w:id="6" w:name="_GoBack"/>
            <w:r>
              <w:rPr>
                <w:rFonts w:hint="cs"/>
                <w:b/>
                <w:bCs/>
                <w:noProof/>
                <w:snapToGrid/>
                <w:rtl/>
                <w:lang w:eastAsia="en-US"/>
              </w:rPr>
              <w:drawing>
                <wp:inline distT="0" distB="0" distL="0" distR="0" wp14:anchorId="5B6172D9" wp14:editId="4F5DBD8E">
                  <wp:extent cx="2171629" cy="4548249"/>
                  <wp:effectExtent l="0" t="0" r="635" b="508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מפה גזורה לתוספת.png"/>
                          <pic:cNvPicPr/>
                        </pic:nvPicPr>
                        <pic:blipFill rotWithShape="1">
                          <a:blip r:embed="rId11">
                            <a:extLst>
                              <a:ext uri="{28A0092B-C50C-407E-A947-70E740481C1C}">
                                <a14:useLocalDpi xmlns:a14="http://schemas.microsoft.com/office/drawing/2010/main" val="0"/>
                              </a:ext>
                            </a:extLst>
                          </a:blip>
                          <a:srcRect l="1762" t="517" r="1170"/>
                          <a:stretch/>
                        </pic:blipFill>
                        <pic:spPr bwMode="auto">
                          <a:xfrm>
                            <a:off x="0" y="0"/>
                            <a:ext cx="2171629" cy="4548249"/>
                          </a:xfrm>
                          <a:prstGeom prst="rect">
                            <a:avLst/>
                          </a:prstGeom>
                          <a:ln>
                            <a:noFill/>
                          </a:ln>
                          <a:extLst>
                            <a:ext uri="{53640926-AAD7-44D8-BBD7-CCE9431645EC}">
                              <a14:shadowObscured xmlns:a14="http://schemas.microsoft.com/office/drawing/2010/main"/>
                            </a:ext>
                          </a:extLst>
                        </pic:spPr>
                      </pic:pic>
                    </a:graphicData>
                  </a:graphic>
                </wp:inline>
              </w:drawing>
            </w:r>
            <w:bookmarkEnd w:id="6"/>
          </w:p>
        </w:tc>
      </w:tr>
    </w:tbl>
    <w:p w14:paraId="7F6961CA" w14:textId="7CCC2587" w:rsidR="002D1EE3" w:rsidRDefault="004F4442" w:rsidP="004F4442">
      <w:pPr>
        <w:pStyle w:val="HeadDivreiHesber"/>
        <w:spacing w:line="276" w:lineRule="auto"/>
        <w:rPr>
          <w:rtl/>
        </w:rPr>
      </w:pPr>
      <w:r>
        <w:rPr>
          <w:rtl/>
        </w:rPr>
        <w:lastRenderedPageBreak/>
        <w:br/>
      </w:r>
      <w:r w:rsidR="002D1EE3" w:rsidRPr="0027450A">
        <w:rPr>
          <w:rFonts w:hint="cs"/>
          <w:rtl/>
        </w:rPr>
        <w:t>דברי הסבר</w:t>
      </w:r>
    </w:p>
    <w:p w14:paraId="0A60DEF9" w14:textId="77777777" w:rsidR="00B25BDB" w:rsidRDefault="00B25BDB" w:rsidP="00074596">
      <w:pPr>
        <w:pStyle w:val="Hesber"/>
        <w:spacing w:line="276" w:lineRule="auto"/>
        <w:rPr>
          <w:rtl/>
        </w:rPr>
      </w:pPr>
      <w:r>
        <w:rPr>
          <w:rtl/>
        </w:rPr>
        <w:t>אזור</w:t>
      </w:r>
      <w:r>
        <w:rPr>
          <w:rFonts w:hint="cs"/>
          <w:rtl/>
        </w:rPr>
        <w:t>י</w:t>
      </w:r>
      <w:r>
        <w:rPr>
          <w:rtl/>
        </w:rPr>
        <w:t xml:space="preserve"> בקעת  ה</w:t>
      </w:r>
      <w:r>
        <w:rPr>
          <w:rFonts w:hint="cs"/>
          <w:rtl/>
        </w:rPr>
        <w:t>ירדן, גוש עציון ומעלה אדומים</w:t>
      </w:r>
      <w:r>
        <w:rPr>
          <w:rtl/>
        </w:rPr>
        <w:t xml:space="preserve"> הי</w:t>
      </w:r>
      <w:r>
        <w:rPr>
          <w:rFonts w:hint="cs"/>
          <w:rtl/>
        </w:rPr>
        <w:t>ו</w:t>
      </w:r>
      <w:r w:rsidRPr="006B1244">
        <w:rPr>
          <w:rtl/>
        </w:rPr>
        <w:t xml:space="preserve"> מאז ומעולם חלק בלתי נפרד מארץ ישראל ההיסטורית, ערש הולדתו של עם ישראל.</w:t>
      </w:r>
      <w:r w:rsidRPr="006B1244">
        <w:rPr>
          <w:rFonts w:hint="cs"/>
          <w:rtl/>
        </w:rPr>
        <w:t xml:space="preserve"> </w:t>
      </w:r>
      <w:r w:rsidRPr="006B1244">
        <w:rPr>
          <w:rtl/>
        </w:rPr>
        <w:t>לאחר שהוגלה העם מארצו שמר לה אמונים בכל ארצות פזוריו, ולא חדל מתפילה ומתק</w:t>
      </w:r>
      <w:r>
        <w:rPr>
          <w:rFonts w:hint="cs"/>
          <w:rtl/>
        </w:rPr>
        <w:t>ו</w:t>
      </w:r>
      <w:r w:rsidRPr="006B1244">
        <w:rPr>
          <w:rtl/>
        </w:rPr>
        <w:t>וה לשוב לארצו ולחדש בתוכה את חירותו המדינית. מתוך קשר היסטורי ומסורתי זה חתרו היהודים בכל דור לשוב ולהיאחז במולדתם העתיקה.</w:t>
      </w:r>
      <w:r w:rsidRPr="006B1244">
        <w:rPr>
          <w:rFonts w:hint="cs"/>
          <w:rtl/>
        </w:rPr>
        <w:t xml:space="preserve"> </w:t>
      </w:r>
    </w:p>
    <w:p w14:paraId="41569CBF" w14:textId="6715ED7B" w:rsidR="00B25BDB" w:rsidRDefault="00B25BDB" w:rsidP="00074596">
      <w:pPr>
        <w:pStyle w:val="Hesber"/>
        <w:spacing w:line="276" w:lineRule="auto"/>
        <w:rPr>
          <w:rtl/>
        </w:rPr>
      </w:pPr>
      <w:r>
        <w:rPr>
          <w:rFonts w:hint="cs"/>
          <w:rtl/>
        </w:rPr>
        <w:t>מעלה אדומים הוא</w:t>
      </w:r>
      <w:r w:rsidRPr="00E17381">
        <w:rPr>
          <w:rFonts w:hint="cs"/>
          <w:rtl/>
        </w:rPr>
        <w:t xml:space="preserve"> יישוב בעל אופי היסטורי במדינת ישראל, שהחל </w:t>
      </w:r>
      <w:r>
        <w:rPr>
          <w:rFonts w:hint="cs"/>
          <w:rtl/>
        </w:rPr>
        <w:t>את דרכו לאחר מלחמת יום הכיפורים</w:t>
      </w:r>
      <w:r w:rsidRPr="00E17381">
        <w:rPr>
          <w:rFonts w:hint="cs"/>
          <w:rtl/>
        </w:rPr>
        <w:t xml:space="preserve"> כגרעין התיישבותי שהתאגד מחברים מכל גווני הקשת הפוליטית. היישוב עוד נזכר כנחלה במקורות כאזור קו הגבול בין שבטי יהודה ובנימין. מעלה אדומים הפכה לעיר המונה כיום כ-40,000 תושבים. העיר ממוקמת כ-7 ק"מ מזרחית לירושלים הבירה, </w:t>
      </w:r>
      <w:r>
        <w:rPr>
          <w:rFonts w:hint="cs"/>
          <w:rtl/>
        </w:rPr>
        <w:t>ב</w:t>
      </w:r>
      <w:r w:rsidRPr="00E17381">
        <w:rPr>
          <w:rFonts w:hint="cs"/>
          <w:rtl/>
        </w:rPr>
        <w:t xml:space="preserve">דרך </w:t>
      </w:r>
      <w:r>
        <w:rPr>
          <w:rFonts w:hint="cs"/>
          <w:rtl/>
        </w:rPr>
        <w:t>מ</w:t>
      </w:r>
      <w:r w:rsidRPr="00E17381">
        <w:rPr>
          <w:rFonts w:hint="cs"/>
          <w:rtl/>
        </w:rPr>
        <w:t xml:space="preserve">ירושלים </w:t>
      </w:r>
      <w:r>
        <w:rPr>
          <w:rFonts w:hint="cs"/>
          <w:rtl/>
        </w:rPr>
        <w:t>ל</w:t>
      </w:r>
      <w:r w:rsidRPr="00E17381">
        <w:rPr>
          <w:rFonts w:hint="cs"/>
          <w:rtl/>
        </w:rPr>
        <w:t>ים המלח, בצומת דרכים בעל חשיבות אסטרטגית בכל הקשור הן להבטחת הדרך לירושלים והן כאזור מרכזי המחבר בין בקעת הירדן, מדבר יהודה וירושלים.</w:t>
      </w:r>
      <w:r w:rsidR="001D0550">
        <w:rPr>
          <w:rFonts w:hint="cs"/>
        </w:rPr>
        <w:t xml:space="preserve"> </w:t>
      </w:r>
      <w:r w:rsidRPr="00E17381">
        <w:rPr>
          <w:rFonts w:hint="cs"/>
          <w:rtl/>
        </w:rPr>
        <w:t>קיימת הפנמה רחבה בארץ ובעולם לגבי סיפוחה של מעלה אדומים למדינת ישראל, והחלת הריבונות הישראלית בשטחה.</w:t>
      </w:r>
    </w:p>
    <w:p w14:paraId="32C81E42" w14:textId="77777777" w:rsidR="00B25BDB" w:rsidRPr="006B1244" w:rsidRDefault="00B25BDB" w:rsidP="00074596">
      <w:pPr>
        <w:pStyle w:val="Hesber"/>
        <w:spacing w:line="276" w:lineRule="auto"/>
        <w:rPr>
          <w:rtl/>
        </w:rPr>
      </w:pPr>
      <w:r>
        <w:rPr>
          <w:rtl/>
        </w:rPr>
        <w:t xml:space="preserve">גוש עציון היה </w:t>
      </w:r>
      <w:r>
        <w:rPr>
          <w:rFonts w:hint="cs"/>
          <w:rtl/>
        </w:rPr>
        <w:t>מאז ומעולם</w:t>
      </w:r>
      <w:r>
        <w:rPr>
          <w:rtl/>
        </w:rPr>
        <w:t xml:space="preserve"> השער לירושלים: בדרכיו צעד אברהם אבינו לקולה של הקריאה "קום והתהלך בארץ לארכה ולרחבה כי לך </w:t>
      </w:r>
      <w:proofErr w:type="spellStart"/>
      <w:r>
        <w:rPr>
          <w:rtl/>
        </w:rPr>
        <w:t>אתננה</w:t>
      </w:r>
      <w:proofErr w:type="spellEnd"/>
      <w:r>
        <w:rPr>
          <w:rtl/>
        </w:rPr>
        <w:t>", כאן צעדו עולי הרגל בדרכם לבית המקדש שבירושלים, וכאן נלחמו צבאות המכבים נגד היוונים כדי לשחרר את ירושלים מהכיבוש היווני. באותו אזור ממש לחמו גם גיבורי גוש עציון שהקריבו את נפשם כדי להציל את ירושלים בירת ישראל</w:t>
      </w:r>
      <w:r>
        <w:rPr>
          <w:rFonts w:hint="cs"/>
          <w:rtl/>
        </w:rPr>
        <w:t>.</w:t>
      </w:r>
      <w:r>
        <w:rPr>
          <w:rtl/>
        </w:rPr>
        <w:t xml:space="preserve"> כדברי ראש הממשלה הראשון דוד בן גוריון: "אם קיימת ירושלים עברית</w:t>
      </w:r>
      <w:r>
        <w:rPr>
          <w:rFonts w:hint="cs"/>
          <w:rtl/>
        </w:rPr>
        <w:t>... אזי</w:t>
      </w:r>
      <w:r>
        <w:rPr>
          <w:rtl/>
        </w:rPr>
        <w:t xml:space="preserve"> התודה הראשונה של ההיסטוריה הישראלית ושל העם כולו נתונה על כך ללוחמי גוש עציון"</w:t>
      </w:r>
      <w:r>
        <w:rPr>
          <w:rFonts w:hint="cs"/>
          <w:rtl/>
        </w:rPr>
        <w:t xml:space="preserve">. </w:t>
      </w:r>
      <w:r>
        <w:rPr>
          <w:rtl/>
        </w:rPr>
        <w:t>לכאן חזרו בניהם להקים מחדש את ביתם בגוש עציון</w:t>
      </w:r>
      <w:r>
        <w:rPr>
          <w:rFonts w:hint="cs"/>
          <w:rtl/>
        </w:rPr>
        <w:t xml:space="preserve"> בתום 19 שנות הכיבוש הירדני</w:t>
      </w:r>
      <w:r>
        <w:rPr>
          <w:rtl/>
        </w:rPr>
        <w:t>.</w:t>
      </w:r>
    </w:p>
    <w:p w14:paraId="423D9FC5" w14:textId="75BB8219" w:rsidR="00B25BDB" w:rsidRPr="006B1244" w:rsidRDefault="00B25BDB" w:rsidP="00074596">
      <w:pPr>
        <w:pStyle w:val="Hesber"/>
        <w:spacing w:line="276" w:lineRule="auto"/>
        <w:rPr>
          <w:rtl/>
        </w:rPr>
      </w:pPr>
      <w:r w:rsidRPr="006B1244">
        <w:rPr>
          <w:rtl/>
        </w:rPr>
        <w:t xml:space="preserve">בקעת הירדן </w:t>
      </w:r>
      <w:r w:rsidR="001D0550" w:rsidRPr="006B1244">
        <w:rPr>
          <w:rFonts w:hint="cs"/>
          <w:rtl/>
        </w:rPr>
        <w:t>ה</w:t>
      </w:r>
      <w:r w:rsidR="001D0550">
        <w:rPr>
          <w:rFonts w:hint="cs"/>
          <w:rtl/>
        </w:rPr>
        <w:t>י</w:t>
      </w:r>
      <w:r w:rsidR="001D0550" w:rsidRPr="006B1244">
        <w:rPr>
          <w:rFonts w:hint="cs"/>
          <w:rtl/>
        </w:rPr>
        <w:t>יתה</w:t>
      </w:r>
      <w:r w:rsidRPr="006B1244">
        <w:rPr>
          <w:rtl/>
        </w:rPr>
        <w:t xml:space="preserve"> המקום הראשון אליו הגיע עם ישראל בתום מסעותיו </w:t>
      </w:r>
      <w:r>
        <w:rPr>
          <w:rtl/>
        </w:rPr>
        <w:t>במדבר, לאחר דברי ה' אל יהושע: "</w:t>
      </w:r>
      <w:r w:rsidRPr="006B1244">
        <w:rPr>
          <w:rtl/>
        </w:rPr>
        <w:t>קום עבור את הירדן הזה אתה וכל העם הזה אל הארץ אשר אנכי נותן להם לבני ישראל. כל מקום אשר תדרוך כף רגלכם בו לכם נתתיו".</w:t>
      </w:r>
      <w:r w:rsidRPr="006B1244">
        <w:rPr>
          <w:rFonts w:hint="cs"/>
          <w:rtl/>
        </w:rPr>
        <w:t xml:space="preserve"> </w:t>
      </w:r>
      <w:r w:rsidRPr="006B1244">
        <w:rPr>
          <w:rtl/>
        </w:rPr>
        <w:t>זכותו של עם ישראל על חבלי ארץ אלה הוכרה גם על ידי אומות העולם, בהצהרת בלפור ובהחלטת סן רמו, אשר נתנו תוקף בין-לאומי לקשר ההיסטורי שבין העם היהודי לבין ארץ-ישראל ולזכותו להקים בה מחדש את ביתו הלאומי. הכרה זו של האומות המאוחדות בזכות ה</w:t>
      </w:r>
      <w:r>
        <w:rPr>
          <w:rtl/>
        </w:rPr>
        <w:t>עם היהודי להקים את מדינתו בארצו</w:t>
      </w:r>
      <w:r w:rsidRPr="006B1244">
        <w:rPr>
          <w:rtl/>
        </w:rPr>
        <w:t xml:space="preserve"> אינה ניתנת להפקעה.</w:t>
      </w:r>
    </w:p>
    <w:p w14:paraId="51272195" w14:textId="77777777" w:rsidR="00B25BDB" w:rsidRPr="006B1244" w:rsidRDefault="00B25BDB" w:rsidP="00074596">
      <w:pPr>
        <w:pStyle w:val="Hesber"/>
        <w:spacing w:line="276" w:lineRule="auto"/>
        <w:rPr>
          <w:rtl/>
        </w:rPr>
      </w:pPr>
      <w:r w:rsidRPr="006B1244">
        <w:rPr>
          <w:rtl/>
        </w:rPr>
        <w:t>בתום מלחמת העצמאות נותר האזור במשך 19 שנה תחת כיבוש ירדני, עד ששוחרר במלחמת ששת הימים. מאז חלפו שנים רבות, במהלכן הקימה מדינת ישראל באזור י</w:t>
      </w:r>
      <w:r>
        <w:rPr>
          <w:rFonts w:hint="cs"/>
          <w:rtl/>
        </w:rPr>
        <w:t>י</w:t>
      </w:r>
      <w:r w:rsidRPr="006B1244">
        <w:rPr>
          <w:rtl/>
        </w:rPr>
        <w:t xml:space="preserve">שובים ישראלים משגשגים, </w:t>
      </w:r>
      <w:r>
        <w:rPr>
          <w:rFonts w:hint="cs"/>
          <w:rtl/>
        </w:rPr>
        <w:t>ש</w:t>
      </w:r>
      <w:r w:rsidRPr="006B1244">
        <w:rPr>
          <w:rtl/>
        </w:rPr>
        <w:t>בהם מתגוררים אלפי אזרחים ישראלים, שחלקם כבר מגדלים במקום דור שלישי ורביעי. בצד י</w:t>
      </w:r>
      <w:r>
        <w:rPr>
          <w:rFonts w:hint="cs"/>
          <w:rtl/>
        </w:rPr>
        <w:t>י</w:t>
      </w:r>
      <w:r w:rsidRPr="006B1244">
        <w:rPr>
          <w:rtl/>
        </w:rPr>
        <w:t xml:space="preserve">שובים חדשים </w:t>
      </w:r>
      <w:r>
        <w:rPr>
          <w:rtl/>
        </w:rPr>
        <w:t>אלה, מצויים באזור מקומות קדושים</w:t>
      </w:r>
      <w:r w:rsidRPr="006B1244">
        <w:rPr>
          <w:rtl/>
        </w:rPr>
        <w:t xml:space="preserve"> ואתרים ארכיאולוגיים והיסטוריים המעידים על הקשר רב השנים של עם ישראל לחבלי ארץ אלה.</w:t>
      </w:r>
    </w:p>
    <w:p w14:paraId="654022E0" w14:textId="77777777" w:rsidR="00B25BDB" w:rsidRDefault="00B25BDB" w:rsidP="00074596">
      <w:pPr>
        <w:pStyle w:val="Hesber"/>
        <w:spacing w:line="276" w:lineRule="auto"/>
        <w:rPr>
          <w:rtl/>
        </w:rPr>
      </w:pPr>
      <w:r w:rsidRPr="006B1244">
        <w:rPr>
          <w:rtl/>
        </w:rPr>
        <w:t>לכן</w:t>
      </w:r>
      <w:r>
        <w:rPr>
          <w:rFonts w:hint="cs"/>
          <w:rtl/>
        </w:rPr>
        <w:t>,</w:t>
      </w:r>
      <w:r w:rsidRPr="006B1244">
        <w:rPr>
          <w:rtl/>
        </w:rPr>
        <w:t xml:space="preserve"> הגיעה העת להחיל את הריבונות על אזורים אלה</w:t>
      </w:r>
      <w:r>
        <w:rPr>
          <w:rFonts w:hint="cs"/>
          <w:rtl/>
        </w:rPr>
        <w:t>,</w:t>
      </w:r>
      <w:r w:rsidRPr="006B1244">
        <w:rPr>
          <w:rFonts w:hint="cs"/>
          <w:rtl/>
        </w:rPr>
        <w:t xml:space="preserve"> הכוללים את </w:t>
      </w:r>
      <w:r>
        <w:rPr>
          <w:rFonts w:hint="cs"/>
          <w:rtl/>
        </w:rPr>
        <w:t>מעלה אדומים וכל יישובי המועצה האזורית גוש עציון, אפרת וביתר עילית, לרבות את אזורי המסחר והתעשייה, האתרים הארכיאולוגים, הכבישים, ו</w:t>
      </w:r>
      <w:r w:rsidRPr="006B1244">
        <w:rPr>
          <w:rFonts w:hint="cs"/>
          <w:rtl/>
        </w:rPr>
        <w:t>כ</w:t>
      </w:r>
      <w:r>
        <w:rPr>
          <w:rFonts w:hint="cs"/>
          <w:rtl/>
        </w:rPr>
        <w:t>ן כ</w:t>
      </w:r>
      <w:r w:rsidRPr="006B1244">
        <w:rPr>
          <w:rFonts w:hint="cs"/>
          <w:rtl/>
        </w:rPr>
        <w:t>ל יישובי בקעת הירדן והמועצה האזורית מגילות, בהם היישובים: כוכב השחר, רימונים, מעלה מכמש,</w:t>
      </w:r>
      <w:r w:rsidRPr="009A0184">
        <w:rPr>
          <w:rFonts w:hint="cs"/>
          <w:rtl/>
        </w:rPr>
        <w:t xml:space="preserve"> </w:t>
      </w:r>
      <w:r>
        <w:rPr>
          <w:rFonts w:hint="cs"/>
          <w:rtl/>
        </w:rPr>
        <w:t>מצפה חגית, נוה ארז,</w:t>
      </w:r>
      <w:r w:rsidRPr="006B1244">
        <w:rPr>
          <w:rFonts w:hint="cs"/>
          <w:rtl/>
        </w:rPr>
        <w:t xml:space="preserve"> נופי פרת, ענתות, כפר אדומים, מצפה יריחו ומגדלים לרבות את אזורי המסחר והתעשייה, האתרים הארכיאולוגים, הכבישים</w:t>
      </w:r>
      <w:r>
        <w:rPr>
          <w:rFonts w:hint="cs"/>
          <w:rtl/>
        </w:rPr>
        <w:t xml:space="preserve"> </w:t>
      </w:r>
      <w:r w:rsidRPr="006B1244">
        <w:rPr>
          <w:rFonts w:hint="cs"/>
          <w:rtl/>
        </w:rPr>
        <w:t>וכל אדמות המדינה שבין היישובים</w:t>
      </w:r>
      <w:r>
        <w:rPr>
          <w:rFonts w:hint="cs"/>
          <w:rtl/>
        </w:rPr>
        <w:t xml:space="preserve">, בשטחי </w:t>
      </w:r>
      <w:r>
        <w:t>C</w:t>
      </w:r>
      <w:r w:rsidRPr="006B1244">
        <w:rPr>
          <w:rFonts w:hint="cs"/>
          <w:rtl/>
        </w:rPr>
        <w:t>.</w:t>
      </w:r>
    </w:p>
    <w:p w14:paraId="6886CBBB" w14:textId="77777777" w:rsidR="00B25BDB" w:rsidRPr="006B1244" w:rsidRDefault="00B25BDB" w:rsidP="00074596">
      <w:pPr>
        <w:pStyle w:val="Hesber"/>
        <w:spacing w:line="276" w:lineRule="auto"/>
        <w:rPr>
          <w:rtl/>
        </w:rPr>
      </w:pPr>
      <w:r w:rsidRPr="00BC3E7E">
        <w:rPr>
          <w:rFonts w:hint="eastAsia"/>
          <w:rtl/>
        </w:rPr>
        <w:t>אשר</w:t>
      </w:r>
      <w:r w:rsidRPr="00BC3E7E">
        <w:rPr>
          <w:rtl/>
        </w:rPr>
        <w:t xml:space="preserve"> </w:t>
      </w:r>
      <w:r w:rsidRPr="00BC3E7E">
        <w:rPr>
          <w:rFonts w:hint="eastAsia"/>
          <w:rtl/>
        </w:rPr>
        <w:t>על</w:t>
      </w:r>
      <w:r w:rsidRPr="00BC3E7E">
        <w:rPr>
          <w:rtl/>
        </w:rPr>
        <w:t xml:space="preserve"> </w:t>
      </w:r>
      <w:r w:rsidRPr="00BC3E7E">
        <w:rPr>
          <w:rFonts w:hint="eastAsia"/>
          <w:rtl/>
        </w:rPr>
        <w:t>כן</w:t>
      </w:r>
      <w:r w:rsidRPr="00BC3E7E">
        <w:rPr>
          <w:rtl/>
        </w:rPr>
        <w:t xml:space="preserve">, </w:t>
      </w:r>
      <w:r w:rsidRPr="00BC3E7E">
        <w:rPr>
          <w:rFonts w:hint="eastAsia"/>
          <w:rtl/>
        </w:rPr>
        <w:t>מוצע</w:t>
      </w:r>
      <w:r w:rsidRPr="00BC3E7E">
        <w:rPr>
          <w:rtl/>
        </w:rPr>
        <w:t xml:space="preserve"> </w:t>
      </w:r>
      <w:r w:rsidRPr="00BC3E7E">
        <w:rPr>
          <w:rFonts w:hint="eastAsia"/>
          <w:rtl/>
        </w:rPr>
        <w:t>להחיל</w:t>
      </w:r>
      <w:r w:rsidRPr="00BC3E7E">
        <w:rPr>
          <w:rtl/>
        </w:rPr>
        <w:t xml:space="preserve"> </w:t>
      </w:r>
      <w:r w:rsidRPr="00BC3E7E">
        <w:rPr>
          <w:rFonts w:hint="eastAsia"/>
          <w:rtl/>
        </w:rPr>
        <w:t>כבר</w:t>
      </w:r>
      <w:r w:rsidRPr="00BC3E7E">
        <w:rPr>
          <w:rtl/>
        </w:rPr>
        <w:t xml:space="preserve"> </w:t>
      </w:r>
      <w:r w:rsidRPr="00BC3E7E">
        <w:rPr>
          <w:rFonts w:hint="eastAsia"/>
          <w:rtl/>
        </w:rPr>
        <w:t>עתה</w:t>
      </w:r>
      <w:r w:rsidRPr="00BC3E7E">
        <w:rPr>
          <w:rtl/>
        </w:rPr>
        <w:t xml:space="preserve"> </w:t>
      </w:r>
      <w:r w:rsidRPr="00BC3E7E">
        <w:rPr>
          <w:rFonts w:hint="eastAsia"/>
          <w:rtl/>
        </w:rPr>
        <w:t>את</w:t>
      </w:r>
      <w:r w:rsidRPr="00BC3E7E">
        <w:rPr>
          <w:rtl/>
        </w:rPr>
        <w:t xml:space="preserve"> </w:t>
      </w:r>
      <w:r w:rsidRPr="00BC3E7E">
        <w:rPr>
          <w:rFonts w:hint="eastAsia"/>
          <w:rtl/>
        </w:rPr>
        <w:t>המשפט</w:t>
      </w:r>
      <w:r w:rsidRPr="00BC3E7E">
        <w:rPr>
          <w:rtl/>
        </w:rPr>
        <w:t xml:space="preserve">, </w:t>
      </w:r>
      <w:r w:rsidRPr="00BC3E7E">
        <w:rPr>
          <w:rFonts w:hint="eastAsia"/>
          <w:rtl/>
        </w:rPr>
        <w:t>השיפוט</w:t>
      </w:r>
      <w:r w:rsidRPr="00BC3E7E">
        <w:rPr>
          <w:rtl/>
        </w:rPr>
        <w:t xml:space="preserve"> </w:t>
      </w:r>
      <w:proofErr w:type="spellStart"/>
      <w:r w:rsidRPr="00BC3E7E">
        <w:rPr>
          <w:rFonts w:hint="eastAsia"/>
          <w:rtl/>
        </w:rPr>
        <w:t>והמ</w:t>
      </w:r>
      <w:r>
        <w:rPr>
          <w:rFonts w:hint="cs"/>
          <w:rtl/>
        </w:rPr>
        <w:t>י</w:t>
      </w:r>
      <w:r w:rsidRPr="00BC3E7E">
        <w:rPr>
          <w:rFonts w:hint="eastAsia"/>
          <w:rtl/>
        </w:rPr>
        <w:t>נהל</w:t>
      </w:r>
      <w:proofErr w:type="spellEnd"/>
      <w:r w:rsidRPr="00BC3E7E">
        <w:rPr>
          <w:rtl/>
        </w:rPr>
        <w:t xml:space="preserve"> </w:t>
      </w:r>
      <w:r w:rsidRPr="00BC3E7E">
        <w:rPr>
          <w:rFonts w:hint="eastAsia"/>
          <w:rtl/>
        </w:rPr>
        <w:t>של</w:t>
      </w:r>
      <w:r w:rsidRPr="00BC3E7E">
        <w:rPr>
          <w:rtl/>
        </w:rPr>
        <w:t xml:space="preserve"> </w:t>
      </w:r>
      <w:r w:rsidRPr="00BC3E7E">
        <w:rPr>
          <w:rFonts w:hint="eastAsia"/>
          <w:rtl/>
        </w:rPr>
        <w:t>מדינת</w:t>
      </w:r>
      <w:r w:rsidRPr="00BC3E7E">
        <w:rPr>
          <w:rtl/>
        </w:rPr>
        <w:t xml:space="preserve"> </w:t>
      </w:r>
      <w:r w:rsidRPr="00BC3E7E">
        <w:rPr>
          <w:rFonts w:hint="eastAsia"/>
          <w:rtl/>
        </w:rPr>
        <w:t>ישראל</w:t>
      </w:r>
      <w:r w:rsidRPr="00BC3E7E">
        <w:rPr>
          <w:rtl/>
        </w:rPr>
        <w:t xml:space="preserve"> </w:t>
      </w:r>
      <w:r w:rsidRPr="00BC3E7E">
        <w:rPr>
          <w:rFonts w:hint="eastAsia"/>
          <w:rtl/>
        </w:rPr>
        <w:t>על</w:t>
      </w:r>
      <w:r w:rsidRPr="00BC3E7E">
        <w:rPr>
          <w:rtl/>
        </w:rPr>
        <w:t xml:space="preserve"> </w:t>
      </w:r>
      <w:r w:rsidRPr="00BC3E7E">
        <w:rPr>
          <w:rFonts w:hint="eastAsia"/>
          <w:rtl/>
        </w:rPr>
        <w:t>אזור</w:t>
      </w:r>
      <w:r w:rsidRPr="00BC3E7E">
        <w:rPr>
          <w:rtl/>
        </w:rPr>
        <w:t xml:space="preserve"> </w:t>
      </w:r>
      <w:r w:rsidRPr="00BC3E7E">
        <w:rPr>
          <w:rFonts w:hint="eastAsia"/>
          <w:rtl/>
        </w:rPr>
        <w:t>זה</w:t>
      </w:r>
      <w:r w:rsidRPr="00BC3E7E">
        <w:rPr>
          <w:rtl/>
        </w:rPr>
        <w:t xml:space="preserve"> </w:t>
      </w:r>
      <w:r w:rsidRPr="00BC3E7E">
        <w:rPr>
          <w:rFonts w:hint="eastAsia"/>
          <w:rtl/>
        </w:rPr>
        <w:t>ולקבע</w:t>
      </w:r>
      <w:r w:rsidRPr="00BC3E7E">
        <w:rPr>
          <w:rtl/>
        </w:rPr>
        <w:t xml:space="preserve"> </w:t>
      </w:r>
      <w:r w:rsidRPr="00BC3E7E">
        <w:rPr>
          <w:rFonts w:hint="eastAsia"/>
          <w:rtl/>
        </w:rPr>
        <w:t>אותו</w:t>
      </w:r>
      <w:r w:rsidRPr="00BC3E7E">
        <w:rPr>
          <w:rtl/>
        </w:rPr>
        <w:t xml:space="preserve"> </w:t>
      </w:r>
      <w:r w:rsidRPr="00BC3E7E">
        <w:rPr>
          <w:rFonts w:hint="eastAsia"/>
          <w:rtl/>
        </w:rPr>
        <w:t>תודעתית</w:t>
      </w:r>
      <w:r w:rsidRPr="00BC3E7E">
        <w:rPr>
          <w:rtl/>
        </w:rPr>
        <w:t xml:space="preserve"> </w:t>
      </w:r>
      <w:r w:rsidRPr="00BC3E7E">
        <w:rPr>
          <w:rFonts w:hint="eastAsia"/>
          <w:rtl/>
        </w:rPr>
        <w:t>ומשפטית</w:t>
      </w:r>
      <w:r w:rsidRPr="00BC3E7E">
        <w:rPr>
          <w:rtl/>
        </w:rPr>
        <w:t xml:space="preserve"> </w:t>
      </w:r>
      <w:r w:rsidRPr="00BC3E7E">
        <w:rPr>
          <w:rFonts w:hint="eastAsia"/>
          <w:rtl/>
        </w:rPr>
        <w:t>כחלק</w:t>
      </w:r>
      <w:r w:rsidRPr="00BC3E7E">
        <w:rPr>
          <w:rtl/>
        </w:rPr>
        <w:t xml:space="preserve"> </w:t>
      </w:r>
      <w:r w:rsidRPr="00BC3E7E">
        <w:rPr>
          <w:rFonts w:hint="eastAsia"/>
          <w:rtl/>
        </w:rPr>
        <w:t>בלתי</w:t>
      </w:r>
      <w:r w:rsidRPr="00BC3E7E">
        <w:rPr>
          <w:rtl/>
        </w:rPr>
        <w:t xml:space="preserve"> </w:t>
      </w:r>
      <w:r w:rsidRPr="00BC3E7E">
        <w:rPr>
          <w:rFonts w:hint="eastAsia"/>
          <w:rtl/>
        </w:rPr>
        <w:t>נפרד</w:t>
      </w:r>
      <w:r w:rsidRPr="00BC3E7E">
        <w:rPr>
          <w:rtl/>
        </w:rPr>
        <w:t xml:space="preserve"> </w:t>
      </w:r>
      <w:r w:rsidRPr="00BC3E7E">
        <w:rPr>
          <w:rFonts w:hint="eastAsia"/>
          <w:rtl/>
        </w:rPr>
        <w:t>ממדינת</w:t>
      </w:r>
      <w:r w:rsidRPr="00BC3E7E">
        <w:rPr>
          <w:rtl/>
        </w:rPr>
        <w:t xml:space="preserve"> </w:t>
      </w:r>
      <w:r w:rsidRPr="00BC3E7E">
        <w:rPr>
          <w:rFonts w:hint="eastAsia"/>
          <w:rtl/>
        </w:rPr>
        <w:t>ישראל</w:t>
      </w:r>
      <w:r w:rsidRPr="00BC3E7E">
        <w:rPr>
          <w:rtl/>
        </w:rPr>
        <w:t>.</w:t>
      </w:r>
    </w:p>
    <w:p w14:paraId="1642B567" w14:textId="77777777" w:rsidR="00B25BDB" w:rsidRDefault="00B25BDB" w:rsidP="00074596">
      <w:pPr>
        <w:pStyle w:val="Hesber"/>
        <w:spacing w:line="276" w:lineRule="auto"/>
        <w:rPr>
          <w:rtl/>
        </w:rPr>
      </w:pPr>
      <w:r w:rsidRPr="006B1244">
        <w:rPr>
          <w:rtl/>
        </w:rPr>
        <w:t>יצוין כי באזור</w:t>
      </w:r>
      <w:r>
        <w:rPr>
          <w:rFonts w:hint="cs"/>
          <w:rtl/>
        </w:rPr>
        <w:t>ים אלו</w:t>
      </w:r>
      <w:r w:rsidRPr="006B1244">
        <w:rPr>
          <w:rtl/>
        </w:rPr>
        <w:t xml:space="preserve"> מתגוררים לא יותר מאלפי תושבים ערבים, ועל כן החלת הריבונות לא תשנה באופן מהותי את המאזן הדמוגרפי בישראל, ולא תפגע באופייה הדמוקרטי של המדינה.</w:t>
      </w:r>
    </w:p>
    <w:p w14:paraId="6FB43AEB" w14:textId="77777777" w:rsidR="00C4173E" w:rsidRDefault="00C4173E" w:rsidP="00074596">
      <w:pPr>
        <w:pStyle w:val="Hesber"/>
        <w:rPr>
          <w:rtl/>
        </w:rPr>
      </w:pPr>
    </w:p>
    <w:p w14:paraId="70454779" w14:textId="77777777" w:rsidR="00C4173E" w:rsidRDefault="00C4173E" w:rsidP="00074596">
      <w:pPr>
        <w:pStyle w:val="Hesber"/>
        <w:rPr>
          <w:rtl/>
        </w:rPr>
      </w:pPr>
    </w:p>
    <w:p w14:paraId="1C6090E1" w14:textId="77777777" w:rsidR="00074596" w:rsidRDefault="00074596" w:rsidP="00074596">
      <w:pPr>
        <w:pStyle w:val="Hesber"/>
        <w:rPr>
          <w:rtl/>
        </w:rPr>
      </w:pPr>
    </w:p>
    <w:p w14:paraId="2D95BEDD" w14:textId="77777777" w:rsidR="00C4173E" w:rsidRDefault="00C4173E" w:rsidP="00074596">
      <w:pPr>
        <w:pStyle w:val="Hesber"/>
        <w:rPr>
          <w:rtl/>
        </w:rPr>
      </w:pPr>
      <w:r>
        <w:rPr>
          <w:rtl/>
        </w:rPr>
        <w:t>---------------------------------</w:t>
      </w:r>
    </w:p>
    <w:p w14:paraId="64C7F73B" w14:textId="77777777" w:rsidR="00C4173E" w:rsidRDefault="00C4173E" w:rsidP="00074596">
      <w:pPr>
        <w:pStyle w:val="Hesber"/>
        <w:rPr>
          <w:rtl/>
        </w:rPr>
      </w:pPr>
      <w:r>
        <w:rPr>
          <w:rtl/>
        </w:rPr>
        <w:t>הוגשה ליו"ר הכנסת והסגנים</w:t>
      </w:r>
    </w:p>
    <w:p w14:paraId="66646F31" w14:textId="77777777" w:rsidR="00C4173E" w:rsidRDefault="00C4173E" w:rsidP="00074596">
      <w:pPr>
        <w:pStyle w:val="Hesber"/>
        <w:rPr>
          <w:rtl/>
        </w:rPr>
      </w:pPr>
      <w:r>
        <w:rPr>
          <w:rtl/>
        </w:rPr>
        <w:t>והונחה על שולחן הכנסת ביום</w:t>
      </w:r>
    </w:p>
    <w:p w14:paraId="2CD3E1C6" w14:textId="05FA0127" w:rsidR="00C4173E" w:rsidRPr="006B1244" w:rsidRDefault="00C4173E" w:rsidP="00074596">
      <w:pPr>
        <w:pStyle w:val="Hesber"/>
        <w:rPr>
          <w:rtl/>
        </w:rPr>
      </w:pPr>
      <w:r>
        <w:rPr>
          <w:rtl/>
        </w:rPr>
        <w:t xml:space="preserve">י"א בכסלו </w:t>
      </w:r>
      <w:proofErr w:type="spellStart"/>
      <w:r>
        <w:rPr>
          <w:rtl/>
        </w:rPr>
        <w:t>התש"ף</w:t>
      </w:r>
      <w:proofErr w:type="spellEnd"/>
      <w:r>
        <w:rPr>
          <w:rtl/>
        </w:rPr>
        <w:t xml:space="preserve"> </w:t>
      </w:r>
      <w:r w:rsidR="00204CFF">
        <w:rPr>
          <w:rFonts w:hint="cs"/>
          <w:rtl/>
        </w:rPr>
        <w:t>–</w:t>
      </w:r>
      <w:r>
        <w:rPr>
          <w:rtl/>
        </w:rPr>
        <w:t xml:space="preserve"> 9.12.19</w:t>
      </w:r>
    </w:p>
    <w:sectPr w:rsidR="00C4173E" w:rsidRPr="006B1244" w:rsidSect="00074596">
      <w:footerReference w:type="even" r:id="rId12"/>
      <w:footerReference w:type="default" r:id="rId13"/>
      <w:pgSz w:w="11907" w:h="16840" w:code="9"/>
      <w:pgMar w:top="851" w:right="1134" w:bottom="851"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21F60">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4596"/>
    <w:rsid w:val="0007681A"/>
    <w:rsid w:val="000A542E"/>
    <w:rsid w:val="000D7D33"/>
    <w:rsid w:val="00102B6B"/>
    <w:rsid w:val="001052D4"/>
    <w:rsid w:val="0010644B"/>
    <w:rsid w:val="001207F8"/>
    <w:rsid w:val="00121924"/>
    <w:rsid w:val="001279A8"/>
    <w:rsid w:val="0014195F"/>
    <w:rsid w:val="00152609"/>
    <w:rsid w:val="00153E1B"/>
    <w:rsid w:val="001A0623"/>
    <w:rsid w:val="001C23B0"/>
    <w:rsid w:val="001D0550"/>
    <w:rsid w:val="001D7AAF"/>
    <w:rsid w:val="00203A7F"/>
    <w:rsid w:val="00204CF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4F4442"/>
    <w:rsid w:val="00553C9D"/>
    <w:rsid w:val="00562A66"/>
    <w:rsid w:val="005B064E"/>
    <w:rsid w:val="005D51AE"/>
    <w:rsid w:val="00620BDE"/>
    <w:rsid w:val="0062674B"/>
    <w:rsid w:val="006363B2"/>
    <w:rsid w:val="00644940"/>
    <w:rsid w:val="00657C32"/>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25BDB"/>
    <w:rsid w:val="00B35784"/>
    <w:rsid w:val="00B733A7"/>
    <w:rsid w:val="00B75C91"/>
    <w:rsid w:val="00B975AD"/>
    <w:rsid w:val="00BC45FB"/>
    <w:rsid w:val="00BF148D"/>
    <w:rsid w:val="00C21F60"/>
    <w:rsid w:val="00C23B1A"/>
    <w:rsid w:val="00C310EB"/>
    <w:rsid w:val="00C4173E"/>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B4BAF"/>
    <w:rsid w:val="00FF5A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1FC3FAB-E1BE-415C-8F62-3B64B3E1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locked/>
    <w:rsid w:val="001D055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7395C19-D034-4A0E-AD4D-5868AB38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AE0199-172E-4C02-A353-6F16FCE4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586</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15</cp:revision>
  <cp:lastPrinted>2019-12-05T09:09:00Z</cp:lastPrinted>
  <dcterms:created xsi:type="dcterms:W3CDTF">2015-04-20T09:58:00Z</dcterms:created>
  <dcterms:modified xsi:type="dcterms:W3CDTF">2019-12-05T09:11:00Z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2083162</vt:r8>
  </property>
</Properties>
</file>