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2083096</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ושתיים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איציק שמולי</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פ/1234/22</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21633A">
      <w:pPr>
        <w:pStyle w:val="HeadHatzaotHok"/>
        <w:rPr>
          <w:rtl/>
        </w:rPr>
      </w:pPr>
      <w:bookmarkStart w:id="7" w:name="LGS_Subject"/>
      <w:r>
        <w:rPr>
          <w:rFonts w:hint="cs"/>
          <w:rtl/>
        </w:rPr>
        <w:t>הצעת חוק להסדרת הפיקוח על כלבים (תיקון – מרכז רישום ארצי), התש"ף–2019</w:t>
      </w:r>
      <w:bookmarkEnd w:id="7"/>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005C044E" w14:paraId="4AA63047" w14:textId="77777777" w:rsidTr="00835771">
        <w:trPr>
          <w:cantSplit/>
          <w:trHeight w:val="60"/>
        </w:trPr>
        <w:tc>
          <w:tcPr>
            <w:tcW w:w="1871" w:type="dxa"/>
          </w:tcPr>
          <w:p w14:paraId="42538E93" w14:textId="77777777" w:rsidR="005C044E" w:rsidRDefault="005C044E" w:rsidP="00835771">
            <w:pPr>
              <w:pStyle w:val="TableSideHeading"/>
              <w:keepLines w:val="0"/>
            </w:pPr>
            <w:r>
              <w:rPr>
                <w:rFonts w:hint="cs"/>
                <w:rtl/>
              </w:rPr>
              <w:t>תיקון סעיף 1.</w:t>
            </w:r>
          </w:p>
        </w:tc>
        <w:tc>
          <w:tcPr>
            <w:tcW w:w="624" w:type="dxa"/>
          </w:tcPr>
          <w:p w14:paraId="1A9166FC" w14:textId="77777777" w:rsidR="005C044E" w:rsidRDefault="005C044E" w:rsidP="00835771">
            <w:pPr>
              <w:pStyle w:val="TableText"/>
              <w:keepLines w:val="0"/>
              <w:numPr>
                <w:ilvl w:val="0"/>
                <w:numId w:val="12"/>
              </w:numPr>
            </w:pPr>
          </w:p>
        </w:tc>
        <w:tc>
          <w:tcPr>
            <w:tcW w:w="7146" w:type="dxa"/>
            <w:gridSpan w:val="2"/>
          </w:tcPr>
          <w:p w14:paraId="57289342" w14:textId="231B6F84" w:rsidR="005C044E" w:rsidRPr="00C34DE2" w:rsidRDefault="005C044E" w:rsidP="00552AD8">
            <w:pPr>
              <w:pStyle w:val="TableBlock"/>
              <w:keepLines w:val="0"/>
              <w:rPr>
                <w:rtl/>
              </w:rPr>
            </w:pPr>
            <w:r>
              <w:rPr>
                <w:rFonts w:hint="cs"/>
                <w:rtl/>
              </w:rPr>
              <w:t>בחוק להסדרת הפיקוח על כלבים, התשס"ג</w:t>
            </w:r>
            <w:r>
              <w:rPr>
                <w:rtl/>
              </w:rPr>
              <w:t>–</w:t>
            </w:r>
            <w:r>
              <w:rPr>
                <w:rFonts w:hint="cs"/>
                <w:rtl/>
              </w:rPr>
              <w:t>2002</w:t>
            </w:r>
            <w:r>
              <w:rPr>
                <w:rStyle w:val="a5"/>
                <w:rtl/>
              </w:rPr>
              <w:footnoteReference w:id="2"/>
            </w:r>
            <w:r>
              <w:rPr>
                <w:rFonts w:hint="cs"/>
                <w:rtl/>
              </w:rPr>
              <w:t xml:space="preserve"> (להלן </w:t>
            </w:r>
            <w:r>
              <w:rPr>
                <w:rFonts w:hint="eastAsia"/>
                <w:rtl/>
              </w:rPr>
              <w:t xml:space="preserve">– </w:t>
            </w:r>
            <w:r>
              <w:rPr>
                <w:rFonts w:hint="cs"/>
                <w:rtl/>
              </w:rPr>
              <w:t>החוק העיקרי), בסעיף 1 –</w:t>
            </w:r>
          </w:p>
        </w:tc>
      </w:tr>
      <w:tr w:rsidR="005C044E" w14:paraId="7B892BC8" w14:textId="77777777" w:rsidTr="00835771">
        <w:trPr>
          <w:cantSplit/>
          <w:trHeight w:val="60"/>
        </w:trPr>
        <w:tc>
          <w:tcPr>
            <w:tcW w:w="1871" w:type="dxa"/>
          </w:tcPr>
          <w:p w14:paraId="649703CF" w14:textId="77777777" w:rsidR="005C044E" w:rsidRDefault="005C044E" w:rsidP="00835771">
            <w:pPr>
              <w:pStyle w:val="TableSideHeading"/>
              <w:keepLines w:val="0"/>
              <w:rPr>
                <w:rtl/>
              </w:rPr>
            </w:pPr>
          </w:p>
        </w:tc>
        <w:tc>
          <w:tcPr>
            <w:tcW w:w="624" w:type="dxa"/>
          </w:tcPr>
          <w:p w14:paraId="107A0B3F" w14:textId="77777777" w:rsidR="005C044E" w:rsidRDefault="005C044E" w:rsidP="00835771">
            <w:pPr>
              <w:pStyle w:val="TableText"/>
            </w:pPr>
          </w:p>
        </w:tc>
        <w:tc>
          <w:tcPr>
            <w:tcW w:w="7146" w:type="dxa"/>
            <w:gridSpan w:val="2"/>
          </w:tcPr>
          <w:p w14:paraId="350E2AB5" w14:textId="6BD70D0E" w:rsidR="005C044E" w:rsidRDefault="005C044E" w:rsidP="00552AD8">
            <w:pPr>
              <w:pStyle w:val="TableBlock"/>
              <w:keepLines w:val="0"/>
              <w:rPr>
                <w:rtl/>
              </w:rPr>
            </w:pPr>
            <w:r w:rsidRPr="001064F1">
              <w:rPr>
                <w:rFonts w:hint="cs"/>
                <w:rtl/>
              </w:rPr>
              <w:t>(1)</w:t>
            </w:r>
            <w:r w:rsidRPr="001064F1">
              <w:rPr>
                <w:rtl/>
              </w:rPr>
              <w:tab/>
            </w:r>
            <w:r w:rsidRPr="001064F1">
              <w:rPr>
                <w:rFonts w:hint="cs"/>
                <w:rtl/>
              </w:rPr>
              <w:t>בהגדרה "בעליו של כלב", בסופה יבוא "ולרבות מיתקן מוגן כהגדרתו בחוק צער בעלי חיים (הגנה על בעלי חיים) התשנ"ד</w:t>
            </w:r>
            <w:r w:rsidRPr="001064F1">
              <w:rPr>
                <w:rtl/>
              </w:rPr>
              <w:t>–</w:t>
            </w:r>
            <w:r w:rsidRPr="001064F1">
              <w:rPr>
                <w:rFonts w:hint="cs"/>
                <w:rtl/>
              </w:rPr>
              <w:t>1994</w:t>
            </w:r>
            <w:r>
              <w:rPr>
                <w:rStyle w:val="a5"/>
                <w:rtl/>
              </w:rPr>
              <w:footnoteReference w:id="3"/>
            </w:r>
            <w:r w:rsidRPr="001064F1">
              <w:rPr>
                <w:rFonts w:hint="cs"/>
                <w:rtl/>
              </w:rPr>
              <w:t xml:space="preserve"> (להלן </w:t>
            </w:r>
            <w:r w:rsidRPr="001064F1">
              <w:rPr>
                <w:rFonts w:hint="eastAsia"/>
                <w:rtl/>
              </w:rPr>
              <w:t xml:space="preserve">– </w:t>
            </w:r>
            <w:r w:rsidRPr="001064F1">
              <w:rPr>
                <w:rFonts w:hint="cs"/>
                <w:rtl/>
              </w:rPr>
              <w:t>מיתקן מוגן) או מאורת הרשות</w:t>
            </w:r>
            <w:r>
              <w:rPr>
                <w:rFonts w:hint="cs"/>
                <w:rtl/>
              </w:rPr>
              <w:t>;";</w:t>
            </w:r>
          </w:p>
        </w:tc>
      </w:tr>
      <w:tr w:rsidR="005C044E" w14:paraId="290D04D3" w14:textId="77777777" w:rsidTr="00835771">
        <w:trPr>
          <w:cantSplit/>
          <w:trHeight w:val="60"/>
        </w:trPr>
        <w:tc>
          <w:tcPr>
            <w:tcW w:w="1871" w:type="dxa"/>
          </w:tcPr>
          <w:p w14:paraId="5861832D" w14:textId="77777777" w:rsidR="005C044E" w:rsidRDefault="005C044E" w:rsidP="00835771">
            <w:pPr>
              <w:pStyle w:val="TableSideHeading"/>
              <w:keepLines w:val="0"/>
              <w:rPr>
                <w:rtl/>
              </w:rPr>
            </w:pPr>
          </w:p>
        </w:tc>
        <w:tc>
          <w:tcPr>
            <w:tcW w:w="624" w:type="dxa"/>
          </w:tcPr>
          <w:p w14:paraId="2FF2485D" w14:textId="77777777" w:rsidR="005C044E" w:rsidRDefault="005C044E" w:rsidP="00835771">
            <w:pPr>
              <w:pStyle w:val="TableText"/>
            </w:pPr>
          </w:p>
        </w:tc>
        <w:tc>
          <w:tcPr>
            <w:tcW w:w="7146" w:type="dxa"/>
            <w:gridSpan w:val="2"/>
          </w:tcPr>
          <w:p w14:paraId="7CCEEAA7" w14:textId="77777777" w:rsidR="005C044E" w:rsidRPr="001064F1" w:rsidRDefault="005C044E" w:rsidP="00835771">
            <w:pPr>
              <w:pStyle w:val="TableBlock"/>
              <w:keepLines w:val="0"/>
              <w:rPr>
                <w:rtl/>
              </w:rPr>
            </w:pPr>
            <w:r>
              <w:rPr>
                <w:rFonts w:hint="cs"/>
                <w:rtl/>
              </w:rPr>
              <w:t>(2)</w:t>
            </w:r>
            <w:r>
              <w:rPr>
                <w:rtl/>
              </w:rPr>
              <w:tab/>
            </w:r>
            <w:r>
              <w:rPr>
                <w:rFonts w:hint="cs"/>
                <w:rtl/>
              </w:rPr>
              <w:t>במקום ההגדרה "רישיון" יבוא:</w:t>
            </w:r>
          </w:p>
        </w:tc>
      </w:tr>
      <w:tr w:rsidR="005C044E" w14:paraId="5891A9E0" w14:textId="77777777" w:rsidTr="00835771">
        <w:trPr>
          <w:cantSplit/>
          <w:trHeight w:val="60"/>
        </w:trPr>
        <w:tc>
          <w:tcPr>
            <w:tcW w:w="1871" w:type="dxa"/>
          </w:tcPr>
          <w:p w14:paraId="737EEBBD" w14:textId="77777777" w:rsidR="005C044E" w:rsidRDefault="005C044E" w:rsidP="00835771">
            <w:pPr>
              <w:pStyle w:val="TableSideHeading"/>
            </w:pPr>
          </w:p>
        </w:tc>
        <w:tc>
          <w:tcPr>
            <w:tcW w:w="624" w:type="dxa"/>
          </w:tcPr>
          <w:p w14:paraId="6726B0BD" w14:textId="77777777" w:rsidR="005C044E" w:rsidRDefault="005C044E" w:rsidP="00835771">
            <w:pPr>
              <w:pStyle w:val="TableText"/>
            </w:pPr>
          </w:p>
        </w:tc>
        <w:tc>
          <w:tcPr>
            <w:tcW w:w="624" w:type="dxa"/>
          </w:tcPr>
          <w:p w14:paraId="52571EE5" w14:textId="77777777" w:rsidR="005C044E" w:rsidRDefault="005C044E" w:rsidP="00835771">
            <w:pPr>
              <w:pStyle w:val="TableText"/>
            </w:pPr>
          </w:p>
        </w:tc>
        <w:tc>
          <w:tcPr>
            <w:tcW w:w="6522" w:type="dxa"/>
          </w:tcPr>
          <w:p w14:paraId="73492808" w14:textId="341CBE35" w:rsidR="005C044E" w:rsidRDefault="005C044E" w:rsidP="00835771">
            <w:pPr>
              <w:pStyle w:val="TableBlock"/>
            </w:pPr>
            <w:r>
              <w:rPr>
                <w:rFonts w:hint="cs"/>
                <w:rtl/>
              </w:rPr>
              <w:t>""רישיון" – רישיון להחזקת כלב שנתן מרכז רישום;"</w:t>
            </w:r>
            <w:r w:rsidR="00552AD8">
              <w:rPr>
                <w:rFonts w:hint="cs"/>
                <w:rtl/>
              </w:rPr>
              <w:t>.</w:t>
            </w:r>
          </w:p>
        </w:tc>
      </w:tr>
      <w:tr w:rsidR="005C044E" w14:paraId="31E125E4" w14:textId="77777777" w:rsidTr="00835771">
        <w:trPr>
          <w:cantSplit/>
          <w:trHeight w:val="60"/>
        </w:trPr>
        <w:tc>
          <w:tcPr>
            <w:tcW w:w="1871" w:type="dxa"/>
          </w:tcPr>
          <w:p w14:paraId="672ED0A9" w14:textId="77777777" w:rsidR="005C044E" w:rsidRDefault="005C044E" w:rsidP="00835771">
            <w:pPr>
              <w:pStyle w:val="TableSideHeading"/>
              <w:keepLines w:val="0"/>
              <w:rPr>
                <w:rtl/>
              </w:rPr>
            </w:pPr>
            <w:r>
              <w:rPr>
                <w:rFonts w:hint="cs"/>
                <w:rtl/>
              </w:rPr>
              <w:t>תיקון סעיף 2</w:t>
            </w:r>
          </w:p>
        </w:tc>
        <w:tc>
          <w:tcPr>
            <w:tcW w:w="624" w:type="dxa"/>
          </w:tcPr>
          <w:p w14:paraId="0A07DEE1" w14:textId="77777777" w:rsidR="005C044E" w:rsidRDefault="005C044E" w:rsidP="00835771">
            <w:pPr>
              <w:pStyle w:val="TableText"/>
            </w:pPr>
            <w:r>
              <w:rPr>
                <w:rFonts w:hint="cs"/>
                <w:rtl/>
              </w:rPr>
              <w:t>2.</w:t>
            </w:r>
          </w:p>
        </w:tc>
        <w:tc>
          <w:tcPr>
            <w:tcW w:w="7146" w:type="dxa"/>
            <w:gridSpan w:val="2"/>
          </w:tcPr>
          <w:p w14:paraId="6AFE1E66" w14:textId="77777777" w:rsidR="005C044E" w:rsidRDefault="005C044E" w:rsidP="00835771">
            <w:pPr>
              <w:pStyle w:val="TableBlock"/>
              <w:keepLines w:val="0"/>
              <w:rPr>
                <w:rtl/>
              </w:rPr>
            </w:pPr>
            <w:r>
              <w:rPr>
                <w:rFonts w:hint="cs"/>
                <w:rtl/>
              </w:rPr>
              <w:t>בסעיף 2 לחוק העיקרי, סעיף קטן (ב) – בטל.</w:t>
            </w:r>
          </w:p>
        </w:tc>
      </w:tr>
      <w:tr w:rsidR="005C044E" w14:paraId="767EE8EF" w14:textId="77777777" w:rsidTr="00835771">
        <w:trPr>
          <w:cantSplit/>
          <w:trHeight w:val="60"/>
        </w:trPr>
        <w:tc>
          <w:tcPr>
            <w:tcW w:w="1871" w:type="dxa"/>
          </w:tcPr>
          <w:p w14:paraId="257778F7" w14:textId="77777777" w:rsidR="005C044E" w:rsidRDefault="005C044E" w:rsidP="00835771">
            <w:pPr>
              <w:pStyle w:val="TableSideHeading"/>
              <w:keepLines w:val="0"/>
              <w:rPr>
                <w:rtl/>
              </w:rPr>
            </w:pPr>
            <w:r>
              <w:rPr>
                <w:rFonts w:hint="cs"/>
                <w:rtl/>
              </w:rPr>
              <w:t>תיקון סעיף 3</w:t>
            </w:r>
          </w:p>
        </w:tc>
        <w:tc>
          <w:tcPr>
            <w:tcW w:w="624" w:type="dxa"/>
          </w:tcPr>
          <w:p w14:paraId="73686D1A" w14:textId="77777777" w:rsidR="005C044E" w:rsidRDefault="005C044E" w:rsidP="00835771">
            <w:pPr>
              <w:pStyle w:val="TableText"/>
            </w:pPr>
            <w:r>
              <w:rPr>
                <w:rFonts w:hint="cs"/>
                <w:rtl/>
              </w:rPr>
              <w:t>3.</w:t>
            </w:r>
          </w:p>
        </w:tc>
        <w:tc>
          <w:tcPr>
            <w:tcW w:w="7146" w:type="dxa"/>
            <w:gridSpan w:val="2"/>
          </w:tcPr>
          <w:p w14:paraId="082E6254" w14:textId="77777777" w:rsidR="005C044E" w:rsidRDefault="005C044E" w:rsidP="00835771">
            <w:pPr>
              <w:pStyle w:val="TableBlock"/>
              <w:keepLines w:val="0"/>
              <w:rPr>
                <w:rtl/>
              </w:rPr>
            </w:pPr>
            <w:r>
              <w:rPr>
                <w:rFonts w:hint="cs"/>
                <w:rtl/>
              </w:rPr>
              <w:t xml:space="preserve">בסעיף 3 לחוק העיקרי – </w:t>
            </w:r>
          </w:p>
        </w:tc>
      </w:tr>
      <w:tr w:rsidR="005C044E" w14:paraId="6FE20949" w14:textId="77777777" w:rsidTr="00835771">
        <w:trPr>
          <w:cantSplit/>
          <w:trHeight w:val="60"/>
        </w:trPr>
        <w:tc>
          <w:tcPr>
            <w:tcW w:w="1871" w:type="dxa"/>
          </w:tcPr>
          <w:p w14:paraId="7DBB1068" w14:textId="77777777" w:rsidR="005C044E" w:rsidRDefault="005C044E" w:rsidP="00835771">
            <w:pPr>
              <w:pStyle w:val="TableSideHeading"/>
              <w:keepLines w:val="0"/>
              <w:rPr>
                <w:rtl/>
              </w:rPr>
            </w:pPr>
          </w:p>
        </w:tc>
        <w:tc>
          <w:tcPr>
            <w:tcW w:w="624" w:type="dxa"/>
          </w:tcPr>
          <w:p w14:paraId="0C716217" w14:textId="77777777" w:rsidR="005C044E" w:rsidRDefault="005C044E" w:rsidP="00835771">
            <w:pPr>
              <w:pStyle w:val="TableText"/>
            </w:pPr>
          </w:p>
        </w:tc>
        <w:tc>
          <w:tcPr>
            <w:tcW w:w="7146" w:type="dxa"/>
            <w:gridSpan w:val="2"/>
          </w:tcPr>
          <w:p w14:paraId="74CCCD04" w14:textId="7B01469D" w:rsidR="00372EB2" w:rsidRDefault="00372EB2" w:rsidP="00372EB2">
            <w:pPr>
              <w:pStyle w:val="TableBlock"/>
              <w:keepLines w:val="0"/>
              <w:rPr>
                <w:rtl/>
              </w:rPr>
            </w:pPr>
            <w:r>
              <w:rPr>
                <w:rFonts w:hint="cs"/>
                <w:rtl/>
              </w:rPr>
              <w:t>(1)</w:t>
            </w:r>
            <w:r>
              <w:rPr>
                <w:rtl/>
              </w:rPr>
              <w:tab/>
            </w:r>
            <w:r w:rsidR="005C044E">
              <w:rPr>
                <w:rFonts w:hint="cs"/>
                <w:rtl/>
              </w:rPr>
              <w:t>בסעיף קטן (א), במקום הרישה עד המילים "כלב, לבקשתו" יבוא "רופא וטרינר מוסמך יבדוק, יאשר ויודיע למרכז הרישום כי בעליו של הכלב זכאי לקבל</w:t>
            </w:r>
            <w:r>
              <w:rPr>
                <w:rtl/>
              </w:rPr>
              <w:t>, במקום "לסרב" יבוא "להמליץ על סירוב", ואחרי "בכל עת," יבוא "להמליץ";</w:t>
            </w:r>
          </w:p>
        </w:tc>
      </w:tr>
      <w:tr w:rsidR="005C044E" w14:paraId="0EBD032E" w14:textId="77777777" w:rsidTr="00835771">
        <w:trPr>
          <w:cantSplit/>
          <w:trHeight w:val="60"/>
        </w:trPr>
        <w:tc>
          <w:tcPr>
            <w:tcW w:w="1871" w:type="dxa"/>
          </w:tcPr>
          <w:p w14:paraId="4D8B3905" w14:textId="77777777" w:rsidR="005C044E" w:rsidRDefault="005C044E" w:rsidP="00835771">
            <w:pPr>
              <w:pStyle w:val="TableSideHeading"/>
              <w:keepLines w:val="0"/>
              <w:rPr>
                <w:rtl/>
              </w:rPr>
            </w:pPr>
          </w:p>
        </w:tc>
        <w:tc>
          <w:tcPr>
            <w:tcW w:w="624" w:type="dxa"/>
          </w:tcPr>
          <w:p w14:paraId="71174643" w14:textId="77777777" w:rsidR="005C044E" w:rsidRDefault="005C044E" w:rsidP="00835771">
            <w:pPr>
              <w:pStyle w:val="TableText"/>
            </w:pPr>
          </w:p>
        </w:tc>
        <w:tc>
          <w:tcPr>
            <w:tcW w:w="7146" w:type="dxa"/>
            <w:gridSpan w:val="2"/>
          </w:tcPr>
          <w:p w14:paraId="24EF6331" w14:textId="77777777" w:rsidR="005C044E" w:rsidRDefault="005C044E" w:rsidP="00835771">
            <w:pPr>
              <w:pStyle w:val="TableBlock"/>
              <w:keepLines w:val="0"/>
              <w:rPr>
                <w:rtl/>
              </w:rPr>
            </w:pPr>
            <w:r>
              <w:rPr>
                <w:rFonts w:hint="cs"/>
                <w:rtl/>
              </w:rPr>
              <w:t>(2)</w:t>
            </w:r>
            <w:r>
              <w:rPr>
                <w:rtl/>
              </w:rPr>
              <w:tab/>
            </w:r>
            <w:r>
              <w:rPr>
                <w:rFonts w:hint="cs"/>
                <w:rtl/>
              </w:rPr>
              <w:t>אחרי סעיף קטן (ב) יבוא:</w:t>
            </w:r>
          </w:p>
        </w:tc>
      </w:tr>
      <w:tr w:rsidR="005C044E" w14:paraId="4810579D" w14:textId="77777777" w:rsidTr="00835771">
        <w:trPr>
          <w:cantSplit/>
          <w:trHeight w:val="60"/>
        </w:trPr>
        <w:tc>
          <w:tcPr>
            <w:tcW w:w="1871" w:type="dxa"/>
          </w:tcPr>
          <w:p w14:paraId="042FADEB" w14:textId="77777777" w:rsidR="005C044E" w:rsidRDefault="005C044E" w:rsidP="00835771">
            <w:pPr>
              <w:pStyle w:val="TableSideHeading"/>
            </w:pPr>
          </w:p>
        </w:tc>
        <w:tc>
          <w:tcPr>
            <w:tcW w:w="624" w:type="dxa"/>
          </w:tcPr>
          <w:p w14:paraId="342FB84F" w14:textId="77777777" w:rsidR="005C044E" w:rsidRDefault="005C044E" w:rsidP="00835771">
            <w:pPr>
              <w:pStyle w:val="TableText"/>
            </w:pPr>
          </w:p>
        </w:tc>
        <w:tc>
          <w:tcPr>
            <w:tcW w:w="624" w:type="dxa"/>
          </w:tcPr>
          <w:p w14:paraId="25BE816C" w14:textId="77777777" w:rsidR="005C044E" w:rsidRDefault="005C044E" w:rsidP="00835771">
            <w:pPr>
              <w:pStyle w:val="TableText"/>
            </w:pPr>
          </w:p>
        </w:tc>
        <w:tc>
          <w:tcPr>
            <w:tcW w:w="6522" w:type="dxa"/>
          </w:tcPr>
          <w:p w14:paraId="1877D418" w14:textId="77777777" w:rsidR="005C044E" w:rsidRDefault="005C044E" w:rsidP="00835771">
            <w:pPr>
              <w:pStyle w:val="TableBlock"/>
            </w:pPr>
            <w:r>
              <w:rPr>
                <w:rFonts w:hint="cs"/>
                <w:rtl/>
              </w:rPr>
              <w:t>"(ב1)</w:t>
            </w:r>
            <w:r>
              <w:rPr>
                <w:rtl/>
              </w:rPr>
              <w:tab/>
            </w:r>
            <w:r w:rsidRPr="00EC58BB">
              <w:rPr>
                <w:rFonts w:hint="cs"/>
                <w:rtl/>
              </w:rPr>
              <w:t xml:space="preserve">בעליו של כלב שאינו פטור מאגרת רישיון ולא שילם את האגרה, ישלם למשרד החקלאות ופיתוח הכפר, בעת </w:t>
            </w:r>
            <w:r>
              <w:rPr>
                <w:rFonts w:hint="cs"/>
                <w:rtl/>
              </w:rPr>
              <w:t>הגשת הבקשה ל</w:t>
            </w:r>
            <w:r w:rsidRPr="00EC58BB">
              <w:rPr>
                <w:rFonts w:hint="cs"/>
                <w:rtl/>
              </w:rPr>
              <w:t xml:space="preserve">חידוש הרישיון, את סכום האגרה שהיה עליו </w:t>
            </w:r>
            <w:r w:rsidRPr="00EC58BB">
              <w:rPr>
                <w:rtl/>
              </w:rPr>
              <w:t>לש</w:t>
            </w:r>
            <w:r w:rsidRPr="00EC58BB">
              <w:rPr>
                <w:rFonts w:hint="cs"/>
                <w:rtl/>
              </w:rPr>
              <w:t xml:space="preserve">לם בעד הרישיון או חידושו, </w:t>
            </w:r>
            <w:r w:rsidRPr="00EC58BB">
              <w:rPr>
                <w:rtl/>
              </w:rPr>
              <w:t xml:space="preserve">לרבות סכומי אגרה שהיה </w:t>
            </w:r>
            <w:r w:rsidRPr="00EC58BB">
              <w:rPr>
                <w:rFonts w:hint="cs"/>
                <w:rtl/>
              </w:rPr>
              <w:t xml:space="preserve">עליו </w:t>
            </w:r>
            <w:r w:rsidRPr="00EC58BB">
              <w:rPr>
                <w:rtl/>
              </w:rPr>
              <w:t xml:space="preserve">לשלם </w:t>
            </w:r>
            <w:r w:rsidRPr="00EC58BB">
              <w:rPr>
                <w:rFonts w:hint="cs"/>
                <w:rtl/>
              </w:rPr>
              <w:t>בשל התקופות</w:t>
            </w:r>
            <w:r w:rsidRPr="00EC58BB">
              <w:rPr>
                <w:rtl/>
              </w:rPr>
              <w:t xml:space="preserve"> שהכלב היה בבעלותו</w:t>
            </w:r>
            <w:r w:rsidRPr="00EC58BB">
              <w:rPr>
                <w:rFonts w:hint="cs"/>
                <w:rtl/>
              </w:rPr>
              <w:t>, אם לא שילם את אותם סכומים.";</w:t>
            </w:r>
          </w:p>
        </w:tc>
      </w:tr>
      <w:tr w:rsidR="00372EB2" w14:paraId="0C462B5F" w14:textId="77777777" w:rsidTr="001E059A">
        <w:trPr>
          <w:cantSplit/>
          <w:trHeight w:val="60"/>
        </w:trPr>
        <w:tc>
          <w:tcPr>
            <w:tcW w:w="1871" w:type="dxa"/>
          </w:tcPr>
          <w:p w14:paraId="195FCD2D" w14:textId="77777777" w:rsidR="00372EB2" w:rsidRDefault="00372EB2" w:rsidP="00835771">
            <w:pPr>
              <w:pStyle w:val="TableSideHeading"/>
            </w:pPr>
          </w:p>
        </w:tc>
        <w:tc>
          <w:tcPr>
            <w:tcW w:w="624" w:type="dxa"/>
          </w:tcPr>
          <w:p w14:paraId="0B4F03B4" w14:textId="77777777" w:rsidR="00372EB2" w:rsidRDefault="00372EB2" w:rsidP="00372EB2">
            <w:pPr>
              <w:pStyle w:val="TableText"/>
            </w:pPr>
          </w:p>
        </w:tc>
        <w:tc>
          <w:tcPr>
            <w:tcW w:w="7146" w:type="dxa"/>
            <w:gridSpan w:val="2"/>
          </w:tcPr>
          <w:p w14:paraId="51A04364" w14:textId="08F8B4DE" w:rsidR="00372EB2" w:rsidRDefault="00372EB2" w:rsidP="00835771">
            <w:pPr>
              <w:pStyle w:val="TableBlock"/>
              <w:rPr>
                <w:rtl/>
              </w:rPr>
            </w:pPr>
            <w:r>
              <w:rPr>
                <w:rtl/>
              </w:rPr>
              <w:t>(3)</w:t>
            </w:r>
            <w:r>
              <w:rPr>
                <w:rtl/>
              </w:rPr>
              <w:tab/>
              <w:t>אחרי סעיף קטן (ה) יבוא:</w:t>
            </w:r>
          </w:p>
        </w:tc>
      </w:tr>
      <w:tr w:rsidR="005C044E" w14:paraId="42E2CB08" w14:textId="77777777" w:rsidTr="00835771">
        <w:trPr>
          <w:cantSplit/>
          <w:trHeight w:val="60"/>
        </w:trPr>
        <w:tc>
          <w:tcPr>
            <w:tcW w:w="1871" w:type="dxa"/>
          </w:tcPr>
          <w:p w14:paraId="35FDF309" w14:textId="77777777" w:rsidR="005C044E" w:rsidRDefault="005C044E" w:rsidP="00835771">
            <w:pPr>
              <w:pStyle w:val="TableSideHeading"/>
            </w:pPr>
          </w:p>
        </w:tc>
        <w:tc>
          <w:tcPr>
            <w:tcW w:w="624" w:type="dxa"/>
          </w:tcPr>
          <w:p w14:paraId="6A61614E" w14:textId="77777777" w:rsidR="005C044E" w:rsidRDefault="005C044E" w:rsidP="00835771">
            <w:pPr>
              <w:pStyle w:val="TableText"/>
            </w:pPr>
          </w:p>
        </w:tc>
        <w:tc>
          <w:tcPr>
            <w:tcW w:w="624" w:type="dxa"/>
          </w:tcPr>
          <w:p w14:paraId="34DEE0A7" w14:textId="77777777" w:rsidR="005C044E" w:rsidRDefault="005C044E" w:rsidP="00835771">
            <w:pPr>
              <w:pStyle w:val="TableText"/>
            </w:pPr>
          </w:p>
        </w:tc>
        <w:tc>
          <w:tcPr>
            <w:tcW w:w="6522" w:type="dxa"/>
          </w:tcPr>
          <w:p w14:paraId="655D2F0C" w14:textId="77777777" w:rsidR="005C044E" w:rsidRDefault="005C044E" w:rsidP="00835771">
            <w:pPr>
              <w:pStyle w:val="TableBlock"/>
            </w:pPr>
            <w:r>
              <w:rPr>
                <w:rFonts w:hint="cs"/>
                <w:rtl/>
              </w:rPr>
              <w:t>"(ו)</w:t>
            </w:r>
            <w:r>
              <w:rPr>
                <w:rtl/>
              </w:rPr>
              <w:tab/>
            </w:r>
            <w:r w:rsidRPr="00EC58BB">
              <w:rPr>
                <w:rFonts w:hint="cs"/>
                <w:rtl/>
              </w:rPr>
              <w:t xml:space="preserve">בעליו של כלב יציג בפני </w:t>
            </w:r>
            <w:r>
              <w:rPr>
                <w:rFonts w:hint="cs"/>
                <w:rtl/>
              </w:rPr>
              <w:t xml:space="preserve">רופא ווטרינר </w:t>
            </w:r>
            <w:r w:rsidRPr="00EC58BB">
              <w:rPr>
                <w:rFonts w:hint="cs"/>
                <w:rtl/>
              </w:rPr>
              <w:t>מוסמך תעודה מזהה לצורך אימות פרטיו האישיים."</w:t>
            </w:r>
          </w:p>
        </w:tc>
      </w:tr>
      <w:tr w:rsidR="00F901E4" w14:paraId="6C04D0B1" w14:textId="77777777" w:rsidTr="0074026F">
        <w:trPr>
          <w:cantSplit/>
          <w:trHeight w:val="60"/>
        </w:trPr>
        <w:tc>
          <w:tcPr>
            <w:tcW w:w="1871" w:type="dxa"/>
          </w:tcPr>
          <w:p w14:paraId="1193CC6C" w14:textId="77777777" w:rsidR="00F901E4" w:rsidRDefault="00F901E4" w:rsidP="00835771">
            <w:pPr>
              <w:pStyle w:val="TableSideHeading"/>
            </w:pPr>
            <w:r>
              <w:rPr>
                <w:rFonts w:hint="cs"/>
                <w:rtl/>
              </w:rPr>
              <w:t>תיקון סעיף 5</w:t>
            </w:r>
          </w:p>
        </w:tc>
        <w:tc>
          <w:tcPr>
            <w:tcW w:w="624" w:type="dxa"/>
          </w:tcPr>
          <w:p w14:paraId="6E160EE4" w14:textId="77777777" w:rsidR="00F901E4" w:rsidRDefault="00F901E4" w:rsidP="00835771">
            <w:pPr>
              <w:pStyle w:val="TableText"/>
            </w:pPr>
            <w:r>
              <w:rPr>
                <w:rFonts w:hint="cs"/>
                <w:rtl/>
              </w:rPr>
              <w:t>4.</w:t>
            </w:r>
          </w:p>
        </w:tc>
        <w:tc>
          <w:tcPr>
            <w:tcW w:w="7146" w:type="dxa"/>
            <w:gridSpan w:val="2"/>
          </w:tcPr>
          <w:p w14:paraId="2559404F" w14:textId="77777777" w:rsidR="00F901E4" w:rsidRPr="007A0032" w:rsidRDefault="00F901E4" w:rsidP="00835771">
            <w:pPr>
              <w:pStyle w:val="TableBlock"/>
              <w:rPr>
                <w:rtl/>
              </w:rPr>
            </w:pPr>
            <w:r w:rsidRPr="00EC58BB">
              <w:rPr>
                <w:rFonts w:hint="cs"/>
                <w:rtl/>
              </w:rPr>
              <w:t>בסעיף 5 לחוק העיקרי, במקום "הרופא הווטרינר העירוני" יבוא "מרכז הרישום"</w:t>
            </w:r>
            <w:r>
              <w:rPr>
                <w:rFonts w:hint="cs"/>
                <w:rtl/>
              </w:rPr>
              <w:t>.</w:t>
            </w:r>
          </w:p>
        </w:tc>
      </w:tr>
      <w:tr w:rsidR="00F901E4" w14:paraId="57E739BA" w14:textId="77777777" w:rsidTr="00CE32E2">
        <w:trPr>
          <w:cantSplit/>
          <w:trHeight w:val="60"/>
        </w:trPr>
        <w:tc>
          <w:tcPr>
            <w:tcW w:w="1871" w:type="dxa"/>
          </w:tcPr>
          <w:p w14:paraId="0FC706C5" w14:textId="77777777" w:rsidR="00F901E4" w:rsidRDefault="00F901E4" w:rsidP="00835771">
            <w:pPr>
              <w:pStyle w:val="TableSideHeading"/>
              <w:rPr>
                <w:rtl/>
              </w:rPr>
            </w:pPr>
            <w:r>
              <w:rPr>
                <w:rFonts w:hint="cs"/>
                <w:rtl/>
              </w:rPr>
              <w:t>תיקון סעיף 7</w:t>
            </w:r>
          </w:p>
        </w:tc>
        <w:tc>
          <w:tcPr>
            <w:tcW w:w="624" w:type="dxa"/>
          </w:tcPr>
          <w:p w14:paraId="615B7FC4" w14:textId="77777777" w:rsidR="00F901E4" w:rsidRDefault="00F901E4" w:rsidP="00835771">
            <w:pPr>
              <w:pStyle w:val="TableText"/>
            </w:pPr>
            <w:r>
              <w:rPr>
                <w:rFonts w:hint="cs"/>
                <w:rtl/>
              </w:rPr>
              <w:t>5.</w:t>
            </w:r>
          </w:p>
        </w:tc>
        <w:tc>
          <w:tcPr>
            <w:tcW w:w="7146" w:type="dxa"/>
            <w:gridSpan w:val="2"/>
          </w:tcPr>
          <w:p w14:paraId="00A5136F" w14:textId="77777777" w:rsidR="00F901E4" w:rsidRPr="00EC58BB" w:rsidRDefault="00F901E4" w:rsidP="00835771">
            <w:pPr>
              <w:pStyle w:val="TableBlock"/>
              <w:rPr>
                <w:rtl/>
              </w:rPr>
            </w:pPr>
            <w:r>
              <w:rPr>
                <w:rFonts w:hint="cs"/>
                <w:rtl/>
              </w:rPr>
              <w:t>בסעיף 7(א) לחוק העיקרי, במקום "והרישיונות שניתנו" יבוא "ולמתן רישיונות".</w:t>
            </w:r>
          </w:p>
        </w:tc>
      </w:tr>
      <w:tr w:rsidR="00F901E4" w14:paraId="4FA702A6" w14:textId="77777777" w:rsidTr="00BE0D10">
        <w:trPr>
          <w:cantSplit/>
          <w:trHeight w:val="60"/>
        </w:trPr>
        <w:tc>
          <w:tcPr>
            <w:tcW w:w="1871" w:type="dxa"/>
          </w:tcPr>
          <w:p w14:paraId="5C9E7B72" w14:textId="77777777" w:rsidR="00F901E4" w:rsidRDefault="00F901E4" w:rsidP="005A17C1">
            <w:pPr>
              <w:pStyle w:val="TableSideHeading"/>
            </w:pPr>
            <w:r>
              <w:rPr>
                <w:rFonts w:hint="cs"/>
                <w:rtl/>
              </w:rPr>
              <w:t>תיקון סעיף 8</w:t>
            </w:r>
          </w:p>
        </w:tc>
        <w:tc>
          <w:tcPr>
            <w:tcW w:w="624" w:type="dxa"/>
          </w:tcPr>
          <w:p w14:paraId="46F2B8C7" w14:textId="77777777" w:rsidR="00F901E4" w:rsidRDefault="00F901E4" w:rsidP="005A17C1">
            <w:pPr>
              <w:pStyle w:val="TableText"/>
            </w:pPr>
            <w:r>
              <w:rPr>
                <w:rFonts w:hint="cs"/>
                <w:rtl/>
              </w:rPr>
              <w:t>6.</w:t>
            </w:r>
          </w:p>
        </w:tc>
        <w:tc>
          <w:tcPr>
            <w:tcW w:w="7146" w:type="dxa"/>
            <w:gridSpan w:val="2"/>
          </w:tcPr>
          <w:p w14:paraId="7E063833" w14:textId="2449AD4F" w:rsidR="00F901E4" w:rsidRDefault="00F901E4" w:rsidP="005A17C1">
            <w:pPr>
              <w:pStyle w:val="TableBlock"/>
            </w:pPr>
            <w:r>
              <w:rPr>
                <w:rFonts w:hint="cs"/>
                <w:rtl/>
              </w:rPr>
              <w:t>בסעיף 8(א) לחוק העיקרי –</w:t>
            </w:r>
          </w:p>
        </w:tc>
      </w:tr>
      <w:tr w:rsidR="00F901E4" w14:paraId="62F0947D" w14:textId="77777777" w:rsidTr="0007391F">
        <w:trPr>
          <w:cantSplit/>
          <w:trHeight w:val="60"/>
        </w:trPr>
        <w:tc>
          <w:tcPr>
            <w:tcW w:w="1871" w:type="dxa"/>
          </w:tcPr>
          <w:p w14:paraId="72EE54CA" w14:textId="77777777" w:rsidR="00F901E4" w:rsidRDefault="00F901E4" w:rsidP="005A17C1">
            <w:pPr>
              <w:pStyle w:val="TableSideHeading"/>
              <w:rPr>
                <w:rtl/>
              </w:rPr>
            </w:pPr>
          </w:p>
        </w:tc>
        <w:tc>
          <w:tcPr>
            <w:tcW w:w="624" w:type="dxa"/>
          </w:tcPr>
          <w:p w14:paraId="3C37ADF0" w14:textId="77777777" w:rsidR="00F901E4" w:rsidRDefault="00F901E4" w:rsidP="005A17C1">
            <w:pPr>
              <w:pStyle w:val="TableText"/>
              <w:rPr>
                <w:rtl/>
              </w:rPr>
            </w:pPr>
          </w:p>
        </w:tc>
        <w:tc>
          <w:tcPr>
            <w:tcW w:w="7146" w:type="dxa"/>
            <w:gridSpan w:val="2"/>
          </w:tcPr>
          <w:p w14:paraId="2EE6AFBC" w14:textId="398A6D71" w:rsidR="00F901E4" w:rsidRPr="005E7BBB" w:rsidRDefault="00F901E4" w:rsidP="005A17C1">
            <w:pPr>
              <w:pStyle w:val="TableBlock"/>
              <w:rPr>
                <w:rtl/>
              </w:rPr>
            </w:pPr>
            <w:r>
              <w:rPr>
                <w:rFonts w:hint="cs"/>
                <w:rtl/>
              </w:rPr>
              <w:t>(1)</w:t>
            </w:r>
            <w:r>
              <w:rPr>
                <w:rFonts w:hint="cs"/>
                <w:rtl/>
              </w:rPr>
              <w:tab/>
              <w:t>אחרי "רופא וטרינר עירוני" יבוא "או רופא וטרינר מוסמך";</w:t>
            </w:r>
          </w:p>
        </w:tc>
      </w:tr>
      <w:tr w:rsidR="00F901E4" w14:paraId="63111D08" w14:textId="77777777" w:rsidTr="008C4C07">
        <w:trPr>
          <w:cantSplit/>
          <w:trHeight w:val="60"/>
        </w:trPr>
        <w:tc>
          <w:tcPr>
            <w:tcW w:w="1871" w:type="dxa"/>
          </w:tcPr>
          <w:p w14:paraId="16953A36" w14:textId="77777777" w:rsidR="00F901E4" w:rsidRDefault="00F901E4" w:rsidP="005A17C1">
            <w:pPr>
              <w:pStyle w:val="TableSideHeading"/>
              <w:rPr>
                <w:rtl/>
              </w:rPr>
            </w:pPr>
          </w:p>
        </w:tc>
        <w:tc>
          <w:tcPr>
            <w:tcW w:w="624" w:type="dxa"/>
          </w:tcPr>
          <w:p w14:paraId="75E6E316" w14:textId="77777777" w:rsidR="00F901E4" w:rsidRDefault="00F901E4" w:rsidP="005A17C1">
            <w:pPr>
              <w:pStyle w:val="TableText"/>
              <w:rPr>
                <w:rtl/>
              </w:rPr>
            </w:pPr>
          </w:p>
        </w:tc>
        <w:tc>
          <w:tcPr>
            <w:tcW w:w="7146" w:type="dxa"/>
            <w:gridSpan w:val="2"/>
          </w:tcPr>
          <w:p w14:paraId="3C3BF41F" w14:textId="0E95554E" w:rsidR="00F901E4" w:rsidRPr="005E7BBB" w:rsidRDefault="00F901E4" w:rsidP="005A17C1">
            <w:pPr>
              <w:pStyle w:val="TableBlock"/>
              <w:rPr>
                <w:rtl/>
              </w:rPr>
            </w:pPr>
            <w:r>
              <w:rPr>
                <w:rFonts w:hint="cs"/>
                <w:rtl/>
              </w:rPr>
              <w:t>(2)</w:t>
            </w:r>
            <w:r>
              <w:rPr>
                <w:rFonts w:hint="cs"/>
                <w:rtl/>
              </w:rPr>
              <w:tab/>
              <w:t>בפסקה (2), במקום "רישיון שנתן או שביטל" יבוא "בהמלצה לתת רישיון או לבטלו".</w:t>
            </w:r>
          </w:p>
        </w:tc>
      </w:tr>
      <w:tr w:rsidR="00F901E4" w14:paraId="63779678" w14:textId="77777777" w:rsidTr="00AA4147">
        <w:trPr>
          <w:cantSplit/>
          <w:trHeight w:val="60"/>
        </w:trPr>
        <w:tc>
          <w:tcPr>
            <w:tcW w:w="1871" w:type="dxa"/>
          </w:tcPr>
          <w:p w14:paraId="551D798A" w14:textId="77777777" w:rsidR="00F901E4" w:rsidRDefault="00F901E4" w:rsidP="00835771">
            <w:pPr>
              <w:pStyle w:val="TableSideHeading"/>
            </w:pPr>
            <w:r>
              <w:rPr>
                <w:rFonts w:hint="cs"/>
                <w:rtl/>
              </w:rPr>
              <w:t xml:space="preserve">תיקון סעיף 20 </w:t>
            </w:r>
          </w:p>
        </w:tc>
        <w:tc>
          <w:tcPr>
            <w:tcW w:w="624" w:type="dxa"/>
          </w:tcPr>
          <w:p w14:paraId="66CC77CD" w14:textId="77777777" w:rsidR="00F901E4" w:rsidRDefault="00F901E4" w:rsidP="00835771">
            <w:pPr>
              <w:pStyle w:val="TableText"/>
            </w:pPr>
            <w:r>
              <w:rPr>
                <w:rFonts w:hint="cs"/>
                <w:rtl/>
              </w:rPr>
              <w:t xml:space="preserve">7. </w:t>
            </w:r>
          </w:p>
        </w:tc>
        <w:tc>
          <w:tcPr>
            <w:tcW w:w="7146" w:type="dxa"/>
            <w:gridSpan w:val="2"/>
          </w:tcPr>
          <w:p w14:paraId="6672F6EC" w14:textId="77777777" w:rsidR="00F901E4" w:rsidRDefault="00F901E4" w:rsidP="00835771">
            <w:pPr>
              <w:pStyle w:val="TableBlock"/>
            </w:pPr>
            <w:r>
              <w:rPr>
                <w:rFonts w:hint="cs"/>
                <w:rtl/>
              </w:rPr>
              <w:t xml:space="preserve">בסעיף 20 לחוק העיקרי – </w:t>
            </w:r>
          </w:p>
        </w:tc>
      </w:tr>
      <w:tr w:rsidR="00F901E4" w14:paraId="14E4EEDE" w14:textId="77777777" w:rsidTr="00062414">
        <w:trPr>
          <w:cantSplit/>
          <w:trHeight w:val="60"/>
        </w:trPr>
        <w:tc>
          <w:tcPr>
            <w:tcW w:w="1871" w:type="dxa"/>
          </w:tcPr>
          <w:p w14:paraId="7DD47885" w14:textId="77777777" w:rsidR="00F901E4" w:rsidRDefault="00F901E4" w:rsidP="00835771">
            <w:pPr>
              <w:pStyle w:val="TableSideHeading"/>
              <w:rPr>
                <w:rtl/>
              </w:rPr>
            </w:pPr>
          </w:p>
        </w:tc>
        <w:tc>
          <w:tcPr>
            <w:tcW w:w="624" w:type="dxa"/>
          </w:tcPr>
          <w:p w14:paraId="5B207AFA" w14:textId="77777777" w:rsidR="00F901E4" w:rsidRDefault="00F901E4" w:rsidP="00835771">
            <w:pPr>
              <w:pStyle w:val="TableText"/>
              <w:rPr>
                <w:rtl/>
              </w:rPr>
            </w:pPr>
          </w:p>
        </w:tc>
        <w:tc>
          <w:tcPr>
            <w:tcW w:w="7146" w:type="dxa"/>
            <w:gridSpan w:val="2"/>
          </w:tcPr>
          <w:p w14:paraId="05908903" w14:textId="77777777" w:rsidR="00F901E4" w:rsidRDefault="00F901E4" w:rsidP="00835771">
            <w:pPr>
              <w:pStyle w:val="TableBlock"/>
              <w:rPr>
                <w:rtl/>
              </w:rPr>
            </w:pPr>
            <w:r w:rsidRPr="00EC58BB">
              <w:rPr>
                <w:rFonts w:hint="cs"/>
                <w:rtl/>
              </w:rPr>
              <w:t>(1)</w:t>
            </w:r>
            <w:r w:rsidRPr="00EC58BB">
              <w:rPr>
                <w:rFonts w:hint="cs"/>
                <w:rtl/>
              </w:rPr>
              <w:tab/>
              <w:t xml:space="preserve">בסעיף קטן (א), המילים "ובלבד שאגרות המשולמות לרשות המקומית בעד פעולות שהיא מבצעת לפי חוק זה, ייקבעו גם בהתייעצות עם שר הפנים" </w:t>
            </w:r>
            <w:r w:rsidRPr="00EC58BB">
              <w:rPr>
                <w:rFonts w:hint="eastAsia"/>
                <w:rtl/>
              </w:rPr>
              <w:t>–</w:t>
            </w:r>
            <w:r w:rsidRPr="00EC58BB">
              <w:rPr>
                <w:rFonts w:hint="cs"/>
                <w:rtl/>
              </w:rPr>
              <w:t xml:space="preserve"> </w:t>
            </w:r>
            <w:r w:rsidRPr="00EC58BB">
              <w:rPr>
                <w:rFonts w:hint="eastAsia"/>
                <w:rtl/>
              </w:rPr>
              <w:t>יימחקו</w:t>
            </w:r>
            <w:r w:rsidRPr="00EC58BB">
              <w:rPr>
                <w:rFonts w:hint="cs"/>
                <w:rtl/>
              </w:rPr>
              <w:t>;</w:t>
            </w:r>
          </w:p>
        </w:tc>
      </w:tr>
      <w:tr w:rsidR="00F901E4" w14:paraId="316A0621" w14:textId="77777777" w:rsidTr="000951C0">
        <w:trPr>
          <w:cantSplit/>
          <w:trHeight w:val="60"/>
        </w:trPr>
        <w:tc>
          <w:tcPr>
            <w:tcW w:w="1871" w:type="dxa"/>
          </w:tcPr>
          <w:p w14:paraId="2DAC65A9" w14:textId="77777777" w:rsidR="00F901E4" w:rsidRDefault="00F901E4" w:rsidP="00835771">
            <w:pPr>
              <w:pStyle w:val="TableSideHeading"/>
              <w:rPr>
                <w:rtl/>
              </w:rPr>
            </w:pPr>
          </w:p>
        </w:tc>
        <w:tc>
          <w:tcPr>
            <w:tcW w:w="624" w:type="dxa"/>
          </w:tcPr>
          <w:p w14:paraId="49C4C1E9" w14:textId="77777777" w:rsidR="00F901E4" w:rsidRDefault="00F901E4" w:rsidP="00835771">
            <w:pPr>
              <w:pStyle w:val="TableText"/>
              <w:rPr>
                <w:rtl/>
              </w:rPr>
            </w:pPr>
          </w:p>
        </w:tc>
        <w:tc>
          <w:tcPr>
            <w:tcW w:w="7146" w:type="dxa"/>
            <w:gridSpan w:val="2"/>
          </w:tcPr>
          <w:p w14:paraId="4044FB50" w14:textId="77777777" w:rsidR="00F901E4" w:rsidRPr="00EC58BB" w:rsidRDefault="00F901E4" w:rsidP="00835771">
            <w:pPr>
              <w:pStyle w:val="TableBlock"/>
              <w:rPr>
                <w:rtl/>
              </w:rPr>
            </w:pPr>
            <w:r>
              <w:rPr>
                <w:rFonts w:hint="cs"/>
                <w:rtl/>
              </w:rPr>
              <w:t>(2)</w:t>
            </w:r>
            <w:r>
              <w:rPr>
                <w:rtl/>
              </w:rPr>
              <w:tab/>
            </w:r>
            <w:r>
              <w:rPr>
                <w:rFonts w:hint="cs"/>
                <w:rtl/>
              </w:rPr>
              <w:t xml:space="preserve">סעיף קטן (ב) </w:t>
            </w:r>
            <w:r>
              <w:rPr>
                <w:rFonts w:hint="eastAsia"/>
                <w:rtl/>
              </w:rPr>
              <w:t>–</w:t>
            </w:r>
            <w:r>
              <w:rPr>
                <w:rFonts w:hint="cs"/>
                <w:rtl/>
              </w:rPr>
              <w:t xml:space="preserve"> בטל.</w:t>
            </w:r>
          </w:p>
        </w:tc>
      </w:tr>
    </w:tbl>
    <w:p w14:paraId="7F6961CA" w14:textId="77777777" w:rsidR="002D1EE3" w:rsidRDefault="002D1EE3" w:rsidP="002D1EE3">
      <w:pPr>
        <w:pStyle w:val="HeadDivreiHesber"/>
        <w:rPr>
          <w:rtl/>
        </w:rPr>
      </w:pPr>
      <w:r w:rsidRPr="0027450A">
        <w:rPr>
          <w:rFonts w:hint="cs"/>
          <w:rtl/>
        </w:rPr>
        <w:t>דברי הסבר</w:t>
      </w:r>
    </w:p>
    <w:p w14:paraId="4D84DCCF" w14:textId="77777777" w:rsidR="00515944" w:rsidRDefault="00515944" w:rsidP="00515944">
      <w:pPr>
        <w:pStyle w:val="Hesber"/>
      </w:pPr>
      <w:r>
        <w:rPr>
          <w:rFonts w:hint="cs"/>
          <w:rtl/>
        </w:rPr>
        <w:t>כיום, המידע בכל הנוגע לשיבוב כלבים ומקום הימצאם נתון בידי הרשויות המקומיות, דבר שיוצר בירוקרטיה סבוכה. חלק מהרשויות אינן מחזיקות מערכת מחשוב עדכנית התואמת את המערכת המרכזית במשרד החקלאות ופיתוח הכפר (להלן – המשרד). יש רשויות שאף אינן ממחשבות את התהליך כלל. הנפקת הרישיונות ועדכון המאגר מטילים נטל כספי על הרשויות המקומיות וכתוצאה מכך מספר לא מבוטל של כלבים, אינו מופיע במאגר המידע המרכזי.</w:t>
      </w:r>
    </w:p>
    <w:p w14:paraId="7D17CB8F" w14:textId="77777777" w:rsidR="00515944" w:rsidRDefault="00515944" w:rsidP="00515944">
      <w:pPr>
        <w:pStyle w:val="Hesber"/>
        <w:rPr>
          <w:rtl/>
        </w:rPr>
      </w:pPr>
      <w:r>
        <w:rPr>
          <w:rFonts w:hint="cs"/>
          <w:rtl/>
        </w:rPr>
        <w:t xml:space="preserve">סעיף 2 לחוק הסדרת הפיקוח על כלבים, התשס"ג–2002 (להלן – החוק), קובע כי חלה חובה על בעל כלב לקבל רישיון, ובכלל זה לחסן את הכלב נגד כלבת ולדווח על מקום הימצאות הכלב לרשות המקומית. מאחר שהרישום בהתאם לחוק הוא ברמה המקומית בלבד, ונוכח המצב שתואר לעיל, נוצר קושי לעקוב היכן נמצא הכלב במצב שבעל הכלב עבר דירה או במקרה שהכלב אבד או ננטש. מוצע לחייב רישום של כל כלב במרכז רישום ארצי, דבר שיביא לשיפור המצב ולאפשרות מעקב טובה יותר אחרי כלבים ברחבי מדינת ישראל. </w:t>
      </w:r>
    </w:p>
    <w:p w14:paraId="14E92F67" w14:textId="77777777" w:rsidR="00515944" w:rsidRDefault="00515944" w:rsidP="00515944">
      <w:pPr>
        <w:pStyle w:val="Hesber"/>
        <w:rPr>
          <w:rtl/>
        </w:rPr>
      </w:pPr>
      <w:r>
        <w:rPr>
          <w:rFonts w:hint="cs"/>
          <w:rtl/>
        </w:rPr>
        <w:t xml:space="preserve">מנתונים שהצטברו מאגודות שכל מטרתן לסייע לבעלי חיים ובעיקר לכלבים וחתולים, עולה כי רק 50% מהכלבים שמגיעים אל האגודות השונות (בעיקר עקב נטישתם) הם כלבים בעלי רישיון עם סימון של שבב. </w:t>
      </w:r>
    </w:p>
    <w:p w14:paraId="50CC3F09" w14:textId="77777777" w:rsidR="00515944" w:rsidRDefault="00515944" w:rsidP="00515944">
      <w:pPr>
        <w:pStyle w:val="Hesber"/>
        <w:rPr>
          <w:rtl/>
        </w:rPr>
      </w:pPr>
      <w:r>
        <w:rPr>
          <w:rFonts w:hint="cs"/>
          <w:rtl/>
        </w:rPr>
        <w:t xml:space="preserve">ההנחה היא כי אילו רישום הכלבים היה מוסדר יותר (שכן כאמור במקרים רבים הכלבים אינם משובבים או שהפרטים אינם מעודכנים או נכונים), ניתן היה להשיב יותר כלבים אובדים לבעליהם ולצמצם את מספר הכלבים הנטושים. </w:t>
      </w:r>
    </w:p>
    <w:p w14:paraId="469B1416" w14:textId="77777777" w:rsidR="00515944" w:rsidRDefault="00515944" w:rsidP="00515944">
      <w:pPr>
        <w:pStyle w:val="Hesber"/>
        <w:rPr>
          <w:rtl/>
        </w:rPr>
      </w:pPr>
      <w:r>
        <w:rPr>
          <w:rFonts w:hint="cs"/>
          <w:rtl/>
        </w:rPr>
        <w:t xml:space="preserve">הצעה זו תסמיך את המשרד להפוך למרכז רישום ושיבוב ארצי, על מנת שיוכל לקבל פרטים מזהים </w:t>
      </w:r>
      <w:r>
        <w:rPr>
          <w:rFonts w:hint="cs"/>
          <w:rtl/>
        </w:rPr>
        <w:lastRenderedPageBreak/>
        <w:t>אודות הכלב ובעליו. היתרונות להסדרה זו רבים וכוללים מערכת מחשוב אחידה, פישוט הליכים (הנפקת רישיונות בזמן אמת) ומאגרי מידע מעודכנים. אמצעי נוסף וחשוב לא פחות להגברת הייעול בפיקוח על כלל הכלבים בישראל טמון בהגדלה משמעותית של מאגר הווטרינרים שיהיו מוסמכים לדווח ולטפל במתן הרישיונות ופיקוח ארצי כולל אשר יכלול כל וטרינר מוסמך, כהגדרתו בחוק, ולא רק וטרינר מקומי-עירוני בלבד.</w:t>
      </w:r>
    </w:p>
    <w:p w14:paraId="465E6556" w14:textId="77777777" w:rsidR="00515944" w:rsidRDefault="00515944" w:rsidP="00515944">
      <w:pPr>
        <w:pStyle w:val="Hesber"/>
        <w:rPr>
          <w:rtl/>
        </w:rPr>
      </w:pPr>
      <w:r>
        <w:rPr>
          <w:rFonts w:hint="cs"/>
          <w:rtl/>
        </w:rPr>
        <w:t xml:space="preserve">על פי התיקון המוצע, המשרד יגבה את אגרת הרישיון לצורך הפעלת מרכז השבבים, הוספת תקנים ואכיפת החוק, והוא ידאג גם להעביר חלק מהכסף לרשויות מקומיות, כך שאלו לא תיפגענה. </w:t>
      </w:r>
    </w:p>
    <w:p w14:paraId="2E6269D0" w14:textId="77777777" w:rsidR="00515944" w:rsidRDefault="00515944" w:rsidP="00515944">
      <w:pPr>
        <w:pStyle w:val="Hesber"/>
        <w:rPr>
          <w:rtl/>
        </w:rPr>
      </w:pPr>
      <w:r>
        <w:rPr>
          <w:rFonts w:hint="cs"/>
          <w:rtl/>
        </w:rPr>
        <w:t xml:space="preserve">חשוב להבהיר כי המנגנון אינו בא להעמיס על תקציבי המשרד, אלא מאפשר לגבות את אגרת הרישוי מהאזרח באופן ישיר ולחלק את הכסף בין המשרד לרשויות המקומיות. כמו כן, מוצע כי המשרד יהיה זה שינפיק את הרישיון להחזקת הכלב על גבי טופס אחיד לכולם, שייקבע על פי הסטנדרטים המוצעים בתיקון לחוק זה. </w:t>
      </w:r>
    </w:p>
    <w:p w14:paraId="108214AD" w14:textId="629A78E4" w:rsidR="00515944" w:rsidRDefault="00515944" w:rsidP="00515944">
      <w:pPr>
        <w:pStyle w:val="Hesber"/>
        <w:rPr>
          <w:rtl/>
        </w:rPr>
      </w:pPr>
      <w:r>
        <w:rPr>
          <w:rFonts w:hint="cs"/>
          <w:rtl/>
        </w:rPr>
        <w:t>הצעות חוק זהות הו</w:t>
      </w:r>
      <w:r w:rsidR="0069579D">
        <w:rPr>
          <w:rFonts w:hint="cs"/>
          <w:rtl/>
        </w:rPr>
        <w:t xml:space="preserve">נחו על שולחן הכנסת השמונה-עשרה, </w:t>
      </w:r>
      <w:r>
        <w:rPr>
          <w:rFonts w:hint="cs"/>
          <w:rtl/>
        </w:rPr>
        <w:t>על שולחן הכנסת התשע-עשרה</w:t>
      </w:r>
      <w:r w:rsidR="0069579D">
        <w:rPr>
          <w:rFonts w:hint="cs"/>
          <w:rtl/>
        </w:rPr>
        <w:t xml:space="preserve"> ועל שולחן הכנסת העשרים</w:t>
      </w:r>
      <w:r>
        <w:rPr>
          <w:rFonts w:hint="cs"/>
          <w:rtl/>
        </w:rPr>
        <w:t xml:space="preserve"> על ידי חבר הכנסת איתן כבל וקבוצת חברי הכנסת (פ/3722/18; פ/1194/19</w:t>
      </w:r>
      <w:r w:rsidR="0069579D">
        <w:rPr>
          <w:rFonts w:hint="cs"/>
          <w:rtl/>
        </w:rPr>
        <w:t>; פ/1511/20</w:t>
      </w:r>
      <w:r>
        <w:rPr>
          <w:rFonts w:hint="cs"/>
          <w:rtl/>
        </w:rPr>
        <w:t xml:space="preserve">). </w:t>
      </w:r>
    </w:p>
    <w:p w14:paraId="5656B533" w14:textId="77777777" w:rsidR="00605571" w:rsidRDefault="00605571" w:rsidP="00515944">
      <w:pPr>
        <w:pStyle w:val="Hesber"/>
        <w:rPr>
          <w:rtl/>
        </w:rPr>
      </w:pPr>
    </w:p>
    <w:p w14:paraId="577254F2" w14:textId="77777777" w:rsidR="00605571" w:rsidRDefault="00605571" w:rsidP="00515944">
      <w:pPr>
        <w:pStyle w:val="Hesber"/>
        <w:rPr>
          <w:rtl/>
        </w:rPr>
      </w:pPr>
    </w:p>
    <w:p w14:paraId="03A9D432" w14:textId="77777777" w:rsidR="00605571" w:rsidRPr="00D73212" w:rsidRDefault="00605571" w:rsidP="00605571">
      <w:pPr>
        <w:pStyle w:val="Hesber"/>
        <w:ind w:firstLine="0"/>
        <w:rPr>
          <w:color w:val="auto"/>
          <w:rtl/>
          <w:lang w:eastAsia="en-US"/>
        </w:rPr>
      </w:pPr>
      <w:r w:rsidRPr="00D73212">
        <w:rPr>
          <w:color w:val="auto"/>
          <w:rtl/>
          <w:lang w:eastAsia="en-US"/>
        </w:rPr>
        <w:t>---------------------------------</w:t>
      </w:r>
    </w:p>
    <w:p w14:paraId="253E22D6" w14:textId="77777777" w:rsidR="00605571" w:rsidRPr="00D73212" w:rsidRDefault="00605571" w:rsidP="00605571">
      <w:pPr>
        <w:pStyle w:val="Hesber"/>
        <w:ind w:firstLine="0"/>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5BCB26B6" w14:textId="77777777" w:rsidR="00605571" w:rsidRPr="00D73212" w:rsidRDefault="00605571" w:rsidP="00605571">
      <w:pPr>
        <w:pStyle w:val="Hesber"/>
        <w:ind w:firstLine="0"/>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1B98EC16" w14:textId="77777777" w:rsidR="00605571" w:rsidRPr="005E6543" w:rsidRDefault="00605571" w:rsidP="00605571">
      <w:pPr>
        <w:pStyle w:val="Hesber"/>
        <w:ind w:firstLine="0"/>
        <w:rPr>
          <w:rtl/>
        </w:rPr>
      </w:pPr>
      <w:r>
        <w:rPr>
          <w:rFonts w:hint="cs"/>
          <w:color w:val="auto"/>
          <w:rtl/>
          <w:lang w:eastAsia="en-US"/>
        </w:rPr>
        <w:t xml:space="preserve">י"א בכסלו </w:t>
      </w:r>
      <w:r w:rsidRPr="00D73212">
        <w:rPr>
          <w:rFonts w:hint="cs"/>
          <w:color w:val="auto"/>
          <w:rtl/>
          <w:lang w:eastAsia="en-US"/>
        </w:rPr>
        <w:t>התש</w:t>
      </w:r>
      <w:r>
        <w:rPr>
          <w:rFonts w:hint="cs"/>
          <w:color w:val="auto"/>
          <w:rtl/>
          <w:lang w:eastAsia="en-US"/>
        </w:rPr>
        <w:t xml:space="preserve">"ף </w:t>
      </w:r>
      <w:r w:rsidRPr="00D73212">
        <w:rPr>
          <w:color w:val="auto"/>
          <w:rtl/>
          <w:lang w:eastAsia="en-US"/>
        </w:rPr>
        <w:t>–</w:t>
      </w:r>
      <w:r>
        <w:rPr>
          <w:rFonts w:hint="cs"/>
          <w:color w:val="auto"/>
          <w:rtl/>
          <w:lang w:eastAsia="en-US"/>
        </w:rPr>
        <w:t xml:space="preserve"> 9.12</w:t>
      </w:r>
      <w:r w:rsidRPr="00D73212">
        <w:rPr>
          <w:color w:val="auto"/>
          <w:rtl/>
          <w:lang w:eastAsia="en-US"/>
        </w:rPr>
        <w:t>.</w:t>
      </w:r>
      <w:r>
        <w:rPr>
          <w:rFonts w:hint="cs"/>
          <w:color w:val="auto"/>
          <w:rtl/>
          <w:lang w:eastAsia="en-US"/>
        </w:rPr>
        <w:t>19</w:t>
      </w:r>
    </w:p>
    <w:p w14:paraId="5831A593" w14:textId="77777777" w:rsidR="00605571" w:rsidRDefault="00605571" w:rsidP="00515944">
      <w:pPr>
        <w:pStyle w:val="Hesber"/>
        <w:rPr>
          <w:rtl/>
        </w:rPr>
      </w:pPr>
      <w:bookmarkStart w:id="8" w:name="_GoBack"/>
      <w:bookmarkEnd w:id="8"/>
    </w:p>
    <w:p w14:paraId="7F6961CB" w14:textId="77777777" w:rsidR="00E13C27" w:rsidRDefault="00E13C27" w:rsidP="00E13C27">
      <w:pPr>
        <w:pStyle w:val="Hesber"/>
        <w:rPr>
          <w:rtl/>
        </w:rPr>
      </w:pP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605571">
      <w:rPr>
        <w:rStyle w:val="aa"/>
        <w:noProof/>
        <w:rtl/>
      </w:rPr>
      <w:t>3</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B79E034" w14:textId="77777777" w:rsidR="005C044E" w:rsidRDefault="005C044E" w:rsidP="005C044E">
      <w:pPr>
        <w:pStyle w:val="a4"/>
        <w:rPr>
          <w:rtl/>
        </w:rPr>
      </w:pPr>
      <w:r>
        <w:rPr>
          <w:rStyle w:val="a5"/>
        </w:rPr>
        <w:footnoteRef/>
      </w:r>
      <w:r>
        <w:rPr>
          <w:rtl/>
        </w:rPr>
        <w:t xml:space="preserve"> </w:t>
      </w:r>
      <w:r>
        <w:rPr>
          <w:rFonts w:hint="cs"/>
          <w:rtl/>
        </w:rPr>
        <w:t xml:space="preserve">ס"ח התשס"ג, עמ' 216. </w:t>
      </w:r>
    </w:p>
  </w:footnote>
  <w:footnote w:id="3">
    <w:p w14:paraId="1D9AF7EB" w14:textId="77777777" w:rsidR="005C044E" w:rsidRDefault="005C044E" w:rsidP="005C044E">
      <w:pPr>
        <w:pStyle w:val="a4"/>
        <w:rPr>
          <w:rtl/>
        </w:rPr>
      </w:pPr>
      <w:r>
        <w:rPr>
          <w:rStyle w:val="a5"/>
        </w:rPr>
        <w:footnoteRef/>
      </w:r>
      <w:r>
        <w:rPr>
          <w:rtl/>
        </w:rPr>
        <w:t xml:space="preserve"> </w:t>
      </w:r>
      <w:hyperlink r:id="rId1" w:history="1">
        <w:r w:rsidRPr="003A1143">
          <w:rPr>
            <w:rFonts w:hint="cs"/>
            <w:rtl/>
          </w:rPr>
          <w:t>ס"ח התשנ"ד,</w:t>
        </w:r>
      </w:hyperlink>
      <w:r w:rsidRPr="003A1143">
        <w:rPr>
          <w:rFonts w:hint="cs"/>
          <w:rtl/>
        </w:rPr>
        <w:t xml:space="preserve"> עמ' 56</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B638F4"/>
    <w:multiLevelType w:val="hybridMultilevel"/>
    <w:tmpl w:val="A7166D8C"/>
    <w:lvl w:ilvl="0" w:tplc="8DB6ED2E">
      <w:start w:val="1"/>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1"/>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72EB2"/>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15944"/>
    <w:rsid w:val="00552AD8"/>
    <w:rsid w:val="00553C9D"/>
    <w:rsid w:val="00562A66"/>
    <w:rsid w:val="005A17C1"/>
    <w:rsid w:val="005B064E"/>
    <w:rsid w:val="005C044E"/>
    <w:rsid w:val="005D51AE"/>
    <w:rsid w:val="00605571"/>
    <w:rsid w:val="0062674B"/>
    <w:rsid w:val="006363B2"/>
    <w:rsid w:val="00644940"/>
    <w:rsid w:val="006818A9"/>
    <w:rsid w:val="0069579D"/>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901E4"/>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A4008CA2-F3F6-4F41-A87F-040F3019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245936">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evo.co.il/Law_word/law14/LAW-1447.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4FB27-2C41-4CBE-882D-CCFCF057E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49BD77A4-6C57-4BD4-BA49-FC22EC84B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647</Words>
  <Characters>3690</Characters>
  <Application>Microsoft Office Word</Application>
  <DocSecurity>0</DocSecurity>
  <Lines>30</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9</cp:revision>
  <cp:lastPrinted>2019-11-27T10:37:00Z</cp:lastPrinted>
  <dcterms:created xsi:type="dcterms:W3CDTF">2015-04-20T09:58:00Z</dcterms:created>
  <dcterms:modified xsi:type="dcterms:W3CDTF">2019-12-03T08:25:00Z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2083096</vt:r8>
  </property>
</Properties>
</file>