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2083094</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b/>
          <w:bCs/>
          <w:sz w:val="26"/>
          <w:szCs w:val="26"/>
          <w:rtl/>
        </w:rPr>
      </w:pPr>
    </w:p>
    <w:p w14:paraId="7F6961AA" w14:textId="0BC504BC" w:rsidR="00E13C27" w:rsidRPr="00CF1AA2" w:rsidRDefault="008F6665" w:rsidP="008A5620">
      <w:pPr>
        <w:pStyle w:val="David"/>
        <w:spacing w:before="102"/>
        <w:ind w:left="3544"/>
        <w:rPr>
          <w:b/>
          <w:bCs/>
          <w:sz w:val="16"/>
          <w:szCs w:val="16"/>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איציק שמולי</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27049C57" w:rsidR="00E13C27" w:rsidRDefault="008A5620" w:rsidP="008A5620">
      <w:pPr>
        <w:pStyle w:val="David"/>
        <w:spacing w:line="240" w:lineRule="auto"/>
        <w:ind w:left="3544"/>
        <w:rPr>
          <w:rtl/>
        </w:rPr>
      </w:pPr>
      <w:bookmarkStart w:id="6" w:name="Private_Number"/>
      <w:r>
        <w:rPr>
          <w:rtl/>
        </w:rPr>
        <w:tab/>
      </w:r>
      <w:r>
        <w:rPr>
          <w:rtl/>
        </w:rPr>
        <w:tab/>
      </w:r>
      <w:r>
        <w:rPr>
          <w:rtl/>
        </w:rPr>
        <w:tab/>
      </w:r>
      <w:r>
        <w:rPr>
          <w:rtl/>
        </w:rPr>
        <w:tab/>
      </w:r>
      <w:r>
        <w:rPr>
          <w:rtl/>
        </w:rPr>
        <w:tab/>
      </w:r>
      <w:r w:rsidR="00904591">
        <w:rPr>
          <w:rFonts w:hint="cs"/>
          <w:rtl/>
        </w:rPr>
        <w:t>פ/1220/22</w:t>
      </w:r>
      <w:bookmarkEnd w:id="6"/>
    </w:p>
    <w:p w14:paraId="7F6961AD" w14:textId="1694D544" w:rsidR="00E13C27" w:rsidRPr="00F67051" w:rsidRDefault="00A443CF" w:rsidP="0021633A">
      <w:pPr>
        <w:pStyle w:val="HeadHatzaotHok"/>
        <w:rPr>
          <w:rtl/>
        </w:rPr>
      </w:pPr>
      <w:bookmarkStart w:id="7" w:name="LGS_Subject"/>
      <w:r>
        <w:rPr>
          <w:rFonts w:hint="cs"/>
          <w:rtl/>
        </w:rPr>
        <w:t xml:space="preserve">הצעת חוק ההוצאה לפועל (תיקון – הודעה לחייב בטרם הגשת בקשה לביצוע משכנתה), </w:t>
      </w:r>
      <w:r w:rsidR="009C16C8">
        <w:rPr>
          <w:rtl/>
        </w:rPr>
        <w:br/>
      </w:r>
      <w:bookmarkStart w:id="8" w:name="_GoBack"/>
      <w:bookmarkEnd w:id="8"/>
      <w:r>
        <w:rPr>
          <w:rFonts w:hint="cs"/>
          <w:rtl/>
        </w:rPr>
        <w:t>התש"ף–2019</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0D501C" w14:paraId="55F572CE" w14:textId="77777777" w:rsidTr="008A5620">
        <w:trPr>
          <w:cantSplit/>
        </w:trPr>
        <w:tc>
          <w:tcPr>
            <w:tcW w:w="1871" w:type="dxa"/>
            <w:hideMark/>
          </w:tcPr>
          <w:p w14:paraId="5A2D2934" w14:textId="77777777" w:rsidR="000D501C" w:rsidRPr="00F358D4" w:rsidRDefault="000D501C" w:rsidP="00835771">
            <w:pPr>
              <w:pStyle w:val="TableSideHeading"/>
              <w:rPr>
                <w:rFonts w:ascii="Times New Roman" w:hAnsi="Times New Roman"/>
                <w:sz w:val="24"/>
                <w:szCs w:val="24"/>
              </w:rPr>
            </w:pPr>
            <w:r w:rsidRPr="00484306">
              <w:rPr>
                <w:rtl/>
              </w:rPr>
              <w:t>תיקון סעיף 81ב1</w:t>
            </w:r>
          </w:p>
        </w:tc>
        <w:tc>
          <w:tcPr>
            <w:tcW w:w="624" w:type="dxa"/>
            <w:hideMark/>
          </w:tcPr>
          <w:p w14:paraId="1192A5C2" w14:textId="77777777" w:rsidR="000D501C" w:rsidRPr="00F358D4" w:rsidRDefault="000D501C" w:rsidP="00835771">
            <w:pPr>
              <w:pStyle w:val="TableText"/>
              <w:jc w:val="both"/>
            </w:pPr>
            <w:r w:rsidRPr="00F358D4">
              <w:rPr>
                <w:rtl/>
              </w:rPr>
              <w:t xml:space="preserve">1. </w:t>
            </w:r>
          </w:p>
        </w:tc>
        <w:tc>
          <w:tcPr>
            <w:tcW w:w="7143" w:type="dxa"/>
            <w:hideMark/>
          </w:tcPr>
          <w:p w14:paraId="41EDAC3D" w14:textId="77777777" w:rsidR="000D501C" w:rsidRPr="00F358D4" w:rsidRDefault="000D501C" w:rsidP="008A5620">
            <w:pPr>
              <w:pStyle w:val="TableBlock"/>
            </w:pPr>
            <w:r w:rsidRPr="00F358D4">
              <w:rPr>
                <w:rFonts w:hint="eastAsia"/>
                <w:rtl/>
              </w:rPr>
              <w:t>בחוק</w:t>
            </w:r>
            <w:r w:rsidRPr="00F358D4">
              <w:rPr>
                <w:rtl/>
              </w:rPr>
              <w:t xml:space="preserve"> ההוצאה לפועל, </w:t>
            </w:r>
            <w:r w:rsidRPr="00F358D4">
              <w:rPr>
                <w:rFonts w:hint="eastAsia"/>
                <w:rtl/>
              </w:rPr>
              <w:t>התשכ</w:t>
            </w:r>
            <w:r w:rsidRPr="00F358D4">
              <w:rPr>
                <w:rtl/>
              </w:rPr>
              <w:t>"ז</w:t>
            </w:r>
            <w:r w:rsidRPr="00F358D4">
              <w:rPr>
                <w:rFonts w:hint="eastAsia"/>
                <w:rtl/>
              </w:rPr>
              <w:t>–</w:t>
            </w:r>
            <w:r w:rsidRPr="00F358D4">
              <w:rPr>
                <w:rtl/>
              </w:rPr>
              <w:t>1967</w:t>
            </w:r>
            <w:r w:rsidRPr="008A5620">
              <w:rPr>
                <w:rStyle w:val="a6"/>
                <w:rFonts w:ascii="David" w:hAnsi="David"/>
                <w:sz w:val="26"/>
                <w:rtl/>
              </w:rPr>
              <w:footnoteReference w:id="2"/>
            </w:r>
            <w:r w:rsidRPr="00F358D4">
              <w:rPr>
                <w:rtl/>
              </w:rPr>
              <w:t xml:space="preserve">, </w:t>
            </w:r>
            <w:r>
              <w:rPr>
                <w:rFonts w:hint="cs"/>
                <w:rtl/>
              </w:rPr>
              <w:t xml:space="preserve">בסעיף 81ב1, אחרי </w:t>
            </w:r>
            <w:r w:rsidRPr="00F358D4">
              <w:rPr>
                <w:rFonts w:hint="eastAsia"/>
                <w:rtl/>
              </w:rPr>
              <w:t>סעיף</w:t>
            </w:r>
            <w:r w:rsidRPr="00F358D4">
              <w:rPr>
                <w:rtl/>
              </w:rPr>
              <w:t xml:space="preserve"> </w:t>
            </w:r>
            <w:r>
              <w:rPr>
                <w:rFonts w:hint="cs"/>
                <w:rtl/>
              </w:rPr>
              <w:t xml:space="preserve">קטן </w:t>
            </w:r>
            <w:r w:rsidRPr="00F358D4">
              <w:rPr>
                <w:rtl/>
              </w:rPr>
              <w:t>(</w:t>
            </w:r>
            <w:r w:rsidRPr="00F358D4">
              <w:rPr>
                <w:rFonts w:hint="eastAsia"/>
                <w:rtl/>
              </w:rPr>
              <w:t>ב</w:t>
            </w:r>
            <w:r w:rsidRPr="00F358D4">
              <w:rPr>
                <w:rtl/>
              </w:rPr>
              <w:t xml:space="preserve">) </w:t>
            </w:r>
            <w:r>
              <w:rPr>
                <w:rFonts w:hint="cs"/>
                <w:rtl/>
              </w:rPr>
              <w:t xml:space="preserve">יבוא: </w:t>
            </w:r>
          </w:p>
        </w:tc>
      </w:tr>
      <w:tr w:rsidR="000D501C" w14:paraId="55822546" w14:textId="77777777" w:rsidTr="008A5620">
        <w:trPr>
          <w:cantSplit/>
        </w:trPr>
        <w:tc>
          <w:tcPr>
            <w:tcW w:w="1871" w:type="dxa"/>
          </w:tcPr>
          <w:p w14:paraId="44423016" w14:textId="77777777" w:rsidR="000D501C" w:rsidRDefault="000D501C" w:rsidP="00835771">
            <w:pPr>
              <w:pStyle w:val="TableSideHeading"/>
              <w:keepLines w:val="0"/>
            </w:pPr>
          </w:p>
        </w:tc>
        <w:tc>
          <w:tcPr>
            <w:tcW w:w="624" w:type="dxa"/>
          </w:tcPr>
          <w:p w14:paraId="3A3BA15F" w14:textId="77777777" w:rsidR="000D501C" w:rsidRDefault="000D501C" w:rsidP="00835771">
            <w:pPr>
              <w:pStyle w:val="TableText"/>
            </w:pPr>
          </w:p>
        </w:tc>
        <w:tc>
          <w:tcPr>
            <w:tcW w:w="7143" w:type="dxa"/>
            <w:hideMark/>
          </w:tcPr>
          <w:p w14:paraId="1CAA8A23" w14:textId="77777777" w:rsidR="000D501C" w:rsidRDefault="000D501C" w:rsidP="008A5620">
            <w:pPr>
              <w:pStyle w:val="TableBlock"/>
            </w:pPr>
            <w:r>
              <w:rPr>
                <w:rFonts w:hint="cs"/>
                <w:rtl/>
              </w:rPr>
              <w:t>"(ב1)</w:t>
            </w:r>
            <w:r>
              <w:rPr>
                <w:rtl/>
              </w:rPr>
              <w:tab/>
            </w:r>
            <w:r>
              <w:rPr>
                <w:rFonts w:hint="cs"/>
                <w:rtl/>
              </w:rPr>
              <w:t>לא תתקבל בקשת בנק לביצוע משכנתה כאמור בסעיפים קטנים (א) ו- (ב), אלא אם כן הוכיח הבנק, להנחת דעתו של רשם ההוצאה לפועל, כי פעל בהתאם להוראות סעיף 5א(ה) לחוק הלוואות לדיור, התשנ"ב–1992</w:t>
            </w:r>
            <w:r w:rsidRPr="008A5620">
              <w:rPr>
                <w:rStyle w:val="a6"/>
                <w:rFonts w:ascii="David" w:hAnsi="David"/>
                <w:sz w:val="26"/>
                <w:rtl/>
              </w:rPr>
              <w:footnoteReference w:id="3"/>
            </w:r>
            <w:r>
              <w:rPr>
                <w:rFonts w:hint="cs"/>
                <w:rtl/>
              </w:rPr>
              <w:t>, ובהתאם להוראות ניהול בנקאי תקין כהגדרתן בסעיף 5(ג1) לפקודת הבנקאות</w:t>
            </w:r>
            <w:r w:rsidRPr="008A5620">
              <w:rPr>
                <w:rStyle w:val="a6"/>
                <w:rFonts w:ascii="David" w:hAnsi="David"/>
                <w:sz w:val="26"/>
                <w:rtl/>
              </w:rPr>
              <w:footnoteReference w:id="4"/>
            </w:r>
            <w:r>
              <w:rPr>
                <w:rFonts w:hint="cs"/>
                <w:rtl/>
              </w:rPr>
              <w:t>, לעניין פיגורים והתראה לפני נקיטת הליכים משפטיים."</w:t>
            </w:r>
          </w:p>
        </w:tc>
      </w:tr>
    </w:tbl>
    <w:p w14:paraId="7F6961CA" w14:textId="77777777" w:rsidR="002D1EE3" w:rsidRDefault="002D1EE3" w:rsidP="002D1EE3">
      <w:pPr>
        <w:pStyle w:val="HeadDivreiHesber"/>
        <w:rPr>
          <w:rtl/>
        </w:rPr>
      </w:pPr>
      <w:r w:rsidRPr="0027450A">
        <w:rPr>
          <w:rFonts w:hint="cs"/>
          <w:rtl/>
        </w:rPr>
        <w:t>דברי הסבר</w:t>
      </w:r>
    </w:p>
    <w:p w14:paraId="1B8F618D" w14:textId="77777777" w:rsidR="000D501C" w:rsidRDefault="000D501C" w:rsidP="000D501C">
      <w:pPr>
        <w:pStyle w:val="Hesber"/>
      </w:pPr>
      <w:r>
        <w:rPr>
          <w:rFonts w:hint="cs"/>
          <w:rtl/>
        </w:rPr>
        <w:t>מטרת הצעת החוק היא לתקן עיוות הקיים בדין הנוכחי, אשר מביא לפגיעה מיותרת בחייבים, שנקלעו למצוקה בהחזרי הלוואות לדיור, כמו גם לעומס מיותר על מערכת ההוצאה לפועל.</w:t>
      </w:r>
    </w:p>
    <w:p w14:paraId="669E101F" w14:textId="77777777" w:rsidR="000D501C" w:rsidRDefault="000D501C" w:rsidP="000D501C">
      <w:pPr>
        <w:pStyle w:val="Hesber"/>
        <w:rPr>
          <w:rtl/>
        </w:rPr>
      </w:pPr>
      <w:r>
        <w:rPr>
          <w:rFonts w:hint="cs"/>
          <w:rtl/>
        </w:rPr>
        <w:t xml:space="preserve">לפי הדין כיום, בחוק הלוואות לדיור, התשנ"ב–1992 (להלן – חוק הלוואות לדיור), קבוע הסדר המאפשר ללווה לפנות לוועדה המיוחדת בבקשה להקל בתנאי פירעון ההלוואה בהתאם למצבו הכלכלי. זכות זו שבידי הלווה מנותקת כיום, מבחינה פרוצדוראלית, מזכותו של הנושה לפתוח בהליכי ביצוע המשכנתה בהוצאה לפועל. התוצאה היא כי לווים רבים מוצאים עצמם במצוקה מיותרת, בגדרה הם נאלצים לפנות לוועדה המיוחדת רק לאחר שנפתחו נגדם הליכים בהוצאה לפועל, המעמידים אותם בסכנת פינוי. על כן, מוצע לתקן את חוק ההוצאה לפועל, התשכ"ז–1967, ולקבוע כי טרם תתקבל בקשה לביצוע משכנתה, יהא בנק מחויב להוכיח להנחת דעתו של רשם ההוצאה לפועל כי פעל בהתאם לחוק הלוואת לדיור ולהוראות המפקח על הבנקים בנושא. כך תושג מטרה כפולה: ראשית, תוקל מצוקת הלווה. שנית, יוקל העומס על מערכת ההוצאה לפועל, משום שתתקבלנה החלטות של הוועדה המיוחדת, המייתרות את הגשת בקשות הביצוע. </w:t>
      </w:r>
    </w:p>
    <w:p w14:paraId="58DD746A" w14:textId="4166993B" w:rsidR="000D501C" w:rsidRPr="00924099" w:rsidRDefault="000D501C" w:rsidP="000D501C">
      <w:pPr>
        <w:pStyle w:val="Hesber"/>
        <w:rPr>
          <w:rtl/>
        </w:rPr>
      </w:pPr>
      <w:r>
        <w:rPr>
          <w:rFonts w:hint="cs"/>
          <w:rtl/>
        </w:rPr>
        <w:lastRenderedPageBreak/>
        <w:t xml:space="preserve">הצעות חוק דומות </w:t>
      </w:r>
      <w:r w:rsidRPr="00D27C80">
        <w:rPr>
          <w:rFonts w:hint="cs"/>
          <w:rtl/>
        </w:rPr>
        <w:t xml:space="preserve">בעיקרן הונחו על שולחן הכנסת השבע-עשרה על ידי חבר הכנסת משה כחלון (פ/3964/17), על שולחן הכנסת השמונה-עשרה על ידי חברי הכנסת איתן כבל ודב חנין (פ/1603/18), על ידי חברת הכנסת מירי רגב וקבוצת חברי הכנסת (פ/2323/18), על ידי חבר הכנסת חיים אורון וקבוצת חברי הכנסת (פ/2638/18), על ידי חבר הכנסת יעקב אדרי (פ/2787/18) ועל ידי חברת הכנסת זהבה גלאון </w:t>
      </w:r>
      <w:r w:rsidR="00924099">
        <w:rPr>
          <w:rFonts w:hint="cs"/>
          <w:rtl/>
        </w:rPr>
        <w:t xml:space="preserve">וקבוצת חברי הכנסת (פ/3276/18), </w:t>
      </w:r>
      <w:r w:rsidRPr="00D27C80">
        <w:rPr>
          <w:rFonts w:hint="cs"/>
          <w:rtl/>
        </w:rPr>
        <w:t xml:space="preserve">על שולחן הכנסת התשע-עשרה על ידי חברת הכנסת זהבה גלאון וקבוצת חברי הכנסת (פ/1083/19), על ידי </w:t>
      </w:r>
      <w:r w:rsidR="008A5620">
        <w:rPr>
          <w:rFonts w:hint="cs"/>
          <w:rtl/>
        </w:rPr>
        <w:t>חבר הכנסת אמנון כהן (פ/1084/19)</w:t>
      </w:r>
      <w:r>
        <w:rPr>
          <w:rFonts w:hint="cs"/>
          <w:rtl/>
        </w:rPr>
        <w:t xml:space="preserve"> ו</w:t>
      </w:r>
      <w:r w:rsidRPr="00D27C80">
        <w:rPr>
          <w:rFonts w:hint="cs"/>
          <w:rtl/>
        </w:rPr>
        <w:t>על ידי חבר הכנסת איתן כב</w:t>
      </w:r>
      <w:r w:rsidR="00924099">
        <w:rPr>
          <w:rFonts w:hint="cs"/>
          <w:rtl/>
        </w:rPr>
        <w:t>ל וקבוצת חברי הכנסת (פ/1085/19), ועל ש</w:t>
      </w:r>
      <w:r w:rsidR="008A5620">
        <w:rPr>
          <w:rFonts w:hint="cs"/>
          <w:rtl/>
        </w:rPr>
        <w:t>ולחן הכנסת העשרים על ידי חברת ה</w:t>
      </w:r>
      <w:r w:rsidR="00924099">
        <w:rPr>
          <w:rFonts w:hint="cs"/>
          <w:rtl/>
        </w:rPr>
        <w:t>כנסת זהבה גלאון וקבוצת חברי הכנסת (</w:t>
      </w:r>
      <w:r w:rsidR="00924099" w:rsidRPr="00924099">
        <w:rPr>
          <w:rtl/>
        </w:rPr>
        <w:t>פ/1895/20</w:t>
      </w:r>
      <w:r w:rsidR="00924099">
        <w:rPr>
          <w:rFonts w:hint="cs"/>
          <w:rtl/>
        </w:rPr>
        <w:t>)</w:t>
      </w:r>
    </w:p>
    <w:p w14:paraId="7F6961CB" w14:textId="18067D0C" w:rsidR="00E13C27" w:rsidRDefault="000D501C" w:rsidP="00E13C27">
      <w:pPr>
        <w:pStyle w:val="Hesber"/>
        <w:rPr>
          <w:rtl/>
        </w:rPr>
      </w:pPr>
      <w:r>
        <w:rPr>
          <w:rFonts w:hint="cs"/>
          <w:rtl/>
        </w:rPr>
        <w:t>הצעת חוק זהה הונחה על שולחן הכנסת התשע-עשרה על ידי חבר הכנסת איתן כבל וקבוצת חברי הכנסת (פ/1648/19).</w:t>
      </w:r>
    </w:p>
    <w:p w14:paraId="270A7BAA" w14:textId="77777777" w:rsidR="001537C1" w:rsidRDefault="001537C1" w:rsidP="00E13C27">
      <w:pPr>
        <w:pStyle w:val="Hesber"/>
        <w:rPr>
          <w:rtl/>
        </w:rPr>
      </w:pPr>
    </w:p>
    <w:p w14:paraId="515A3A07" w14:textId="77777777" w:rsidR="001537C1" w:rsidRPr="00D73212" w:rsidRDefault="001537C1" w:rsidP="001537C1">
      <w:pPr>
        <w:pStyle w:val="Hesber"/>
        <w:ind w:firstLine="0"/>
        <w:rPr>
          <w:rtl/>
        </w:rPr>
      </w:pPr>
      <w:r w:rsidRPr="00D73212">
        <w:rPr>
          <w:rtl/>
        </w:rPr>
        <w:t>---------------------------------</w:t>
      </w:r>
    </w:p>
    <w:p w14:paraId="0D7110AA" w14:textId="77777777" w:rsidR="001537C1" w:rsidRPr="00D73212" w:rsidRDefault="001537C1" w:rsidP="001537C1">
      <w:pPr>
        <w:pStyle w:val="Hesber"/>
        <w:ind w:firstLine="0"/>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4598EF5F" w14:textId="77777777" w:rsidR="001537C1" w:rsidRPr="00D73212" w:rsidRDefault="001537C1" w:rsidP="001537C1">
      <w:pPr>
        <w:pStyle w:val="Hesber"/>
        <w:ind w:firstLine="0"/>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58370225" w14:textId="58CA2736" w:rsidR="001537C1" w:rsidRDefault="001537C1" w:rsidP="001537C1">
      <w:pPr>
        <w:pStyle w:val="Hesber"/>
        <w:ind w:firstLine="0"/>
        <w:rPr>
          <w:rtl/>
        </w:rPr>
      </w:pPr>
      <w:r>
        <w:rPr>
          <w:rFonts w:hint="cs"/>
          <w:rtl/>
        </w:rPr>
        <w:t xml:space="preserve">י"א בכסלו </w:t>
      </w:r>
      <w:r w:rsidRPr="00D73212">
        <w:rPr>
          <w:rFonts w:hint="cs"/>
          <w:rtl/>
        </w:rPr>
        <w:t>התש</w:t>
      </w:r>
      <w:r>
        <w:rPr>
          <w:rFonts w:hint="cs"/>
          <w:rtl/>
        </w:rPr>
        <w:t xml:space="preserve">"ף </w:t>
      </w:r>
      <w:r w:rsidRPr="00D73212">
        <w:rPr>
          <w:rtl/>
        </w:rPr>
        <w:t>–</w:t>
      </w:r>
      <w:r>
        <w:rPr>
          <w:rFonts w:hint="cs"/>
          <w:rtl/>
        </w:rPr>
        <w:t xml:space="preserve"> 9.12</w:t>
      </w:r>
      <w:r w:rsidRPr="00D73212">
        <w:rPr>
          <w:rtl/>
        </w:rPr>
        <w:t>.</w:t>
      </w:r>
      <w:r>
        <w:rPr>
          <w:rFonts w:hint="cs"/>
          <w:rtl/>
        </w:rPr>
        <w:t>19</w:t>
      </w:r>
    </w:p>
    <w:sectPr w:rsidR="001537C1" w:rsidSect="008A5620">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9C16C8">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8A5620">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CDCCFFC" w14:textId="77777777" w:rsidR="000D501C" w:rsidRDefault="000D501C" w:rsidP="000D501C">
      <w:pPr>
        <w:pStyle w:val="a4"/>
        <w:rPr>
          <w:rtl/>
        </w:rPr>
      </w:pPr>
      <w:r>
        <w:rPr>
          <w:rStyle w:val="a6"/>
        </w:rPr>
        <w:footnoteRef/>
      </w:r>
      <w:r>
        <w:rPr>
          <w:rtl/>
        </w:rPr>
        <w:t xml:space="preserve"> </w:t>
      </w:r>
      <w:r>
        <w:rPr>
          <w:rFonts w:hint="cs"/>
          <w:rtl/>
        </w:rPr>
        <w:t>ס"ח התשכ"ז, עמ' 116.</w:t>
      </w:r>
    </w:p>
  </w:footnote>
  <w:footnote w:id="3">
    <w:p w14:paraId="3E23E36B" w14:textId="77777777" w:rsidR="000D501C" w:rsidRDefault="000D501C" w:rsidP="000D501C">
      <w:pPr>
        <w:pStyle w:val="a4"/>
        <w:rPr>
          <w:rtl/>
        </w:rPr>
      </w:pPr>
      <w:r>
        <w:rPr>
          <w:rStyle w:val="a6"/>
        </w:rPr>
        <w:footnoteRef/>
      </w:r>
      <w:r>
        <w:rPr>
          <w:rtl/>
        </w:rPr>
        <w:t xml:space="preserve"> </w:t>
      </w:r>
      <w:r>
        <w:rPr>
          <w:rFonts w:hint="cs"/>
          <w:rtl/>
        </w:rPr>
        <w:t>ס"ח התשנ"ב, עמ' 246.</w:t>
      </w:r>
    </w:p>
  </w:footnote>
  <w:footnote w:id="4">
    <w:p w14:paraId="01D856DE" w14:textId="77777777" w:rsidR="000D501C" w:rsidRDefault="000D501C" w:rsidP="000D501C">
      <w:pPr>
        <w:pStyle w:val="a4"/>
      </w:pPr>
      <w:r>
        <w:rPr>
          <w:rStyle w:val="a6"/>
        </w:rPr>
        <w:footnoteRef/>
      </w:r>
      <w:r>
        <w:rPr>
          <w:rtl/>
        </w:rPr>
        <w:t xml:space="preserve"> </w:t>
      </w:r>
      <w:r>
        <w:rPr>
          <w:rFonts w:hint="cs"/>
          <w:rtl/>
        </w:rPr>
        <w:t>ע"ר 1941, תוס' 1, עמ' (ע) 69, (א) 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D501C"/>
    <w:rsid w:val="00102B6B"/>
    <w:rsid w:val="001052D4"/>
    <w:rsid w:val="0010644B"/>
    <w:rsid w:val="001207F8"/>
    <w:rsid w:val="00121924"/>
    <w:rsid w:val="001279A8"/>
    <w:rsid w:val="0014195F"/>
    <w:rsid w:val="00152609"/>
    <w:rsid w:val="001537C1"/>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0784F"/>
    <w:rsid w:val="00412A7D"/>
    <w:rsid w:val="00416B4D"/>
    <w:rsid w:val="00417CFC"/>
    <w:rsid w:val="004A06DC"/>
    <w:rsid w:val="004B24ED"/>
    <w:rsid w:val="004B6625"/>
    <w:rsid w:val="004D2D82"/>
    <w:rsid w:val="004D3876"/>
    <w:rsid w:val="004E4552"/>
    <w:rsid w:val="004E6CDF"/>
    <w:rsid w:val="00517D9B"/>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5620"/>
    <w:rsid w:val="008A6870"/>
    <w:rsid w:val="008C2DDC"/>
    <w:rsid w:val="008C7516"/>
    <w:rsid w:val="008E6EC7"/>
    <w:rsid w:val="008F0D63"/>
    <w:rsid w:val="008F1308"/>
    <w:rsid w:val="008F2C35"/>
    <w:rsid w:val="008F6665"/>
    <w:rsid w:val="00904591"/>
    <w:rsid w:val="00905E5F"/>
    <w:rsid w:val="0091204F"/>
    <w:rsid w:val="009203DB"/>
    <w:rsid w:val="00923CD4"/>
    <w:rsid w:val="00924099"/>
    <w:rsid w:val="00930EFE"/>
    <w:rsid w:val="00943386"/>
    <w:rsid w:val="009456B6"/>
    <w:rsid w:val="00957589"/>
    <w:rsid w:val="00966D06"/>
    <w:rsid w:val="00982412"/>
    <w:rsid w:val="00983A8D"/>
    <w:rsid w:val="009A0DB8"/>
    <w:rsid w:val="009A7257"/>
    <w:rsid w:val="009C16C8"/>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1E09"/>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62300EF-D184-4DF6-AAAF-23BFE8FA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620"/>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8A5620"/>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8A5620"/>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8A5620"/>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8A5620"/>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8A5620"/>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8A5620"/>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8A5620"/>
    <w:rPr>
      <w:sz w:val="36"/>
      <w:szCs w:val="52"/>
    </w:rPr>
  </w:style>
  <w:style w:type="paragraph" w:customStyle="1" w:styleId="Cover3-Haknesset">
    <w:name w:val="Cover 3-Haknesset"/>
    <w:basedOn w:val="Cover1-Reshumot"/>
    <w:rsid w:val="008A5620"/>
    <w:rPr>
      <w:b/>
      <w:bCs/>
      <w:spacing w:val="60"/>
    </w:rPr>
  </w:style>
  <w:style w:type="paragraph" w:customStyle="1" w:styleId="Cover4-Date">
    <w:name w:val="Cover 4-Date"/>
    <w:basedOn w:val="a"/>
    <w:rsid w:val="008A5620"/>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8A5620"/>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8A5620"/>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8A5620"/>
    <w:pPr>
      <w:spacing w:before="120" w:after="120"/>
    </w:pPr>
    <w:rPr>
      <w:color w:val="FF0000"/>
      <w:w w:val="80"/>
    </w:rPr>
  </w:style>
  <w:style w:type="paragraph" w:styleId="a3">
    <w:name w:val="endnote text"/>
    <w:basedOn w:val="a"/>
    <w:semiHidden/>
    <w:rsid w:val="008A5620"/>
    <w:pPr>
      <w:ind w:left="227" w:hanging="227"/>
    </w:pPr>
    <w:rPr>
      <w:sz w:val="14"/>
      <w:szCs w:val="22"/>
    </w:rPr>
  </w:style>
  <w:style w:type="paragraph" w:customStyle="1" w:styleId="TableText">
    <w:name w:val="Table Text"/>
    <w:basedOn w:val="a"/>
    <w:rsid w:val="008A5620"/>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8A5620"/>
    <w:pPr>
      <w:outlineLvl w:val="2"/>
    </w:pPr>
  </w:style>
  <w:style w:type="paragraph" w:customStyle="1" w:styleId="TableBlock">
    <w:name w:val="Table Block"/>
    <w:basedOn w:val="TableText"/>
    <w:rsid w:val="008A5620"/>
    <w:pPr>
      <w:jc w:val="both"/>
    </w:pPr>
  </w:style>
  <w:style w:type="paragraph" w:customStyle="1" w:styleId="TableHead">
    <w:name w:val="Table Head"/>
    <w:basedOn w:val="TableText"/>
    <w:rsid w:val="008A5620"/>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8A5620"/>
    <w:pPr>
      <w:outlineLvl w:val="9"/>
    </w:pPr>
  </w:style>
  <w:style w:type="paragraph" w:customStyle="1" w:styleId="Hesber">
    <w:name w:val="Hesber"/>
    <w:basedOn w:val="a"/>
    <w:rsid w:val="008A5620"/>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8A5620"/>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8A5620"/>
    <w:rPr>
      <w:vertAlign w:val="superscript"/>
    </w:rPr>
  </w:style>
  <w:style w:type="paragraph" w:customStyle="1" w:styleId="HesberHeading">
    <w:name w:val="Hesber Heading"/>
    <w:basedOn w:val="Hesber"/>
    <w:rsid w:val="008A5620"/>
    <w:pPr>
      <w:tabs>
        <w:tab w:val="left" w:pos="624"/>
        <w:tab w:val="left" w:pos="1247"/>
      </w:tabs>
    </w:pPr>
    <w:rPr>
      <w:b/>
      <w:bCs/>
    </w:rPr>
  </w:style>
  <w:style w:type="paragraph" w:customStyle="1" w:styleId="HesberWriters">
    <w:name w:val="Hesber Writers"/>
    <w:basedOn w:val="Hesber"/>
    <w:rsid w:val="008A5620"/>
    <w:pPr>
      <w:spacing w:before="120" w:after="120"/>
      <w:ind w:left="1418"/>
      <w:jc w:val="right"/>
    </w:pPr>
    <w:rPr>
      <w:b/>
      <w:bCs/>
    </w:rPr>
  </w:style>
  <w:style w:type="paragraph" w:customStyle="1" w:styleId="Hesber1st">
    <w:name w:val="Hesber 1st"/>
    <w:basedOn w:val="Hesber"/>
    <w:rsid w:val="008A5620"/>
    <w:pPr>
      <w:tabs>
        <w:tab w:val="left" w:pos="680"/>
        <w:tab w:val="left" w:pos="1020"/>
      </w:tabs>
      <w:ind w:firstLine="0"/>
    </w:pPr>
  </w:style>
  <w:style w:type="character" w:styleId="a7">
    <w:name w:val="endnote reference"/>
    <w:basedOn w:val="a0"/>
    <w:semiHidden/>
    <w:rsid w:val="008A5620"/>
    <w:rPr>
      <w:vertAlign w:val="superscript"/>
    </w:rPr>
  </w:style>
  <w:style w:type="paragraph" w:customStyle="1" w:styleId="TableBlockOutdent">
    <w:name w:val="Table BlockOutdent"/>
    <w:basedOn w:val="TableBlock"/>
    <w:rsid w:val="008A5620"/>
    <w:pPr>
      <w:ind w:left="624" w:hanging="624"/>
    </w:pPr>
  </w:style>
  <w:style w:type="paragraph" w:styleId="a8">
    <w:name w:val="header"/>
    <w:basedOn w:val="a"/>
    <w:rsid w:val="008A5620"/>
    <w:pPr>
      <w:tabs>
        <w:tab w:val="center" w:pos="4153"/>
        <w:tab w:val="right" w:pos="8306"/>
      </w:tabs>
    </w:pPr>
  </w:style>
  <w:style w:type="paragraph" w:styleId="a9">
    <w:name w:val="footer"/>
    <w:basedOn w:val="a"/>
    <w:rsid w:val="008A5620"/>
    <w:pPr>
      <w:tabs>
        <w:tab w:val="center" w:pos="4153"/>
        <w:tab w:val="right" w:pos="8306"/>
      </w:tabs>
    </w:pPr>
  </w:style>
  <w:style w:type="paragraph" w:customStyle="1" w:styleId="HeadDivreiHesber">
    <w:name w:val="Head DivreiHesber"/>
    <w:basedOn w:val="a"/>
    <w:rsid w:val="008A5620"/>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8A5620"/>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8A5620"/>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0D501C"/>
    <w:rPr>
      <w:rFonts w:ascii="Arial" w:eastAsia="Arial Unicode MS" w:hAnsi="Arial" w:cs="David"/>
      <w:snapToGrid w:val="0"/>
      <w:sz w:val="14"/>
    </w:rPr>
  </w:style>
  <w:style w:type="character" w:customStyle="1" w:styleId="10">
    <w:name w:val="כותרת 1 תו"/>
    <w:basedOn w:val="a0"/>
    <w:link w:val="1"/>
    <w:uiPriority w:val="9"/>
    <w:rsid w:val="008A5620"/>
    <w:rPr>
      <w:rFonts w:asciiTheme="majorHAnsi" w:eastAsiaTheme="majorEastAsia" w:hAnsiTheme="majorHAnsi" w:cs="David"/>
      <w:bCs/>
      <w:sz w:val="32"/>
      <w:szCs w:val="36"/>
    </w:rPr>
  </w:style>
  <w:style w:type="character" w:customStyle="1" w:styleId="20">
    <w:name w:val="כותרת 2 תו"/>
    <w:basedOn w:val="a0"/>
    <w:link w:val="2"/>
    <w:rsid w:val="008A5620"/>
    <w:rPr>
      <w:rFonts w:asciiTheme="majorHAnsi" w:eastAsiaTheme="majorEastAsia" w:hAnsiTheme="majorHAnsi" w:cs="David"/>
      <w:bCs/>
      <w:sz w:val="26"/>
      <w:szCs w:val="36"/>
      <w:u w:val="single"/>
    </w:rPr>
  </w:style>
  <w:style w:type="character" w:customStyle="1" w:styleId="30">
    <w:name w:val="כותרת 3 תו"/>
    <w:basedOn w:val="a0"/>
    <w:link w:val="3"/>
    <w:rsid w:val="008A5620"/>
    <w:rPr>
      <w:rFonts w:asciiTheme="majorHAnsi" w:eastAsiaTheme="majorEastAsia" w:hAnsiTheme="majorHAnsi" w:cs="David"/>
      <w:sz w:val="24"/>
      <w:szCs w:val="28"/>
      <w:u w:val="double"/>
    </w:rPr>
  </w:style>
  <w:style w:type="character" w:customStyle="1" w:styleId="40">
    <w:name w:val="כותרת 4 תו"/>
    <w:basedOn w:val="a0"/>
    <w:link w:val="4"/>
    <w:uiPriority w:val="9"/>
    <w:rsid w:val="008A5620"/>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8A5620"/>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8A5620"/>
    <w:pPr>
      <w:widowControl/>
      <w:spacing w:before="120" w:after="120"/>
      <w:outlineLvl w:val="9"/>
    </w:pPr>
    <w:rPr>
      <w:rtl/>
      <w:cs/>
    </w:rPr>
  </w:style>
  <w:style w:type="paragraph" w:styleId="TOC1">
    <w:name w:val="toc 1"/>
    <w:basedOn w:val="a"/>
    <w:next w:val="a"/>
    <w:autoRedefine/>
    <w:uiPriority w:val="39"/>
    <w:unhideWhenUsed/>
    <w:rsid w:val="008A5620"/>
    <w:pPr>
      <w:tabs>
        <w:tab w:val="right" w:leader="dot" w:pos="9629"/>
      </w:tabs>
      <w:spacing w:after="100"/>
    </w:pPr>
    <w:rPr>
      <w:bCs/>
      <w:szCs w:val="22"/>
    </w:rPr>
  </w:style>
  <w:style w:type="paragraph" w:styleId="TOC2">
    <w:name w:val="toc 2"/>
    <w:basedOn w:val="a"/>
    <w:next w:val="a"/>
    <w:uiPriority w:val="39"/>
    <w:unhideWhenUsed/>
    <w:rsid w:val="008A5620"/>
    <w:pPr>
      <w:tabs>
        <w:tab w:val="right" w:leader="dot" w:pos="9628"/>
      </w:tabs>
      <w:spacing w:after="100"/>
    </w:pPr>
    <w:rPr>
      <w:szCs w:val="22"/>
    </w:rPr>
  </w:style>
  <w:style w:type="character" w:styleId="Hyperlink">
    <w:name w:val="Hyperlink"/>
    <w:basedOn w:val="a0"/>
    <w:uiPriority w:val="99"/>
    <w:unhideWhenUsed/>
    <w:rsid w:val="008A5620"/>
    <w:rPr>
      <w:color w:val="0000FF" w:themeColor="hyperlink"/>
      <w:u w:val="single"/>
    </w:rPr>
  </w:style>
  <w:style w:type="paragraph" w:styleId="TOC3">
    <w:name w:val="toc 3"/>
    <w:basedOn w:val="a"/>
    <w:next w:val="a"/>
    <w:uiPriority w:val="39"/>
    <w:unhideWhenUsed/>
    <w:rsid w:val="008A5620"/>
    <w:pPr>
      <w:tabs>
        <w:tab w:val="right" w:leader="dot" w:pos="9629"/>
      </w:tabs>
      <w:spacing w:after="100"/>
      <w:ind w:left="567"/>
    </w:pPr>
    <w:rPr>
      <w:szCs w:val="22"/>
    </w:rPr>
  </w:style>
  <w:style w:type="paragraph" w:styleId="TOC4">
    <w:name w:val="toc 4"/>
    <w:basedOn w:val="a"/>
    <w:next w:val="a"/>
    <w:autoRedefine/>
    <w:unhideWhenUsed/>
    <w:qFormat/>
    <w:rsid w:val="008A5620"/>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8A5620"/>
    <w:pPr>
      <w:tabs>
        <w:tab w:val="right" w:leader="dot" w:pos="9628"/>
      </w:tabs>
      <w:spacing w:after="100"/>
      <w:ind w:left="567"/>
    </w:pPr>
    <w:rPr>
      <w:szCs w:val="22"/>
    </w:rPr>
  </w:style>
  <w:style w:type="paragraph" w:styleId="TOC6">
    <w:name w:val="toc 6"/>
    <w:basedOn w:val="a"/>
    <w:next w:val="a"/>
    <w:autoRedefine/>
    <w:semiHidden/>
    <w:unhideWhenUsed/>
    <w:rsid w:val="008A5620"/>
    <w:pPr>
      <w:spacing w:after="100"/>
      <w:ind w:left="850"/>
    </w:pPr>
  </w:style>
  <w:style w:type="paragraph" w:styleId="TOC7">
    <w:name w:val="toc 7"/>
    <w:basedOn w:val="a"/>
    <w:next w:val="a"/>
    <w:autoRedefine/>
    <w:semiHidden/>
    <w:unhideWhenUsed/>
    <w:rsid w:val="008A5620"/>
    <w:pPr>
      <w:spacing w:after="100"/>
      <w:ind w:left="1020"/>
    </w:pPr>
  </w:style>
  <w:style w:type="paragraph" w:styleId="TOC8">
    <w:name w:val="toc 8"/>
    <w:basedOn w:val="a"/>
    <w:next w:val="a"/>
    <w:autoRedefine/>
    <w:semiHidden/>
    <w:unhideWhenUsed/>
    <w:rsid w:val="008A5620"/>
    <w:pPr>
      <w:spacing w:after="100"/>
      <w:ind w:left="1190"/>
    </w:pPr>
  </w:style>
  <w:style w:type="paragraph" w:styleId="TOC9">
    <w:name w:val="toc 9"/>
    <w:basedOn w:val="a"/>
    <w:next w:val="a"/>
    <w:autoRedefine/>
    <w:semiHidden/>
    <w:unhideWhenUsed/>
    <w:rsid w:val="008A5620"/>
    <w:pPr>
      <w:spacing w:after="100"/>
      <w:ind w:left="1360"/>
    </w:pPr>
  </w:style>
  <w:style w:type="paragraph" w:customStyle="1" w:styleId="TableHead2">
    <w:name w:val="Table Head2"/>
    <w:basedOn w:val="TableHead"/>
    <w:qFormat/>
    <w:rsid w:val="008A5620"/>
    <w:pPr>
      <w:outlineLvl w:val="9"/>
    </w:pPr>
  </w:style>
  <w:style w:type="paragraph" w:customStyle="1" w:styleId="TableSideHeading2">
    <w:name w:val="Table SideHeading2"/>
    <w:basedOn w:val="TableSideHeading"/>
    <w:autoRedefine/>
    <w:qFormat/>
    <w:rsid w:val="008A5620"/>
    <w:pPr>
      <w:keepLines w:val="0"/>
      <w:outlineLvl w:val="9"/>
    </w:pPr>
  </w:style>
  <w:style w:type="paragraph" w:customStyle="1" w:styleId="0">
    <w:name w:val="סגנון שורה ראשונה:  0  ס''מ"/>
    <w:basedOn w:val="2"/>
    <w:rsid w:val="008A5620"/>
    <w:rPr>
      <w:rFonts w:eastAsia="Times New Roman"/>
    </w:rPr>
  </w:style>
  <w:style w:type="paragraph" w:styleId="af">
    <w:name w:val="List Paragraph"/>
    <w:basedOn w:val="a"/>
    <w:uiPriority w:val="34"/>
    <w:qFormat/>
    <w:rsid w:val="008A5620"/>
    <w:pPr>
      <w:widowControl/>
      <w:spacing w:line="259" w:lineRule="auto"/>
    </w:pPr>
    <w:rPr>
      <w:rFonts w:asciiTheme="minorHAnsi" w:hAnsiTheme="minorHAnsi"/>
      <w:sz w:val="22"/>
    </w:rPr>
  </w:style>
  <w:style w:type="table" w:styleId="af0">
    <w:name w:val="Table Grid"/>
    <w:basedOn w:val="a1"/>
    <w:rsid w:val="008A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8A562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8A562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8A5620"/>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8A5620"/>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042130">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DCAF9-1835-4C0D-A479-1CBFC64F5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82A7DFA-D4DF-4A3B-AACE-EA4937AC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370</Words>
  <Characters>2111</Characters>
  <Application>Microsoft Office Word</Application>
  <DocSecurity>0</DocSecurity>
  <Lines>17</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חנה קרליץ</cp:lastModifiedBy>
  <cp:revision>10</cp:revision>
  <cp:lastPrinted>2019-12-04T10:25:00Z</cp:lastPrinted>
  <dcterms:created xsi:type="dcterms:W3CDTF">2015-04-20T09:58:00Z</dcterms:created>
  <dcterms:modified xsi:type="dcterms:W3CDTF">2019-12-04T10:25:00Z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2083094</vt:r8>
  </property>
</Properties>
</file>