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2082848</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ושתיים</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יואב קיש</w:t>
      </w:r>
      <w:r>
        <w:br/>
      </w:r>
      <w:r>
        <w:rPr>
          <w:rFonts w:hint="cs"/>
          <w:b/>
          <w:bCs/>
          <w:rtl/>
        </w:rPr>
        <w:t xml:space="preserve"> </w:t>
      </w:r>
      <w:r>
        <w:tab/>
      </w:r>
      <w:r>
        <w:tab/>
      </w:r>
      <w:r>
        <w:tab/>
      </w:r>
      <w:r>
        <w:tab/>
      </w:r>
      <w:r>
        <w:rPr>
          <w:rFonts w:hint="cs"/>
          <w:b/>
          <w:bCs/>
          <w:rtl/>
        </w:rPr>
        <w:t>שלמה קרעי</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3A8F7C30" w:rsidR="00904591" w:rsidRPr="00904591" w:rsidRDefault="00266D86" w:rsidP="004C78D9">
      <w:pPr>
        <w:pStyle w:val="David"/>
        <w:ind w:left="3544"/>
        <w:rPr>
          <w:sz w:val="4"/>
          <w:szCs w:val="4"/>
          <w:rtl/>
        </w:rPr>
      </w:pPr>
      <w:r>
        <w:t>____</w:t>
      </w:r>
      <w:r w:rsidR="00E374F2">
        <w:t>__</w:t>
      </w:r>
      <w:r>
        <w:t>________________________________________</w:t>
      </w:r>
      <w:r w:rsidR="004C78D9">
        <w:rPr>
          <w:rtl/>
        </w:rPr>
        <w:tab/>
      </w:r>
      <w:r w:rsidR="004C78D9">
        <w:rPr>
          <w:rtl/>
        </w:rPr>
        <w:tab/>
      </w:r>
      <w:r w:rsidR="004C78D9">
        <w:rPr>
          <w:rtl/>
        </w:rPr>
        <w:tab/>
      </w:r>
      <w:r w:rsidR="004C78D9">
        <w:rPr>
          <w:rtl/>
        </w:rPr>
        <w:tab/>
      </w:r>
      <w:r w:rsidR="00904591">
        <w:t xml:space="preserve">           </w:t>
      </w:r>
      <w:r w:rsidR="00DF6E2E">
        <w:rPr>
          <w:rtl/>
        </w:rPr>
        <w:tab/>
      </w:r>
      <w:bookmarkStart w:id="6" w:name="_GoBack"/>
      <w:bookmarkEnd w:id="6"/>
      <w:r w:rsidR="004C78D9">
        <w:rPr>
          <w:rFonts w:hint="cs"/>
          <w:rtl/>
        </w:rPr>
        <w:t>פ/1286/22</w:t>
      </w:r>
    </w:p>
    <w:p w14:paraId="748A96CF" w14:textId="279B170E" w:rsidR="00FD1EEB" w:rsidRDefault="00FD1EEB" w:rsidP="00F378D8">
      <w:pPr>
        <w:pStyle w:val="HeadHatzaotHok"/>
        <w:rPr>
          <w:rtl/>
        </w:rPr>
      </w:pPr>
      <w:r>
        <w:rPr>
          <w:rFonts w:hint="cs"/>
          <w:rtl/>
        </w:rPr>
        <w:t>הצעת חוק להגברת השקיפות בפעילותם של גופים פיננסיים (תיקוני חקיקה), התש"ף–</w:t>
      </w:r>
      <w:r w:rsidR="00F378D8">
        <w:rPr>
          <w:rFonts w:hint="cs"/>
          <w:rtl/>
        </w:rPr>
        <w:t>2019</w:t>
      </w:r>
    </w:p>
    <w:tbl>
      <w:tblPr>
        <w:bidiVisual/>
        <w:tblW w:w="9639" w:type="dxa"/>
        <w:tblLayout w:type="fixed"/>
        <w:tblCellMar>
          <w:top w:w="57" w:type="dxa"/>
          <w:left w:w="0" w:type="dxa"/>
          <w:bottom w:w="57" w:type="dxa"/>
          <w:right w:w="0" w:type="dxa"/>
        </w:tblCellMar>
        <w:tblLook w:val="01E0" w:firstRow="1" w:lastRow="1" w:firstColumn="1" w:lastColumn="1" w:noHBand="0" w:noVBand="0"/>
      </w:tblPr>
      <w:tblGrid>
        <w:gridCol w:w="1872"/>
        <w:gridCol w:w="624"/>
        <w:gridCol w:w="624"/>
        <w:gridCol w:w="624"/>
        <w:gridCol w:w="5895"/>
      </w:tblGrid>
      <w:tr w:rsidR="00FD1EEB" w14:paraId="5F5CA834" w14:textId="77777777" w:rsidTr="008F7B8B">
        <w:trPr>
          <w:cantSplit/>
        </w:trPr>
        <w:tc>
          <w:tcPr>
            <w:tcW w:w="1872" w:type="dxa"/>
          </w:tcPr>
          <w:p w14:paraId="03C872FF" w14:textId="77777777" w:rsidR="00FD1EEB" w:rsidRDefault="00FD1EEB" w:rsidP="00D95528">
            <w:pPr>
              <w:pStyle w:val="TableSideHeading"/>
              <w:keepLines w:val="0"/>
            </w:pPr>
            <w:r>
              <w:rPr>
                <w:rFonts w:hint="cs"/>
                <w:rtl/>
              </w:rPr>
              <w:t>תיקון פקודת הבנקאות</w:t>
            </w:r>
          </w:p>
        </w:tc>
        <w:tc>
          <w:tcPr>
            <w:tcW w:w="624" w:type="dxa"/>
            <w:hideMark/>
          </w:tcPr>
          <w:p w14:paraId="3BF0546A" w14:textId="77777777" w:rsidR="00FD1EEB" w:rsidRDefault="00FD1EEB" w:rsidP="00D95528">
            <w:pPr>
              <w:pStyle w:val="TableText"/>
              <w:keepLines w:val="0"/>
            </w:pPr>
            <w:r>
              <w:rPr>
                <w:rFonts w:hint="cs"/>
                <w:rtl/>
              </w:rPr>
              <w:t>1.</w:t>
            </w:r>
          </w:p>
        </w:tc>
        <w:tc>
          <w:tcPr>
            <w:tcW w:w="7143" w:type="dxa"/>
            <w:gridSpan w:val="3"/>
          </w:tcPr>
          <w:p w14:paraId="0DE32DB1" w14:textId="67805144" w:rsidR="00FD1EEB" w:rsidRDefault="00FD1EEB" w:rsidP="008F7B8B">
            <w:pPr>
              <w:pStyle w:val="TableBlock"/>
            </w:pPr>
            <w:r>
              <w:rPr>
                <w:rFonts w:hint="cs"/>
                <w:rtl/>
              </w:rPr>
              <w:t>בפקודת הבנקאות, 1941</w:t>
            </w:r>
            <w:r w:rsidRPr="008F7B8B">
              <w:rPr>
                <w:rStyle w:val="a6"/>
                <w:rFonts w:ascii="David" w:hAnsi="David"/>
                <w:sz w:val="26"/>
                <w:rtl/>
              </w:rPr>
              <w:footnoteReference w:id="2"/>
            </w:r>
            <w:r w:rsidR="00E5493A">
              <w:rPr>
                <w:rFonts w:hint="cs"/>
                <w:rtl/>
              </w:rPr>
              <w:t xml:space="preserve"> </w:t>
            </w:r>
            <w:r w:rsidR="00E5493A">
              <w:rPr>
                <w:rFonts w:hint="eastAsia"/>
              </w:rPr>
              <w:t>–</w:t>
            </w:r>
          </w:p>
        </w:tc>
      </w:tr>
      <w:tr w:rsidR="00E5493A" w14:paraId="32C7F4D5" w14:textId="77777777" w:rsidTr="008F7B8B">
        <w:trPr>
          <w:cantSplit/>
        </w:trPr>
        <w:tc>
          <w:tcPr>
            <w:tcW w:w="1872" w:type="dxa"/>
          </w:tcPr>
          <w:p w14:paraId="40BA7A51" w14:textId="77777777" w:rsidR="00E5493A" w:rsidRDefault="00E5493A">
            <w:pPr>
              <w:pStyle w:val="TableSideHeading"/>
            </w:pPr>
          </w:p>
        </w:tc>
        <w:tc>
          <w:tcPr>
            <w:tcW w:w="624" w:type="dxa"/>
          </w:tcPr>
          <w:p w14:paraId="4CF33C62" w14:textId="77777777" w:rsidR="00E5493A" w:rsidRDefault="00E5493A">
            <w:pPr>
              <w:pStyle w:val="TableText"/>
            </w:pPr>
          </w:p>
        </w:tc>
        <w:tc>
          <w:tcPr>
            <w:tcW w:w="624" w:type="dxa"/>
          </w:tcPr>
          <w:p w14:paraId="2A6055F7" w14:textId="15E3DEF7" w:rsidR="00E5493A" w:rsidRDefault="00E5493A">
            <w:pPr>
              <w:pStyle w:val="TableText"/>
            </w:pPr>
            <w:r>
              <w:rPr>
                <w:rFonts w:hint="cs"/>
                <w:rtl/>
              </w:rPr>
              <w:t>(1)</w:t>
            </w:r>
          </w:p>
        </w:tc>
        <w:tc>
          <w:tcPr>
            <w:tcW w:w="6519" w:type="dxa"/>
            <w:gridSpan w:val="2"/>
          </w:tcPr>
          <w:p w14:paraId="4CCEC0D1" w14:textId="7680BC54" w:rsidR="00E5493A" w:rsidRDefault="00E5493A" w:rsidP="008F7B8B">
            <w:pPr>
              <w:pStyle w:val="TableBlock"/>
            </w:pPr>
            <w:r>
              <w:rPr>
                <w:rFonts w:hint="cs"/>
                <w:rtl/>
              </w:rPr>
              <w:t xml:space="preserve">בסעיף 11א </w:t>
            </w:r>
            <w:r>
              <w:rPr>
                <w:rFonts w:hint="eastAsia"/>
              </w:rPr>
              <w:t>–</w:t>
            </w:r>
          </w:p>
        </w:tc>
      </w:tr>
      <w:tr w:rsidR="00E5493A" w14:paraId="55C45A7D" w14:textId="77777777" w:rsidTr="008F7B8B">
        <w:trPr>
          <w:cantSplit/>
        </w:trPr>
        <w:tc>
          <w:tcPr>
            <w:tcW w:w="1872" w:type="dxa"/>
          </w:tcPr>
          <w:p w14:paraId="43C5C7F8" w14:textId="77777777" w:rsidR="00E5493A" w:rsidRDefault="00E5493A">
            <w:pPr>
              <w:pStyle w:val="TableSideHeading"/>
            </w:pPr>
          </w:p>
        </w:tc>
        <w:tc>
          <w:tcPr>
            <w:tcW w:w="624" w:type="dxa"/>
          </w:tcPr>
          <w:p w14:paraId="15954CD6" w14:textId="77777777" w:rsidR="00E5493A" w:rsidRDefault="00E5493A">
            <w:pPr>
              <w:pStyle w:val="TableText"/>
            </w:pPr>
          </w:p>
        </w:tc>
        <w:tc>
          <w:tcPr>
            <w:tcW w:w="624" w:type="dxa"/>
          </w:tcPr>
          <w:p w14:paraId="1BB17C1F" w14:textId="77777777" w:rsidR="00E5493A" w:rsidRDefault="00E5493A">
            <w:pPr>
              <w:pStyle w:val="TableText"/>
            </w:pPr>
          </w:p>
        </w:tc>
        <w:tc>
          <w:tcPr>
            <w:tcW w:w="624" w:type="dxa"/>
          </w:tcPr>
          <w:p w14:paraId="02F36497" w14:textId="79C57A98" w:rsidR="00E5493A" w:rsidRDefault="00E5493A">
            <w:pPr>
              <w:pStyle w:val="TableText"/>
            </w:pPr>
            <w:r>
              <w:rPr>
                <w:rFonts w:hint="cs"/>
                <w:rtl/>
              </w:rPr>
              <w:t>(א)</w:t>
            </w:r>
          </w:p>
        </w:tc>
        <w:tc>
          <w:tcPr>
            <w:tcW w:w="5895" w:type="dxa"/>
          </w:tcPr>
          <w:p w14:paraId="4E66B897" w14:textId="3440B07F" w:rsidR="00E5493A" w:rsidRDefault="00E5493A" w:rsidP="008F7B8B">
            <w:pPr>
              <w:pStyle w:val="TableBlock"/>
            </w:pPr>
            <w:r>
              <w:rPr>
                <w:rFonts w:hint="cs"/>
                <w:rtl/>
              </w:rPr>
              <w:t>אחרי סעיף קטן (ו) יבוא:</w:t>
            </w:r>
          </w:p>
        </w:tc>
      </w:tr>
      <w:tr w:rsidR="00E5493A" w14:paraId="33EB5605" w14:textId="77777777" w:rsidTr="008F7B8B">
        <w:trPr>
          <w:cantSplit/>
        </w:trPr>
        <w:tc>
          <w:tcPr>
            <w:tcW w:w="1872" w:type="dxa"/>
          </w:tcPr>
          <w:p w14:paraId="39F0D480" w14:textId="77777777" w:rsidR="00E5493A" w:rsidRDefault="00E5493A">
            <w:pPr>
              <w:pStyle w:val="TableSideHeading"/>
            </w:pPr>
          </w:p>
        </w:tc>
        <w:tc>
          <w:tcPr>
            <w:tcW w:w="624" w:type="dxa"/>
          </w:tcPr>
          <w:p w14:paraId="67150272" w14:textId="77777777" w:rsidR="00E5493A" w:rsidRDefault="00E5493A" w:rsidP="00E5493A">
            <w:pPr>
              <w:pStyle w:val="TableText"/>
            </w:pPr>
          </w:p>
        </w:tc>
        <w:tc>
          <w:tcPr>
            <w:tcW w:w="624" w:type="dxa"/>
          </w:tcPr>
          <w:p w14:paraId="2C0BC85A" w14:textId="77777777" w:rsidR="00E5493A" w:rsidRDefault="00E5493A">
            <w:pPr>
              <w:pStyle w:val="TableText"/>
            </w:pPr>
          </w:p>
        </w:tc>
        <w:tc>
          <w:tcPr>
            <w:tcW w:w="624" w:type="dxa"/>
          </w:tcPr>
          <w:p w14:paraId="5B11DE9D" w14:textId="77777777" w:rsidR="00E5493A" w:rsidRDefault="00E5493A">
            <w:pPr>
              <w:pStyle w:val="TableText"/>
              <w:rPr>
                <w:rtl/>
              </w:rPr>
            </w:pPr>
          </w:p>
        </w:tc>
        <w:tc>
          <w:tcPr>
            <w:tcW w:w="5895" w:type="dxa"/>
          </w:tcPr>
          <w:p w14:paraId="57961688" w14:textId="33E3DFB2" w:rsidR="00E5493A" w:rsidRDefault="00E5493A" w:rsidP="008F7B8B">
            <w:pPr>
              <w:pStyle w:val="TableBlock"/>
              <w:rPr>
                <w:rtl/>
              </w:rPr>
            </w:pPr>
            <w:r>
              <w:rPr>
                <w:rFonts w:hint="cs"/>
                <w:rtl/>
              </w:rPr>
              <w:t>"(ו1)</w:t>
            </w:r>
            <w:r>
              <w:rPr>
                <w:rtl/>
              </w:rPr>
              <w:tab/>
            </w:r>
            <w:r w:rsidRPr="00016E12">
              <w:rPr>
                <w:rtl/>
              </w:rPr>
              <w:t>הודיע המפקח על התנגדותו למינוי כאמור בסעיף קטן (א) או הורה על הפסקת כהונה כאמור בסעיף קטן (ה),</w:t>
            </w:r>
            <w:r>
              <w:rPr>
                <w:rFonts w:hint="cs"/>
                <w:rtl/>
              </w:rPr>
              <w:t xml:space="preserve"> יפרסם המפקח את שמו של המועמד שלמינויו התנגד או שהורה על הפסקת כהונתו ואת העילה לכך, ובלבד שאם הוגש ערעור על ההחלטה בהתאם להוראות סעיף קטן (ו) יפרסם המפקח את הפרטים האמורים לאחר החלטת הנגיד."</w:t>
            </w:r>
          </w:p>
        </w:tc>
      </w:tr>
      <w:tr w:rsidR="00E5493A" w14:paraId="296270EC" w14:textId="77777777" w:rsidTr="008F7B8B">
        <w:trPr>
          <w:cantSplit/>
        </w:trPr>
        <w:tc>
          <w:tcPr>
            <w:tcW w:w="1872" w:type="dxa"/>
          </w:tcPr>
          <w:p w14:paraId="679E66FF" w14:textId="77777777" w:rsidR="00E5493A" w:rsidRDefault="00E5493A">
            <w:pPr>
              <w:pStyle w:val="TableSideHeading"/>
            </w:pPr>
          </w:p>
        </w:tc>
        <w:tc>
          <w:tcPr>
            <w:tcW w:w="624" w:type="dxa"/>
          </w:tcPr>
          <w:p w14:paraId="42E22089" w14:textId="77777777" w:rsidR="00E5493A" w:rsidRDefault="00E5493A" w:rsidP="00E5493A">
            <w:pPr>
              <w:pStyle w:val="TableText"/>
            </w:pPr>
          </w:p>
        </w:tc>
        <w:tc>
          <w:tcPr>
            <w:tcW w:w="624" w:type="dxa"/>
          </w:tcPr>
          <w:p w14:paraId="78070C78" w14:textId="77777777" w:rsidR="00E5493A" w:rsidRDefault="00E5493A">
            <w:pPr>
              <w:pStyle w:val="TableText"/>
            </w:pPr>
          </w:p>
        </w:tc>
        <w:tc>
          <w:tcPr>
            <w:tcW w:w="624" w:type="dxa"/>
          </w:tcPr>
          <w:p w14:paraId="41765C97" w14:textId="55CB7207" w:rsidR="00E5493A" w:rsidRDefault="00E5493A">
            <w:pPr>
              <w:pStyle w:val="TableText"/>
              <w:rPr>
                <w:rtl/>
              </w:rPr>
            </w:pPr>
            <w:r>
              <w:rPr>
                <w:rFonts w:hint="cs"/>
                <w:rtl/>
              </w:rPr>
              <w:t>(ב)</w:t>
            </w:r>
          </w:p>
        </w:tc>
        <w:tc>
          <w:tcPr>
            <w:tcW w:w="5895" w:type="dxa"/>
          </w:tcPr>
          <w:p w14:paraId="74CAF694" w14:textId="208DC198" w:rsidR="00E5493A" w:rsidRDefault="00E5493A" w:rsidP="008F7B8B">
            <w:pPr>
              <w:pStyle w:val="TableBlock"/>
              <w:rPr>
                <w:rtl/>
              </w:rPr>
            </w:pPr>
            <w:r>
              <w:rPr>
                <w:rFonts w:hint="cs"/>
                <w:rtl/>
              </w:rPr>
              <w:t xml:space="preserve">בסעיף קטן (ח), במקום "(א), </w:t>
            </w:r>
            <w:r w:rsidRPr="00016E12">
              <w:rPr>
                <w:rtl/>
              </w:rPr>
              <w:t>(ה) ו-(ו)</w:t>
            </w:r>
            <w:r>
              <w:rPr>
                <w:rFonts w:hint="cs"/>
                <w:rtl/>
              </w:rPr>
              <w:t>" יבוא "(א) ,(ה), (ו) ו-(ו1)".</w:t>
            </w:r>
          </w:p>
        </w:tc>
      </w:tr>
      <w:tr w:rsidR="00E5493A" w14:paraId="3AB0424A" w14:textId="77777777" w:rsidTr="008F7B8B">
        <w:trPr>
          <w:cantSplit/>
        </w:trPr>
        <w:tc>
          <w:tcPr>
            <w:tcW w:w="1872" w:type="dxa"/>
          </w:tcPr>
          <w:p w14:paraId="535F2B31" w14:textId="77777777" w:rsidR="00E5493A" w:rsidRDefault="00E5493A">
            <w:pPr>
              <w:pStyle w:val="TableSideHeading"/>
            </w:pPr>
          </w:p>
        </w:tc>
        <w:tc>
          <w:tcPr>
            <w:tcW w:w="624" w:type="dxa"/>
          </w:tcPr>
          <w:p w14:paraId="0508DDC2" w14:textId="77777777" w:rsidR="00E5493A" w:rsidRDefault="00E5493A">
            <w:pPr>
              <w:pStyle w:val="TableText"/>
            </w:pPr>
          </w:p>
        </w:tc>
        <w:tc>
          <w:tcPr>
            <w:tcW w:w="624" w:type="dxa"/>
          </w:tcPr>
          <w:p w14:paraId="402FFE9E" w14:textId="0B98034B" w:rsidR="00E5493A" w:rsidRDefault="00E5493A">
            <w:pPr>
              <w:pStyle w:val="TableText"/>
            </w:pPr>
            <w:r>
              <w:rPr>
                <w:rFonts w:hint="cs"/>
                <w:rtl/>
              </w:rPr>
              <w:t>(2)</w:t>
            </w:r>
          </w:p>
        </w:tc>
        <w:tc>
          <w:tcPr>
            <w:tcW w:w="6519" w:type="dxa"/>
            <w:gridSpan w:val="2"/>
          </w:tcPr>
          <w:p w14:paraId="0C47D482" w14:textId="52AF77F9" w:rsidR="00E5493A" w:rsidRDefault="00E5493A" w:rsidP="008F7B8B">
            <w:pPr>
              <w:pStyle w:val="TableBlock"/>
            </w:pPr>
            <w:r>
              <w:rPr>
                <w:rFonts w:hint="cs"/>
                <w:rtl/>
              </w:rPr>
              <w:t>בסעיף 15א אחרי "תביעה פלילית", יבוא "או סבר הנגיד כי העניין הציבורי בגילוי הידיעה או המסמך יצדיק זאת"</w:t>
            </w:r>
          </w:p>
        </w:tc>
      </w:tr>
      <w:tr w:rsidR="00FD1EEB" w14:paraId="59B3B364" w14:textId="77777777" w:rsidTr="008F7B8B">
        <w:trPr>
          <w:cantSplit/>
        </w:trPr>
        <w:tc>
          <w:tcPr>
            <w:tcW w:w="1872" w:type="dxa"/>
          </w:tcPr>
          <w:p w14:paraId="075FDF79" w14:textId="309A654C" w:rsidR="00FD1EEB" w:rsidRDefault="00FD1EEB" w:rsidP="00D95528">
            <w:pPr>
              <w:pStyle w:val="TableSideHeading"/>
            </w:pPr>
            <w:r>
              <w:rPr>
                <w:rFonts w:hint="cs"/>
                <w:rtl/>
              </w:rPr>
              <w:t>תיקון חוק הפיקוח על שירותים פיננסי</w:t>
            </w:r>
            <w:r w:rsidR="00E5493A">
              <w:rPr>
                <w:rFonts w:hint="cs"/>
                <w:rtl/>
              </w:rPr>
              <w:t>י</w:t>
            </w:r>
            <w:r>
              <w:rPr>
                <w:rFonts w:hint="cs"/>
                <w:rtl/>
              </w:rPr>
              <w:t>ם (ביטוח)</w:t>
            </w:r>
          </w:p>
        </w:tc>
        <w:tc>
          <w:tcPr>
            <w:tcW w:w="624" w:type="dxa"/>
          </w:tcPr>
          <w:p w14:paraId="040CC8C7" w14:textId="77777777" w:rsidR="00FD1EEB" w:rsidRPr="00D73583" w:rsidRDefault="00FD1EEB" w:rsidP="00D95528">
            <w:pPr>
              <w:pStyle w:val="TableText"/>
            </w:pPr>
            <w:r>
              <w:rPr>
                <w:rFonts w:hint="cs"/>
                <w:rtl/>
              </w:rPr>
              <w:t xml:space="preserve">2. </w:t>
            </w:r>
          </w:p>
        </w:tc>
        <w:tc>
          <w:tcPr>
            <w:tcW w:w="7143" w:type="dxa"/>
            <w:gridSpan w:val="3"/>
          </w:tcPr>
          <w:p w14:paraId="1E08FBE1" w14:textId="385E5B17" w:rsidR="00FD1EEB" w:rsidRPr="00CD6334" w:rsidRDefault="00FD1EEB" w:rsidP="008F7B8B">
            <w:pPr>
              <w:pStyle w:val="TableBlock"/>
            </w:pPr>
            <w:r>
              <w:rPr>
                <w:rFonts w:hint="cs"/>
                <w:rtl/>
              </w:rPr>
              <w:t>ב</w:t>
            </w:r>
            <w:r w:rsidRPr="00D73583">
              <w:rPr>
                <w:rtl/>
              </w:rPr>
              <w:t xml:space="preserve">חוק הפיקוח על שירותים פיננסיים (ביטוח), </w:t>
            </w:r>
            <w:r>
              <w:rPr>
                <w:rFonts w:hint="cs"/>
                <w:rtl/>
              </w:rPr>
              <w:t>ה</w:t>
            </w:r>
            <w:r w:rsidRPr="00D73583">
              <w:rPr>
                <w:rtl/>
              </w:rPr>
              <w:t>תשמ"א</w:t>
            </w:r>
            <w:r>
              <w:rPr>
                <w:rFonts w:hint="cs"/>
                <w:rtl/>
              </w:rPr>
              <w:t>–</w:t>
            </w:r>
            <w:r w:rsidRPr="00D73583">
              <w:rPr>
                <w:rtl/>
              </w:rPr>
              <w:t>1981</w:t>
            </w:r>
            <w:r w:rsidRPr="008F7B8B">
              <w:rPr>
                <w:rStyle w:val="a6"/>
                <w:rFonts w:ascii="David" w:hAnsi="David"/>
                <w:sz w:val="26"/>
                <w:rtl/>
              </w:rPr>
              <w:footnoteReference w:id="3"/>
            </w:r>
            <w:r>
              <w:rPr>
                <w:rFonts w:hint="cs"/>
                <w:rtl/>
              </w:rPr>
              <w:t xml:space="preserve"> (להלן </w:t>
            </w:r>
            <w:r>
              <w:rPr>
                <w:rFonts w:hint="eastAsia"/>
                <w:rtl/>
              </w:rPr>
              <w:t>–</w:t>
            </w:r>
            <w:r>
              <w:rPr>
                <w:rFonts w:hint="cs"/>
                <w:rtl/>
              </w:rPr>
              <w:t xml:space="preserve"> החוק)</w:t>
            </w:r>
            <w:r>
              <w:rPr>
                <w:rFonts w:hint="eastAsia"/>
                <w:rtl/>
              </w:rPr>
              <w:t>–</w:t>
            </w:r>
            <w:r>
              <w:rPr>
                <w:rFonts w:hint="cs"/>
                <w:rtl/>
              </w:rPr>
              <w:t xml:space="preserve"> </w:t>
            </w:r>
            <w:r w:rsidR="008F7B8B">
              <w:rPr>
                <w:rtl/>
              </w:rPr>
              <w:t xml:space="preserve"> </w:t>
            </w:r>
          </w:p>
        </w:tc>
      </w:tr>
      <w:tr w:rsidR="00FD1EEB" w14:paraId="1C7BEE7D" w14:textId="77777777" w:rsidTr="008F7B8B">
        <w:trPr>
          <w:cantSplit/>
        </w:trPr>
        <w:tc>
          <w:tcPr>
            <w:tcW w:w="1872" w:type="dxa"/>
          </w:tcPr>
          <w:p w14:paraId="5DF5D633" w14:textId="77777777" w:rsidR="00FD1EEB" w:rsidRDefault="00FD1EEB" w:rsidP="00D95528">
            <w:pPr>
              <w:pStyle w:val="TableSideHeading"/>
            </w:pPr>
          </w:p>
        </w:tc>
        <w:tc>
          <w:tcPr>
            <w:tcW w:w="624" w:type="dxa"/>
          </w:tcPr>
          <w:p w14:paraId="3B273852" w14:textId="77777777" w:rsidR="00FD1EEB" w:rsidRDefault="00FD1EEB" w:rsidP="00D95528">
            <w:pPr>
              <w:pStyle w:val="TableText"/>
            </w:pPr>
          </w:p>
        </w:tc>
        <w:tc>
          <w:tcPr>
            <w:tcW w:w="624" w:type="dxa"/>
          </w:tcPr>
          <w:p w14:paraId="6AA87ACD" w14:textId="77777777" w:rsidR="00FD1EEB" w:rsidRDefault="00FD1EEB" w:rsidP="00D95528">
            <w:pPr>
              <w:pStyle w:val="TableText"/>
            </w:pPr>
            <w:r>
              <w:rPr>
                <w:rFonts w:hint="cs"/>
                <w:rtl/>
              </w:rPr>
              <w:t>(1)</w:t>
            </w:r>
          </w:p>
        </w:tc>
        <w:tc>
          <w:tcPr>
            <w:tcW w:w="6519" w:type="dxa"/>
            <w:gridSpan w:val="2"/>
          </w:tcPr>
          <w:p w14:paraId="5C7C0295" w14:textId="77777777" w:rsidR="00FD1EEB" w:rsidRDefault="00FD1EEB" w:rsidP="008F7B8B">
            <w:pPr>
              <w:pStyle w:val="TableBlock"/>
            </w:pPr>
            <w:r>
              <w:rPr>
                <w:rFonts w:hint="cs"/>
                <w:rtl/>
              </w:rPr>
              <w:t>בסעיף 41י אחרי סעיף קטן (ג) יבוא:</w:t>
            </w:r>
          </w:p>
        </w:tc>
      </w:tr>
      <w:tr w:rsidR="00FD1EEB" w14:paraId="77BC9275" w14:textId="77777777" w:rsidTr="008F7B8B">
        <w:trPr>
          <w:cantSplit/>
        </w:trPr>
        <w:tc>
          <w:tcPr>
            <w:tcW w:w="1872" w:type="dxa"/>
          </w:tcPr>
          <w:p w14:paraId="5978FB83" w14:textId="77777777" w:rsidR="00FD1EEB" w:rsidRDefault="00FD1EEB" w:rsidP="00D95528">
            <w:pPr>
              <w:pStyle w:val="TableSideHeading"/>
            </w:pPr>
          </w:p>
        </w:tc>
        <w:tc>
          <w:tcPr>
            <w:tcW w:w="624" w:type="dxa"/>
          </w:tcPr>
          <w:p w14:paraId="1155C315" w14:textId="77777777" w:rsidR="00FD1EEB" w:rsidRDefault="00FD1EEB" w:rsidP="00D95528">
            <w:pPr>
              <w:pStyle w:val="TableText"/>
            </w:pPr>
          </w:p>
        </w:tc>
        <w:tc>
          <w:tcPr>
            <w:tcW w:w="624" w:type="dxa"/>
          </w:tcPr>
          <w:p w14:paraId="2229C516" w14:textId="77777777" w:rsidR="00FD1EEB" w:rsidRDefault="00FD1EEB" w:rsidP="00D95528">
            <w:pPr>
              <w:pStyle w:val="TableText"/>
            </w:pPr>
          </w:p>
        </w:tc>
        <w:tc>
          <w:tcPr>
            <w:tcW w:w="6519" w:type="dxa"/>
            <w:gridSpan w:val="2"/>
          </w:tcPr>
          <w:p w14:paraId="377AA945" w14:textId="4A6AD5ED" w:rsidR="00FD1EEB" w:rsidRDefault="00FD1EEB" w:rsidP="008F7B8B">
            <w:pPr>
              <w:pStyle w:val="TableBlock"/>
            </w:pPr>
            <w:r>
              <w:rPr>
                <w:rFonts w:hint="cs"/>
                <w:rtl/>
              </w:rPr>
              <w:t>"(ג1)</w:t>
            </w:r>
            <w:r w:rsidR="008F7B8B">
              <w:rPr>
                <w:rtl/>
              </w:rPr>
              <w:tab/>
            </w:r>
            <w:r w:rsidRPr="00016E12">
              <w:rPr>
                <w:rtl/>
              </w:rPr>
              <w:t xml:space="preserve">הודיע </w:t>
            </w:r>
            <w:r>
              <w:rPr>
                <w:rFonts w:hint="cs"/>
                <w:rtl/>
              </w:rPr>
              <w:t>הממונה</w:t>
            </w:r>
            <w:r w:rsidRPr="00016E12">
              <w:rPr>
                <w:rtl/>
              </w:rPr>
              <w:t xml:space="preserve"> על התנגדותו למינוי כאמור בסעיף קטן (א) או הורה על הפסקת כהונה כאמור בסעיף קטן (</w:t>
            </w:r>
            <w:r>
              <w:rPr>
                <w:rFonts w:hint="cs"/>
                <w:rtl/>
              </w:rPr>
              <w:t>ג</w:t>
            </w:r>
            <w:r w:rsidRPr="00016E12">
              <w:rPr>
                <w:rtl/>
              </w:rPr>
              <w:t>),</w:t>
            </w:r>
            <w:r>
              <w:rPr>
                <w:rFonts w:hint="cs"/>
                <w:rtl/>
              </w:rPr>
              <w:t xml:space="preserve"> יפרסם הממונה את שמו של המועמד שלמינויו התנגד או שהורה על הפסקת כהונתו, ואת העילה לכך."</w:t>
            </w:r>
          </w:p>
        </w:tc>
      </w:tr>
      <w:tr w:rsidR="00FD1EEB" w14:paraId="7E591716" w14:textId="77777777" w:rsidTr="008F7B8B">
        <w:trPr>
          <w:cantSplit/>
        </w:trPr>
        <w:tc>
          <w:tcPr>
            <w:tcW w:w="1872" w:type="dxa"/>
          </w:tcPr>
          <w:p w14:paraId="184B7CE8" w14:textId="77777777" w:rsidR="00FD1EEB" w:rsidRDefault="00FD1EEB" w:rsidP="00D95528">
            <w:pPr>
              <w:pStyle w:val="TableSideHeading"/>
            </w:pPr>
          </w:p>
        </w:tc>
        <w:tc>
          <w:tcPr>
            <w:tcW w:w="624" w:type="dxa"/>
          </w:tcPr>
          <w:p w14:paraId="23038110" w14:textId="77777777" w:rsidR="00FD1EEB" w:rsidRDefault="00FD1EEB" w:rsidP="00D95528">
            <w:pPr>
              <w:pStyle w:val="TableText"/>
            </w:pPr>
          </w:p>
        </w:tc>
        <w:tc>
          <w:tcPr>
            <w:tcW w:w="624" w:type="dxa"/>
          </w:tcPr>
          <w:p w14:paraId="587AFFCE" w14:textId="77777777" w:rsidR="00FD1EEB" w:rsidRDefault="00FD1EEB" w:rsidP="00D95528">
            <w:pPr>
              <w:pStyle w:val="TableText"/>
            </w:pPr>
            <w:r>
              <w:rPr>
                <w:rFonts w:hint="cs"/>
                <w:rtl/>
              </w:rPr>
              <w:t>(2)</w:t>
            </w:r>
          </w:p>
        </w:tc>
        <w:tc>
          <w:tcPr>
            <w:tcW w:w="6519" w:type="dxa"/>
            <w:gridSpan w:val="2"/>
          </w:tcPr>
          <w:p w14:paraId="01B45622" w14:textId="77777777" w:rsidR="00FD1EEB" w:rsidRDefault="00FD1EEB" w:rsidP="008F7B8B">
            <w:pPr>
              <w:pStyle w:val="TableBlock"/>
              <w:rPr>
                <w:rtl/>
              </w:rPr>
            </w:pPr>
            <w:r>
              <w:rPr>
                <w:rFonts w:hint="cs"/>
                <w:rtl/>
              </w:rPr>
              <w:t>בסעיף 50א לחוק, בסופו יבוא "או אם סבר הממונה כי העניין הציבורי בגילוי הידיעה או המסמך מצדיק זאת."</w:t>
            </w:r>
          </w:p>
        </w:tc>
      </w:tr>
      <w:tr w:rsidR="00FD1EEB" w14:paraId="721F8585" w14:textId="77777777" w:rsidTr="008F7B8B">
        <w:trPr>
          <w:cantSplit/>
        </w:trPr>
        <w:tc>
          <w:tcPr>
            <w:tcW w:w="1872" w:type="dxa"/>
          </w:tcPr>
          <w:p w14:paraId="3AD7A4CD" w14:textId="77777777" w:rsidR="00FD1EEB" w:rsidRDefault="00FD1EEB" w:rsidP="00D95528">
            <w:pPr>
              <w:pStyle w:val="TableSideHeading"/>
            </w:pPr>
            <w:r>
              <w:rPr>
                <w:rFonts w:hint="cs"/>
                <w:rtl/>
              </w:rPr>
              <w:t>תחולה</w:t>
            </w:r>
          </w:p>
        </w:tc>
        <w:tc>
          <w:tcPr>
            <w:tcW w:w="624" w:type="dxa"/>
          </w:tcPr>
          <w:p w14:paraId="7DDA15F9" w14:textId="77777777" w:rsidR="00FD1EEB" w:rsidRDefault="00FD1EEB" w:rsidP="00D95528">
            <w:pPr>
              <w:pStyle w:val="TableText"/>
            </w:pPr>
            <w:r>
              <w:rPr>
                <w:rFonts w:hint="cs"/>
                <w:rtl/>
              </w:rPr>
              <w:t>3.</w:t>
            </w:r>
          </w:p>
        </w:tc>
        <w:tc>
          <w:tcPr>
            <w:tcW w:w="7143" w:type="dxa"/>
            <w:gridSpan w:val="3"/>
          </w:tcPr>
          <w:p w14:paraId="3289F8EE" w14:textId="77777777" w:rsidR="00FD1EEB" w:rsidRPr="00C34DE2" w:rsidRDefault="00FD1EEB" w:rsidP="008F7B8B">
            <w:pPr>
              <w:pStyle w:val="TableBlock"/>
            </w:pPr>
            <w:r>
              <w:rPr>
                <w:rFonts w:hint="cs"/>
                <w:rtl/>
              </w:rPr>
              <w:t>הוראות סעיפים 11א(ו1) לפקודה ו-41י(ג1) לחוק כנוסחם בחוק זה, יחולו על מי שהגיש מועמדות למינוי או מי שכהונתו הופסקה, לאחר תחילתו של חוק זה.</w:t>
            </w:r>
          </w:p>
        </w:tc>
      </w:tr>
    </w:tbl>
    <w:p w14:paraId="3E522EF6" w14:textId="77777777" w:rsidR="00FD1EEB" w:rsidRDefault="00FD1EEB" w:rsidP="00FD1EEB">
      <w:pPr>
        <w:pStyle w:val="HeadDivreiHesber"/>
        <w:rPr>
          <w:rtl/>
        </w:rPr>
      </w:pPr>
      <w:r w:rsidRPr="0027450A">
        <w:rPr>
          <w:rFonts w:hint="cs"/>
          <w:rtl/>
        </w:rPr>
        <w:t>דברי הסבר</w:t>
      </w:r>
    </w:p>
    <w:p w14:paraId="71E05FB7" w14:textId="77777777" w:rsidR="00FD1EEB" w:rsidRPr="006459D1" w:rsidRDefault="00FD1EEB" w:rsidP="00FD1EEB">
      <w:pPr>
        <w:pStyle w:val="Hesber"/>
        <w:rPr>
          <w:rtl/>
        </w:rPr>
      </w:pPr>
      <w:r w:rsidRPr="006459D1">
        <w:rPr>
          <w:rFonts w:hint="eastAsia"/>
          <w:rtl/>
        </w:rPr>
        <w:t>ביום</w:t>
      </w:r>
      <w:r w:rsidRPr="006459D1">
        <w:rPr>
          <w:rtl/>
        </w:rPr>
        <w:t xml:space="preserve"> 5.7.2017 החליטה ה</w:t>
      </w:r>
      <w:r w:rsidRPr="006459D1">
        <w:rPr>
          <w:rFonts w:hint="eastAsia"/>
          <w:rtl/>
        </w:rPr>
        <w:t>כנסת</w:t>
      </w:r>
      <w:r w:rsidRPr="006459D1">
        <w:rPr>
          <w:rtl/>
        </w:rPr>
        <w:t xml:space="preserve"> העשרים </w:t>
      </w:r>
      <w:r w:rsidRPr="006459D1">
        <w:rPr>
          <w:rFonts w:hint="eastAsia"/>
          <w:rtl/>
        </w:rPr>
        <w:t>על</w:t>
      </w:r>
      <w:r w:rsidRPr="006459D1">
        <w:rPr>
          <w:rtl/>
        </w:rPr>
        <w:t xml:space="preserve"> </w:t>
      </w:r>
      <w:r w:rsidRPr="006459D1">
        <w:rPr>
          <w:rFonts w:hint="eastAsia"/>
          <w:rtl/>
        </w:rPr>
        <w:t>הקמת</w:t>
      </w:r>
      <w:r w:rsidRPr="006459D1">
        <w:rPr>
          <w:rtl/>
        </w:rPr>
        <w:t xml:space="preserve"> </w:t>
      </w:r>
      <w:r w:rsidRPr="006459D1">
        <w:rPr>
          <w:rFonts w:hint="eastAsia"/>
          <w:rtl/>
        </w:rPr>
        <w:t>ועדת</w:t>
      </w:r>
      <w:r w:rsidRPr="006459D1">
        <w:rPr>
          <w:rtl/>
        </w:rPr>
        <w:t xml:space="preserve"> </w:t>
      </w:r>
      <w:r w:rsidRPr="006459D1">
        <w:rPr>
          <w:rFonts w:hint="eastAsia"/>
          <w:rtl/>
        </w:rPr>
        <w:t>חקירה</w:t>
      </w:r>
      <w:r w:rsidRPr="006459D1">
        <w:rPr>
          <w:rtl/>
        </w:rPr>
        <w:t xml:space="preserve"> </w:t>
      </w:r>
      <w:r w:rsidRPr="006459D1">
        <w:rPr>
          <w:rFonts w:hint="eastAsia"/>
          <w:rtl/>
        </w:rPr>
        <w:t>פרלמנטרית</w:t>
      </w:r>
      <w:r w:rsidRPr="006459D1">
        <w:rPr>
          <w:rtl/>
        </w:rPr>
        <w:t xml:space="preserve"> </w:t>
      </w:r>
      <w:r w:rsidRPr="006459D1">
        <w:rPr>
          <w:rFonts w:hint="eastAsia"/>
          <w:rtl/>
        </w:rPr>
        <w:t>לבחינת</w:t>
      </w:r>
      <w:r w:rsidRPr="006459D1">
        <w:rPr>
          <w:rtl/>
        </w:rPr>
        <w:t xml:space="preserve"> </w:t>
      </w:r>
      <w:r w:rsidRPr="006459D1">
        <w:rPr>
          <w:rFonts w:hint="eastAsia"/>
          <w:rtl/>
        </w:rPr>
        <w:t>התנהלות</w:t>
      </w:r>
      <w:r w:rsidRPr="006459D1">
        <w:rPr>
          <w:rtl/>
        </w:rPr>
        <w:t xml:space="preserve"> </w:t>
      </w:r>
      <w:r w:rsidRPr="006459D1">
        <w:rPr>
          <w:rFonts w:hint="eastAsia"/>
          <w:rtl/>
        </w:rPr>
        <w:t>הגופים</w:t>
      </w:r>
      <w:r w:rsidRPr="006459D1">
        <w:rPr>
          <w:rtl/>
        </w:rPr>
        <w:t xml:space="preserve"> </w:t>
      </w:r>
      <w:r w:rsidRPr="006459D1">
        <w:rPr>
          <w:rFonts w:hint="eastAsia"/>
          <w:rtl/>
        </w:rPr>
        <w:t>הפיננסיים</w:t>
      </w:r>
      <w:r w:rsidRPr="006459D1">
        <w:rPr>
          <w:rtl/>
        </w:rPr>
        <w:t xml:space="preserve"> </w:t>
      </w:r>
      <w:r w:rsidRPr="006459D1">
        <w:rPr>
          <w:rFonts w:hint="eastAsia"/>
          <w:rtl/>
        </w:rPr>
        <w:t>במתן</w:t>
      </w:r>
      <w:r w:rsidRPr="006459D1">
        <w:rPr>
          <w:rtl/>
        </w:rPr>
        <w:t xml:space="preserve"> </w:t>
      </w:r>
      <w:r w:rsidRPr="006459D1">
        <w:rPr>
          <w:rFonts w:hint="eastAsia"/>
          <w:rtl/>
        </w:rPr>
        <w:t>אשראי</w:t>
      </w:r>
      <w:r w:rsidRPr="006459D1">
        <w:rPr>
          <w:rtl/>
        </w:rPr>
        <w:t xml:space="preserve"> </w:t>
      </w:r>
      <w:r w:rsidRPr="006459D1">
        <w:rPr>
          <w:rFonts w:hint="eastAsia"/>
          <w:rtl/>
        </w:rPr>
        <w:t>ללווים</w:t>
      </w:r>
      <w:r w:rsidRPr="006459D1">
        <w:rPr>
          <w:rtl/>
        </w:rPr>
        <w:t xml:space="preserve"> </w:t>
      </w:r>
      <w:r w:rsidRPr="006459D1">
        <w:rPr>
          <w:rFonts w:hint="eastAsia"/>
          <w:rtl/>
        </w:rPr>
        <w:t>עסקיים</w:t>
      </w:r>
      <w:r w:rsidRPr="006459D1">
        <w:rPr>
          <w:rtl/>
        </w:rPr>
        <w:t xml:space="preserve"> </w:t>
      </w:r>
      <w:r w:rsidRPr="006459D1">
        <w:rPr>
          <w:rFonts w:hint="eastAsia"/>
          <w:rtl/>
        </w:rPr>
        <w:t>גדולים</w:t>
      </w:r>
      <w:r w:rsidRPr="006459D1">
        <w:rPr>
          <w:rtl/>
        </w:rPr>
        <w:t xml:space="preserve">. </w:t>
      </w:r>
      <w:r w:rsidRPr="006459D1">
        <w:rPr>
          <w:rFonts w:hint="eastAsia"/>
          <w:rtl/>
        </w:rPr>
        <w:t>החלטה</w:t>
      </w:r>
      <w:r w:rsidRPr="006459D1">
        <w:rPr>
          <w:rtl/>
        </w:rPr>
        <w:t xml:space="preserve"> </w:t>
      </w:r>
      <w:r w:rsidRPr="006459D1">
        <w:rPr>
          <w:rFonts w:hint="eastAsia"/>
          <w:rtl/>
        </w:rPr>
        <w:t>זו</w:t>
      </w:r>
      <w:r w:rsidRPr="006459D1">
        <w:rPr>
          <w:rtl/>
        </w:rPr>
        <w:t xml:space="preserve"> </w:t>
      </w:r>
      <w:r w:rsidRPr="006459D1">
        <w:rPr>
          <w:rFonts w:hint="eastAsia"/>
          <w:rtl/>
        </w:rPr>
        <w:t>התקבלה</w:t>
      </w:r>
      <w:r w:rsidRPr="006459D1">
        <w:rPr>
          <w:rtl/>
        </w:rPr>
        <w:t xml:space="preserve"> על רקע פגיעה חמורה בציבור ומחיקת חובות </w:t>
      </w:r>
      <w:r w:rsidRPr="006459D1">
        <w:rPr>
          <w:rFonts w:hint="eastAsia"/>
          <w:rtl/>
        </w:rPr>
        <w:t>של</w:t>
      </w:r>
      <w:r w:rsidRPr="006459D1">
        <w:rPr>
          <w:rtl/>
        </w:rPr>
        <w:t xml:space="preserve"> לווים גדולים </w:t>
      </w:r>
      <w:r w:rsidRPr="006459D1">
        <w:rPr>
          <w:rFonts w:hint="eastAsia"/>
          <w:rtl/>
        </w:rPr>
        <w:t>בסדרי</w:t>
      </w:r>
      <w:r w:rsidRPr="006459D1">
        <w:rPr>
          <w:rtl/>
        </w:rPr>
        <w:t xml:space="preserve"> </w:t>
      </w:r>
      <w:r w:rsidRPr="006459D1">
        <w:rPr>
          <w:rFonts w:hint="eastAsia"/>
          <w:rtl/>
        </w:rPr>
        <w:t>גודל</w:t>
      </w:r>
      <w:r w:rsidRPr="006459D1">
        <w:rPr>
          <w:rtl/>
        </w:rPr>
        <w:t xml:space="preserve"> </w:t>
      </w:r>
      <w:r w:rsidRPr="006459D1">
        <w:rPr>
          <w:rFonts w:hint="eastAsia"/>
          <w:rtl/>
        </w:rPr>
        <w:t>של</w:t>
      </w:r>
      <w:r w:rsidRPr="006459D1">
        <w:rPr>
          <w:rtl/>
        </w:rPr>
        <w:t xml:space="preserve"> </w:t>
      </w:r>
      <w:r w:rsidRPr="006459D1">
        <w:rPr>
          <w:rFonts w:hint="eastAsia"/>
          <w:rtl/>
        </w:rPr>
        <w:t>מאות</w:t>
      </w:r>
      <w:r w:rsidRPr="006459D1">
        <w:rPr>
          <w:rtl/>
        </w:rPr>
        <w:t xml:space="preserve"> מיליארדי שקלים חדשים. </w:t>
      </w:r>
      <w:r w:rsidRPr="006459D1">
        <w:rPr>
          <w:rFonts w:hint="eastAsia"/>
          <w:rtl/>
        </w:rPr>
        <w:t>ועדת</w:t>
      </w:r>
      <w:r w:rsidRPr="006459D1">
        <w:rPr>
          <w:rtl/>
        </w:rPr>
        <w:t xml:space="preserve"> החקירה </w:t>
      </w:r>
      <w:r w:rsidRPr="006459D1">
        <w:rPr>
          <w:rFonts w:hint="eastAsia"/>
          <w:rtl/>
        </w:rPr>
        <w:t>מצאה</w:t>
      </w:r>
      <w:r w:rsidRPr="006459D1">
        <w:rPr>
          <w:rtl/>
        </w:rPr>
        <w:t xml:space="preserve"> כי יש לשפר את השקיפות בפעילותם של גופים פיננסיים, ולקבוע שתי הוראות שיחולו הן בנוגע לתאגידים בנקאיים המפוקחים בידי בנק ישראל, והן בנוגע לגופים מוסדיים המפוקחים על ידי רשות שוק ההון, ביטוח וחסכון. </w:t>
      </w:r>
    </w:p>
    <w:p w14:paraId="47C4F334" w14:textId="77777777" w:rsidR="00FD1EEB" w:rsidRPr="006459D1" w:rsidRDefault="00FD1EEB" w:rsidP="00FD1EEB">
      <w:pPr>
        <w:pStyle w:val="Hesber"/>
        <w:rPr>
          <w:rtl/>
        </w:rPr>
      </w:pPr>
      <w:r>
        <w:rPr>
          <w:rFonts w:hint="eastAsia"/>
          <w:rtl/>
        </w:rPr>
        <w:t>ההורא</w:t>
      </w:r>
      <w:r>
        <w:rPr>
          <w:rFonts w:hint="cs"/>
          <w:rtl/>
        </w:rPr>
        <w:t>ות</w:t>
      </w:r>
      <w:r w:rsidRPr="006459D1">
        <w:rPr>
          <w:rtl/>
        </w:rPr>
        <w:t xml:space="preserve"> המוצע</w:t>
      </w:r>
      <w:r>
        <w:rPr>
          <w:rFonts w:hint="cs"/>
          <w:rtl/>
        </w:rPr>
        <w:t>ו</w:t>
      </w:r>
      <w:r>
        <w:rPr>
          <w:rtl/>
        </w:rPr>
        <w:t>ת בסעיפים 1(1) ו-2(1) עניינ</w:t>
      </w:r>
      <w:r>
        <w:rPr>
          <w:rFonts w:hint="cs"/>
          <w:rtl/>
        </w:rPr>
        <w:t>ן</w:t>
      </w:r>
      <w:r w:rsidRPr="006459D1">
        <w:rPr>
          <w:rtl/>
        </w:rPr>
        <w:t xml:space="preserve"> בפרסום שמות מועמדים לתפקידים של נושאי משרה בגופים אלה אשר המפקח על הבנקים בבנק ישראל (להלן – המפקח) או הממונה על שוק ההון, ביטוח וחסכון (להלן – הממונה), לפי העניין, התנגדו למינויים או הורו לאחר המינוי על הפסקת כהונתם, </w:t>
      </w:r>
      <w:r w:rsidRPr="006459D1">
        <w:rPr>
          <w:rFonts w:hint="eastAsia"/>
          <w:rtl/>
        </w:rPr>
        <w:t>הכל</w:t>
      </w:r>
      <w:r w:rsidRPr="006459D1">
        <w:rPr>
          <w:rtl/>
        </w:rPr>
        <w:t xml:space="preserve"> לפי סעיף </w:t>
      </w:r>
      <w:r w:rsidRPr="006459D1">
        <w:rPr>
          <w:rFonts w:hint="cs"/>
          <w:rtl/>
        </w:rPr>
        <w:t>11א לפקודה</w:t>
      </w:r>
      <w:r w:rsidRPr="006459D1">
        <w:rPr>
          <w:rtl/>
        </w:rPr>
        <w:t xml:space="preserve"> </w:t>
      </w:r>
      <w:r w:rsidRPr="006459D1">
        <w:rPr>
          <w:rFonts w:hint="eastAsia"/>
          <w:rtl/>
        </w:rPr>
        <w:t>או</w:t>
      </w:r>
      <w:r w:rsidRPr="006459D1">
        <w:rPr>
          <w:rtl/>
        </w:rPr>
        <w:t xml:space="preserve"> לפי סעיף 41י לחוק </w:t>
      </w:r>
      <w:r w:rsidRPr="006459D1">
        <w:rPr>
          <w:rFonts w:hint="cs"/>
          <w:rtl/>
        </w:rPr>
        <w:t>העיקרי</w:t>
      </w:r>
      <w:r w:rsidRPr="006459D1">
        <w:rPr>
          <w:rtl/>
        </w:rPr>
        <w:t xml:space="preserve">. </w:t>
      </w:r>
      <w:r w:rsidRPr="006459D1">
        <w:rPr>
          <w:rFonts w:hint="eastAsia"/>
          <w:rtl/>
        </w:rPr>
        <w:t>יצוין</w:t>
      </w:r>
      <w:r w:rsidRPr="006459D1">
        <w:rPr>
          <w:rtl/>
        </w:rPr>
        <w:t xml:space="preserve"> </w:t>
      </w:r>
      <w:r w:rsidRPr="006459D1">
        <w:rPr>
          <w:rFonts w:hint="eastAsia"/>
          <w:rtl/>
        </w:rPr>
        <w:t>כי</w:t>
      </w:r>
      <w:r w:rsidRPr="006459D1">
        <w:rPr>
          <w:rtl/>
        </w:rPr>
        <w:t xml:space="preserve"> </w:t>
      </w:r>
      <w:r w:rsidRPr="006459D1">
        <w:rPr>
          <w:rFonts w:hint="eastAsia"/>
          <w:rtl/>
        </w:rPr>
        <w:t>בהתאם</w:t>
      </w:r>
      <w:r w:rsidRPr="006459D1">
        <w:rPr>
          <w:rtl/>
        </w:rPr>
        <w:t xml:space="preserve"> </w:t>
      </w:r>
      <w:r w:rsidRPr="006459D1">
        <w:rPr>
          <w:rFonts w:hint="eastAsia"/>
          <w:rtl/>
        </w:rPr>
        <w:t>לחוק</w:t>
      </w:r>
      <w:r w:rsidRPr="006459D1">
        <w:rPr>
          <w:rtl/>
        </w:rPr>
        <w:t xml:space="preserve"> </w:t>
      </w:r>
      <w:r w:rsidRPr="006459D1">
        <w:rPr>
          <w:rFonts w:hint="eastAsia"/>
          <w:rtl/>
        </w:rPr>
        <w:t>הפיקוח</w:t>
      </w:r>
      <w:r w:rsidRPr="006459D1">
        <w:rPr>
          <w:rtl/>
        </w:rPr>
        <w:t xml:space="preserve"> </w:t>
      </w:r>
      <w:r w:rsidRPr="006459D1">
        <w:rPr>
          <w:rFonts w:hint="eastAsia"/>
          <w:rtl/>
        </w:rPr>
        <w:t>על</w:t>
      </w:r>
      <w:r w:rsidRPr="006459D1">
        <w:rPr>
          <w:rtl/>
        </w:rPr>
        <w:t xml:space="preserve"> </w:t>
      </w:r>
      <w:r w:rsidRPr="006459D1">
        <w:rPr>
          <w:rFonts w:hint="eastAsia"/>
          <w:rtl/>
        </w:rPr>
        <w:t>שירותים</w:t>
      </w:r>
      <w:r w:rsidRPr="006459D1">
        <w:rPr>
          <w:rtl/>
        </w:rPr>
        <w:t xml:space="preserve"> </w:t>
      </w:r>
      <w:r w:rsidRPr="006459D1">
        <w:rPr>
          <w:rFonts w:hint="eastAsia"/>
          <w:rtl/>
        </w:rPr>
        <w:t>פיננסיים</w:t>
      </w:r>
      <w:r w:rsidRPr="006459D1">
        <w:rPr>
          <w:rtl/>
        </w:rPr>
        <w:t xml:space="preserve"> (קופות </w:t>
      </w:r>
      <w:r w:rsidRPr="006459D1">
        <w:rPr>
          <w:rFonts w:hint="eastAsia"/>
          <w:rtl/>
        </w:rPr>
        <w:t>גמל</w:t>
      </w:r>
      <w:r w:rsidRPr="006459D1">
        <w:rPr>
          <w:rtl/>
        </w:rPr>
        <w:t xml:space="preserve">), </w:t>
      </w:r>
      <w:r w:rsidRPr="006459D1">
        <w:rPr>
          <w:rFonts w:hint="eastAsia"/>
          <w:rtl/>
        </w:rPr>
        <w:t>התשס</w:t>
      </w:r>
      <w:r w:rsidRPr="006459D1">
        <w:rPr>
          <w:rtl/>
        </w:rPr>
        <w:t xml:space="preserve">"ה-2005 </w:t>
      </w:r>
      <w:r w:rsidRPr="006459D1">
        <w:rPr>
          <w:rFonts w:hint="eastAsia"/>
          <w:rtl/>
        </w:rPr>
        <w:t>וחוק</w:t>
      </w:r>
      <w:r w:rsidRPr="006459D1">
        <w:rPr>
          <w:rtl/>
        </w:rPr>
        <w:t xml:space="preserve"> </w:t>
      </w:r>
      <w:r w:rsidRPr="006459D1">
        <w:rPr>
          <w:rFonts w:hint="eastAsia"/>
          <w:rtl/>
        </w:rPr>
        <w:t>הפיקוח</w:t>
      </w:r>
      <w:r w:rsidRPr="006459D1">
        <w:rPr>
          <w:rtl/>
        </w:rPr>
        <w:t xml:space="preserve"> </w:t>
      </w:r>
      <w:r w:rsidRPr="006459D1">
        <w:rPr>
          <w:rFonts w:hint="eastAsia"/>
          <w:rtl/>
        </w:rPr>
        <w:t>על</w:t>
      </w:r>
      <w:r w:rsidRPr="006459D1">
        <w:rPr>
          <w:rtl/>
        </w:rPr>
        <w:t xml:space="preserve"> </w:t>
      </w:r>
      <w:r w:rsidRPr="006459D1">
        <w:rPr>
          <w:rFonts w:hint="eastAsia"/>
          <w:rtl/>
        </w:rPr>
        <w:t>שירותים</w:t>
      </w:r>
      <w:r w:rsidRPr="006459D1">
        <w:rPr>
          <w:rtl/>
        </w:rPr>
        <w:t xml:space="preserve"> </w:t>
      </w:r>
      <w:r w:rsidRPr="006459D1">
        <w:rPr>
          <w:rFonts w:hint="eastAsia"/>
          <w:rtl/>
        </w:rPr>
        <w:t>פיננסיים</w:t>
      </w:r>
      <w:r w:rsidRPr="006459D1">
        <w:rPr>
          <w:rtl/>
        </w:rPr>
        <w:t xml:space="preserve"> (ייעוץ, </w:t>
      </w:r>
      <w:r w:rsidRPr="006459D1">
        <w:rPr>
          <w:rFonts w:hint="eastAsia"/>
          <w:rtl/>
        </w:rPr>
        <w:t>שיווק</w:t>
      </w:r>
      <w:r w:rsidRPr="006459D1">
        <w:rPr>
          <w:rtl/>
        </w:rPr>
        <w:t xml:space="preserve"> </w:t>
      </w:r>
      <w:r w:rsidRPr="006459D1">
        <w:rPr>
          <w:rFonts w:hint="eastAsia"/>
          <w:rtl/>
        </w:rPr>
        <w:t>ומערכת</w:t>
      </w:r>
      <w:r w:rsidRPr="006459D1">
        <w:rPr>
          <w:rtl/>
        </w:rPr>
        <w:t xml:space="preserve"> </w:t>
      </w:r>
      <w:r w:rsidRPr="006459D1">
        <w:rPr>
          <w:rFonts w:hint="eastAsia"/>
          <w:rtl/>
        </w:rPr>
        <w:t>סליקה</w:t>
      </w:r>
      <w:r w:rsidRPr="006459D1">
        <w:rPr>
          <w:rtl/>
        </w:rPr>
        <w:t xml:space="preserve"> </w:t>
      </w:r>
      <w:r w:rsidRPr="006459D1">
        <w:rPr>
          <w:rFonts w:hint="eastAsia"/>
          <w:rtl/>
        </w:rPr>
        <w:t>פנסיוניים</w:t>
      </w:r>
      <w:r w:rsidRPr="006459D1">
        <w:rPr>
          <w:rtl/>
        </w:rPr>
        <w:t xml:space="preserve">), </w:t>
      </w:r>
      <w:r w:rsidRPr="006459D1">
        <w:rPr>
          <w:rFonts w:hint="eastAsia"/>
          <w:rtl/>
        </w:rPr>
        <w:t>התשס</w:t>
      </w:r>
      <w:r w:rsidRPr="006459D1">
        <w:rPr>
          <w:rtl/>
        </w:rPr>
        <w:t xml:space="preserve">"ה-2005, </w:t>
      </w:r>
      <w:r w:rsidRPr="006459D1">
        <w:rPr>
          <w:rFonts w:hint="eastAsia"/>
          <w:rtl/>
        </w:rPr>
        <w:t>הוראות</w:t>
      </w:r>
      <w:r w:rsidRPr="006459D1">
        <w:rPr>
          <w:rtl/>
        </w:rPr>
        <w:t xml:space="preserve"> </w:t>
      </w:r>
      <w:r w:rsidRPr="006459D1">
        <w:rPr>
          <w:rFonts w:hint="eastAsia"/>
          <w:rtl/>
        </w:rPr>
        <w:t>סעיף</w:t>
      </w:r>
      <w:r w:rsidRPr="006459D1">
        <w:rPr>
          <w:rtl/>
        </w:rPr>
        <w:t xml:space="preserve"> 41י </w:t>
      </w:r>
      <w:r w:rsidRPr="006459D1">
        <w:rPr>
          <w:rFonts w:hint="eastAsia"/>
          <w:rtl/>
        </w:rPr>
        <w:t>לחוק</w:t>
      </w:r>
      <w:r w:rsidRPr="006459D1">
        <w:rPr>
          <w:rtl/>
        </w:rPr>
        <w:t xml:space="preserve"> </w:t>
      </w:r>
      <w:r w:rsidRPr="006459D1">
        <w:rPr>
          <w:rFonts w:hint="eastAsia"/>
          <w:rtl/>
        </w:rPr>
        <w:t>הפיקוח</w:t>
      </w:r>
      <w:r w:rsidRPr="006459D1">
        <w:rPr>
          <w:rtl/>
        </w:rPr>
        <w:t xml:space="preserve"> </w:t>
      </w:r>
      <w:r w:rsidRPr="006459D1">
        <w:rPr>
          <w:rFonts w:hint="eastAsia"/>
          <w:rtl/>
        </w:rPr>
        <w:t>על</w:t>
      </w:r>
      <w:r w:rsidRPr="006459D1">
        <w:rPr>
          <w:rtl/>
        </w:rPr>
        <w:t xml:space="preserve"> </w:t>
      </w:r>
      <w:r w:rsidRPr="006459D1">
        <w:rPr>
          <w:rFonts w:hint="eastAsia"/>
          <w:rtl/>
        </w:rPr>
        <w:t>הביטוח</w:t>
      </w:r>
      <w:r w:rsidRPr="006459D1">
        <w:rPr>
          <w:rtl/>
        </w:rPr>
        <w:t xml:space="preserve"> </w:t>
      </w:r>
      <w:r w:rsidRPr="006459D1">
        <w:rPr>
          <w:rFonts w:hint="eastAsia"/>
          <w:rtl/>
        </w:rPr>
        <w:t>חלות</w:t>
      </w:r>
      <w:r w:rsidRPr="006459D1">
        <w:rPr>
          <w:rtl/>
        </w:rPr>
        <w:t xml:space="preserve"> </w:t>
      </w:r>
      <w:r w:rsidRPr="006459D1">
        <w:rPr>
          <w:rFonts w:hint="eastAsia"/>
          <w:rtl/>
        </w:rPr>
        <w:t>גם</w:t>
      </w:r>
      <w:r w:rsidRPr="006459D1">
        <w:rPr>
          <w:rtl/>
        </w:rPr>
        <w:t xml:space="preserve"> </w:t>
      </w:r>
      <w:r w:rsidRPr="006459D1">
        <w:rPr>
          <w:rFonts w:hint="eastAsia"/>
          <w:rtl/>
        </w:rPr>
        <w:t>על</w:t>
      </w:r>
      <w:r w:rsidRPr="006459D1">
        <w:rPr>
          <w:rtl/>
        </w:rPr>
        <w:t xml:space="preserve"> </w:t>
      </w:r>
      <w:r w:rsidRPr="006459D1">
        <w:rPr>
          <w:rFonts w:hint="eastAsia"/>
          <w:rtl/>
        </w:rPr>
        <w:t>מינוי</w:t>
      </w:r>
      <w:r w:rsidRPr="006459D1">
        <w:rPr>
          <w:rtl/>
        </w:rPr>
        <w:t xml:space="preserve"> </w:t>
      </w:r>
      <w:r w:rsidRPr="006459D1">
        <w:rPr>
          <w:rFonts w:hint="eastAsia"/>
          <w:rtl/>
        </w:rPr>
        <w:t>והפסקת</w:t>
      </w:r>
      <w:r w:rsidRPr="006459D1">
        <w:rPr>
          <w:rtl/>
        </w:rPr>
        <w:t xml:space="preserve"> </w:t>
      </w:r>
      <w:r w:rsidRPr="006459D1">
        <w:rPr>
          <w:rFonts w:hint="eastAsia"/>
          <w:rtl/>
        </w:rPr>
        <w:t>כהונה</w:t>
      </w:r>
      <w:r w:rsidRPr="006459D1">
        <w:rPr>
          <w:rtl/>
        </w:rPr>
        <w:t xml:space="preserve"> </w:t>
      </w:r>
      <w:r w:rsidRPr="006459D1">
        <w:rPr>
          <w:rFonts w:hint="eastAsia"/>
          <w:rtl/>
        </w:rPr>
        <w:t>של</w:t>
      </w:r>
      <w:r w:rsidRPr="006459D1">
        <w:rPr>
          <w:rtl/>
        </w:rPr>
        <w:t xml:space="preserve"> </w:t>
      </w:r>
      <w:r w:rsidRPr="006459D1">
        <w:rPr>
          <w:rFonts w:hint="eastAsia"/>
          <w:rtl/>
        </w:rPr>
        <w:t>נושאי</w:t>
      </w:r>
      <w:r w:rsidRPr="006459D1">
        <w:rPr>
          <w:rtl/>
        </w:rPr>
        <w:t xml:space="preserve"> </w:t>
      </w:r>
      <w:r w:rsidRPr="006459D1">
        <w:rPr>
          <w:rFonts w:hint="eastAsia"/>
          <w:rtl/>
        </w:rPr>
        <w:t>משרה</w:t>
      </w:r>
      <w:r w:rsidRPr="006459D1">
        <w:rPr>
          <w:rtl/>
        </w:rPr>
        <w:t xml:space="preserve"> בחברה מנהלת (למעט ועדת השקעות) ועל מינוי והפסקת כהונה של נושאי משרה בחברה להפעלת מערכת סליקה פנסיונית. מוצע לקבוע כי אם הודיע</w:t>
      </w:r>
      <w:r w:rsidRPr="006459D1">
        <w:rPr>
          <w:rFonts w:hint="eastAsia"/>
          <w:rtl/>
        </w:rPr>
        <w:t>ו</w:t>
      </w:r>
      <w:r w:rsidRPr="006459D1">
        <w:rPr>
          <w:rtl/>
        </w:rPr>
        <w:t xml:space="preserve"> </w:t>
      </w:r>
      <w:r w:rsidRPr="006459D1">
        <w:rPr>
          <w:rFonts w:hint="eastAsia"/>
          <w:rtl/>
        </w:rPr>
        <w:t>המפקח</w:t>
      </w:r>
      <w:r w:rsidRPr="006459D1">
        <w:rPr>
          <w:rtl/>
        </w:rPr>
        <w:t xml:space="preserve"> </w:t>
      </w:r>
      <w:r w:rsidRPr="006459D1">
        <w:rPr>
          <w:rFonts w:hint="eastAsia"/>
          <w:rtl/>
        </w:rPr>
        <w:t>או</w:t>
      </w:r>
      <w:r w:rsidRPr="006459D1">
        <w:rPr>
          <w:rtl/>
        </w:rPr>
        <w:t xml:space="preserve"> </w:t>
      </w:r>
      <w:r w:rsidRPr="006459D1">
        <w:rPr>
          <w:rFonts w:hint="eastAsia"/>
          <w:rtl/>
        </w:rPr>
        <w:t>הממונה</w:t>
      </w:r>
      <w:r w:rsidRPr="006459D1">
        <w:rPr>
          <w:rtl/>
        </w:rPr>
        <w:t xml:space="preserve"> על התנגדות</w:t>
      </w:r>
      <w:r w:rsidRPr="006459D1">
        <w:rPr>
          <w:rFonts w:hint="eastAsia"/>
          <w:rtl/>
        </w:rPr>
        <w:t>ם</w:t>
      </w:r>
      <w:r w:rsidRPr="006459D1">
        <w:rPr>
          <w:rtl/>
        </w:rPr>
        <w:t xml:space="preserve"> למינוי כאמור, </w:t>
      </w:r>
      <w:r w:rsidRPr="006459D1">
        <w:rPr>
          <w:rFonts w:hint="eastAsia"/>
          <w:rtl/>
        </w:rPr>
        <w:t>הם</w:t>
      </w:r>
      <w:r w:rsidRPr="006459D1">
        <w:rPr>
          <w:rtl/>
        </w:rPr>
        <w:t xml:space="preserve"> </w:t>
      </w:r>
      <w:r w:rsidRPr="006459D1">
        <w:rPr>
          <w:rFonts w:hint="eastAsia"/>
          <w:rtl/>
        </w:rPr>
        <w:t>יפרסמו</w:t>
      </w:r>
      <w:r w:rsidRPr="006459D1">
        <w:rPr>
          <w:rtl/>
        </w:rPr>
        <w:t xml:space="preserve"> </w:t>
      </w:r>
      <w:r w:rsidRPr="006459D1">
        <w:rPr>
          <w:rFonts w:hint="eastAsia"/>
          <w:rtl/>
        </w:rPr>
        <w:t>הודעה</w:t>
      </w:r>
      <w:r w:rsidRPr="006459D1">
        <w:rPr>
          <w:rtl/>
        </w:rPr>
        <w:t xml:space="preserve"> </w:t>
      </w:r>
      <w:r w:rsidRPr="006459D1">
        <w:rPr>
          <w:rFonts w:hint="eastAsia"/>
          <w:rtl/>
        </w:rPr>
        <w:t>הכוללת</w:t>
      </w:r>
      <w:r w:rsidRPr="006459D1">
        <w:rPr>
          <w:rtl/>
        </w:rPr>
        <w:t xml:space="preserve"> </w:t>
      </w:r>
      <w:r w:rsidRPr="006459D1">
        <w:rPr>
          <w:rFonts w:hint="eastAsia"/>
          <w:rtl/>
        </w:rPr>
        <w:t>את</w:t>
      </w:r>
      <w:r w:rsidRPr="006459D1">
        <w:rPr>
          <w:rtl/>
        </w:rPr>
        <w:t xml:space="preserve"> </w:t>
      </w:r>
      <w:r w:rsidRPr="006459D1">
        <w:rPr>
          <w:rFonts w:hint="eastAsia"/>
          <w:rtl/>
        </w:rPr>
        <w:t>שמו</w:t>
      </w:r>
      <w:r w:rsidRPr="006459D1">
        <w:rPr>
          <w:rtl/>
        </w:rPr>
        <w:t xml:space="preserve"> </w:t>
      </w:r>
      <w:r w:rsidRPr="006459D1">
        <w:rPr>
          <w:rFonts w:hint="eastAsia"/>
          <w:rtl/>
        </w:rPr>
        <w:t>של</w:t>
      </w:r>
      <w:r w:rsidRPr="006459D1">
        <w:rPr>
          <w:rtl/>
        </w:rPr>
        <w:t xml:space="preserve"> </w:t>
      </w:r>
      <w:r w:rsidRPr="006459D1">
        <w:rPr>
          <w:rFonts w:hint="eastAsia"/>
          <w:rtl/>
        </w:rPr>
        <w:t>המועמד</w:t>
      </w:r>
      <w:r w:rsidRPr="006459D1">
        <w:rPr>
          <w:rtl/>
        </w:rPr>
        <w:t xml:space="preserve"> </w:t>
      </w:r>
      <w:r w:rsidRPr="006459D1">
        <w:rPr>
          <w:rFonts w:hint="eastAsia"/>
          <w:rtl/>
        </w:rPr>
        <w:t>שלמינויו</w:t>
      </w:r>
      <w:r w:rsidRPr="006459D1">
        <w:rPr>
          <w:rtl/>
        </w:rPr>
        <w:t xml:space="preserve"> </w:t>
      </w:r>
      <w:r w:rsidRPr="006459D1">
        <w:rPr>
          <w:rFonts w:hint="eastAsia"/>
          <w:rtl/>
        </w:rPr>
        <w:t>התנגדו</w:t>
      </w:r>
      <w:r w:rsidRPr="006459D1">
        <w:rPr>
          <w:rtl/>
        </w:rPr>
        <w:t xml:space="preserve"> </w:t>
      </w:r>
      <w:r w:rsidRPr="006459D1">
        <w:rPr>
          <w:rFonts w:hint="eastAsia"/>
          <w:rtl/>
        </w:rPr>
        <w:t>ואת</w:t>
      </w:r>
      <w:r w:rsidRPr="006459D1">
        <w:rPr>
          <w:rtl/>
        </w:rPr>
        <w:t xml:space="preserve"> </w:t>
      </w:r>
      <w:r w:rsidRPr="006459D1">
        <w:rPr>
          <w:rFonts w:hint="eastAsia"/>
          <w:rtl/>
        </w:rPr>
        <w:t>העילה</w:t>
      </w:r>
      <w:r w:rsidRPr="006459D1">
        <w:rPr>
          <w:rtl/>
        </w:rPr>
        <w:t xml:space="preserve"> </w:t>
      </w:r>
      <w:r w:rsidRPr="006459D1">
        <w:rPr>
          <w:rFonts w:hint="eastAsia"/>
          <w:rtl/>
        </w:rPr>
        <w:t>לכך</w:t>
      </w:r>
      <w:r w:rsidRPr="006459D1">
        <w:rPr>
          <w:rtl/>
        </w:rPr>
        <w:t xml:space="preserve">. </w:t>
      </w:r>
      <w:r w:rsidRPr="006459D1">
        <w:rPr>
          <w:rFonts w:hint="eastAsia"/>
          <w:rtl/>
        </w:rPr>
        <w:t>יובהר</w:t>
      </w:r>
      <w:r w:rsidRPr="006459D1">
        <w:rPr>
          <w:rtl/>
        </w:rPr>
        <w:t xml:space="preserve"> </w:t>
      </w:r>
      <w:r w:rsidRPr="006459D1">
        <w:rPr>
          <w:rFonts w:hint="eastAsia"/>
          <w:rtl/>
        </w:rPr>
        <w:t>כי</w:t>
      </w:r>
      <w:r w:rsidRPr="006459D1">
        <w:rPr>
          <w:rtl/>
        </w:rPr>
        <w:t xml:space="preserve"> </w:t>
      </w:r>
      <w:r w:rsidRPr="006459D1">
        <w:rPr>
          <w:rFonts w:hint="eastAsia"/>
          <w:rtl/>
        </w:rPr>
        <w:t>מדובר</w:t>
      </w:r>
      <w:r w:rsidRPr="006459D1">
        <w:rPr>
          <w:rtl/>
        </w:rPr>
        <w:t xml:space="preserve"> </w:t>
      </w:r>
      <w:r w:rsidRPr="006459D1">
        <w:rPr>
          <w:rFonts w:hint="eastAsia"/>
          <w:rtl/>
        </w:rPr>
        <w:t>בעילה</w:t>
      </w:r>
      <w:r w:rsidRPr="006459D1">
        <w:rPr>
          <w:rtl/>
        </w:rPr>
        <w:t xml:space="preserve"> </w:t>
      </w:r>
      <w:r w:rsidRPr="006459D1">
        <w:rPr>
          <w:rFonts w:hint="eastAsia"/>
          <w:rtl/>
        </w:rPr>
        <w:t>כללית</w:t>
      </w:r>
      <w:r w:rsidRPr="006459D1">
        <w:rPr>
          <w:rtl/>
        </w:rPr>
        <w:t xml:space="preserve">, </w:t>
      </w:r>
      <w:r w:rsidRPr="006459D1">
        <w:rPr>
          <w:rFonts w:hint="eastAsia"/>
          <w:rtl/>
        </w:rPr>
        <w:t>שלא</w:t>
      </w:r>
      <w:r w:rsidRPr="006459D1">
        <w:rPr>
          <w:rtl/>
        </w:rPr>
        <w:t xml:space="preserve"> </w:t>
      </w:r>
      <w:r w:rsidRPr="006459D1">
        <w:rPr>
          <w:rFonts w:hint="eastAsia"/>
          <w:rtl/>
        </w:rPr>
        <w:t>תכלול</w:t>
      </w:r>
      <w:r w:rsidRPr="006459D1">
        <w:rPr>
          <w:rtl/>
        </w:rPr>
        <w:t xml:space="preserve"> </w:t>
      </w:r>
      <w:r w:rsidRPr="006459D1">
        <w:rPr>
          <w:rFonts w:hint="eastAsia"/>
          <w:rtl/>
        </w:rPr>
        <w:t>פרטים</w:t>
      </w:r>
      <w:r w:rsidRPr="006459D1">
        <w:rPr>
          <w:rtl/>
        </w:rPr>
        <w:t xml:space="preserve"> </w:t>
      </w:r>
      <w:r w:rsidRPr="006459D1">
        <w:rPr>
          <w:rFonts w:hint="eastAsia"/>
          <w:rtl/>
        </w:rPr>
        <w:t>אישיים</w:t>
      </w:r>
      <w:r w:rsidRPr="006459D1">
        <w:rPr>
          <w:rtl/>
        </w:rPr>
        <w:t xml:space="preserve"> </w:t>
      </w:r>
      <w:r w:rsidRPr="006459D1">
        <w:rPr>
          <w:rFonts w:hint="eastAsia"/>
          <w:rtl/>
        </w:rPr>
        <w:t>העלולים</w:t>
      </w:r>
      <w:r w:rsidRPr="006459D1">
        <w:rPr>
          <w:rtl/>
        </w:rPr>
        <w:t xml:space="preserve"> </w:t>
      </w:r>
      <w:r w:rsidRPr="006459D1">
        <w:rPr>
          <w:rFonts w:hint="eastAsia"/>
          <w:rtl/>
        </w:rPr>
        <w:t>לפגוע</w:t>
      </w:r>
      <w:r w:rsidRPr="006459D1">
        <w:rPr>
          <w:rtl/>
        </w:rPr>
        <w:t xml:space="preserve"> </w:t>
      </w:r>
      <w:r w:rsidRPr="006459D1">
        <w:rPr>
          <w:rFonts w:hint="eastAsia"/>
          <w:rtl/>
        </w:rPr>
        <w:t>בפרטיות</w:t>
      </w:r>
      <w:r w:rsidRPr="006459D1">
        <w:rPr>
          <w:rtl/>
        </w:rPr>
        <w:t xml:space="preserve"> </w:t>
      </w:r>
      <w:r w:rsidRPr="006459D1">
        <w:rPr>
          <w:rFonts w:hint="eastAsia"/>
          <w:rtl/>
        </w:rPr>
        <w:t>המועמד</w:t>
      </w:r>
      <w:r w:rsidRPr="006459D1">
        <w:rPr>
          <w:rtl/>
        </w:rPr>
        <w:t xml:space="preserve">: </w:t>
      </w:r>
      <w:r w:rsidRPr="006459D1">
        <w:rPr>
          <w:rFonts w:hint="eastAsia"/>
          <w:rtl/>
        </w:rPr>
        <w:t>בהתאם</w:t>
      </w:r>
      <w:r w:rsidRPr="006459D1">
        <w:rPr>
          <w:rtl/>
        </w:rPr>
        <w:t xml:space="preserve"> </w:t>
      </w:r>
      <w:r w:rsidRPr="006459D1">
        <w:rPr>
          <w:rFonts w:hint="eastAsia"/>
          <w:rtl/>
        </w:rPr>
        <w:t>לסעיף</w:t>
      </w:r>
      <w:r w:rsidRPr="006459D1">
        <w:rPr>
          <w:rtl/>
        </w:rPr>
        <w:t xml:space="preserve"> 11א(ב) </w:t>
      </w:r>
      <w:r w:rsidRPr="006459D1">
        <w:rPr>
          <w:rFonts w:hint="eastAsia"/>
          <w:rtl/>
        </w:rPr>
        <w:t>לפקודת</w:t>
      </w:r>
      <w:r w:rsidRPr="006459D1">
        <w:rPr>
          <w:rtl/>
        </w:rPr>
        <w:t xml:space="preserve"> </w:t>
      </w:r>
      <w:r w:rsidRPr="006459D1">
        <w:rPr>
          <w:rFonts w:hint="eastAsia"/>
          <w:rtl/>
        </w:rPr>
        <w:t>הבנקאות</w:t>
      </w:r>
      <w:r w:rsidRPr="006459D1">
        <w:rPr>
          <w:rtl/>
        </w:rPr>
        <w:t xml:space="preserve"> </w:t>
      </w:r>
      <w:r w:rsidRPr="006459D1">
        <w:rPr>
          <w:rFonts w:hint="eastAsia"/>
          <w:rtl/>
        </w:rPr>
        <w:t>וסעיף</w:t>
      </w:r>
      <w:r w:rsidRPr="006459D1">
        <w:rPr>
          <w:rtl/>
        </w:rPr>
        <w:t xml:space="preserve"> 41י(ב) </w:t>
      </w:r>
      <w:r w:rsidRPr="006459D1">
        <w:rPr>
          <w:rFonts w:hint="eastAsia"/>
          <w:rtl/>
        </w:rPr>
        <w:t>לחוק</w:t>
      </w:r>
      <w:r w:rsidRPr="006459D1">
        <w:rPr>
          <w:rtl/>
        </w:rPr>
        <w:t xml:space="preserve"> </w:t>
      </w:r>
      <w:r w:rsidRPr="006459D1">
        <w:rPr>
          <w:rFonts w:hint="eastAsia"/>
          <w:rtl/>
        </w:rPr>
        <w:t>הפיקוח</w:t>
      </w:r>
      <w:r w:rsidRPr="006459D1">
        <w:rPr>
          <w:rtl/>
        </w:rPr>
        <w:t xml:space="preserve"> </w:t>
      </w:r>
      <w:r w:rsidRPr="006459D1">
        <w:rPr>
          <w:rFonts w:hint="eastAsia"/>
          <w:rtl/>
        </w:rPr>
        <w:t>על</w:t>
      </w:r>
      <w:r w:rsidRPr="006459D1">
        <w:rPr>
          <w:rtl/>
        </w:rPr>
        <w:t xml:space="preserve"> </w:t>
      </w:r>
      <w:r w:rsidRPr="006459D1">
        <w:rPr>
          <w:rFonts w:hint="eastAsia"/>
          <w:rtl/>
        </w:rPr>
        <w:t>הביטוח</w:t>
      </w:r>
      <w:r w:rsidRPr="006459D1">
        <w:rPr>
          <w:rtl/>
        </w:rPr>
        <w:t xml:space="preserve">, </w:t>
      </w:r>
      <w:r w:rsidRPr="006459D1">
        <w:rPr>
          <w:rFonts w:hint="eastAsia"/>
          <w:rtl/>
        </w:rPr>
        <w:t>על</w:t>
      </w:r>
      <w:r w:rsidRPr="006459D1">
        <w:rPr>
          <w:rtl/>
        </w:rPr>
        <w:t xml:space="preserve"> </w:t>
      </w:r>
      <w:r w:rsidRPr="006459D1">
        <w:rPr>
          <w:rFonts w:hint="eastAsia"/>
          <w:rtl/>
        </w:rPr>
        <w:t>המפקח</w:t>
      </w:r>
      <w:r w:rsidRPr="006459D1">
        <w:rPr>
          <w:rtl/>
        </w:rPr>
        <w:t xml:space="preserve"> </w:t>
      </w:r>
      <w:r w:rsidRPr="006459D1">
        <w:rPr>
          <w:rFonts w:hint="eastAsia"/>
          <w:rtl/>
        </w:rPr>
        <w:t>והממונה</w:t>
      </w:r>
      <w:r w:rsidRPr="006459D1">
        <w:rPr>
          <w:rtl/>
        </w:rPr>
        <w:t xml:space="preserve">, </w:t>
      </w:r>
      <w:r w:rsidRPr="006459D1">
        <w:rPr>
          <w:rFonts w:hint="eastAsia"/>
          <w:rtl/>
        </w:rPr>
        <w:t>בהתאמה</w:t>
      </w:r>
      <w:r w:rsidRPr="006459D1">
        <w:rPr>
          <w:rtl/>
        </w:rPr>
        <w:t xml:space="preserve">, </w:t>
      </w:r>
      <w:r w:rsidRPr="006459D1">
        <w:rPr>
          <w:rFonts w:hint="eastAsia"/>
          <w:rtl/>
        </w:rPr>
        <w:t>לה</w:t>
      </w:r>
      <w:r w:rsidRPr="006459D1">
        <w:rPr>
          <w:rtl/>
        </w:rPr>
        <w:t>ביא בחשבון לעני</w:t>
      </w:r>
      <w:r w:rsidRPr="006459D1">
        <w:rPr>
          <w:rFonts w:hint="eastAsia"/>
          <w:rtl/>
        </w:rPr>
        <w:t>י</w:t>
      </w:r>
      <w:r w:rsidRPr="006459D1">
        <w:rPr>
          <w:rtl/>
        </w:rPr>
        <w:t xml:space="preserve">ן זה את התאמתו של המועמד לתפקיד המוצע, לרבות ניסיונו העסקי, יושרו, יושרתו, וקשריו, מכל סוג שהוא, עם </w:t>
      </w:r>
      <w:r w:rsidRPr="006459D1">
        <w:rPr>
          <w:rFonts w:hint="eastAsia"/>
          <w:rtl/>
        </w:rPr>
        <w:t>הגוף</w:t>
      </w:r>
      <w:r w:rsidRPr="006459D1">
        <w:rPr>
          <w:rtl/>
        </w:rPr>
        <w:t xml:space="preserve"> </w:t>
      </w:r>
      <w:r w:rsidRPr="006459D1">
        <w:rPr>
          <w:rFonts w:hint="eastAsia"/>
          <w:rtl/>
        </w:rPr>
        <w:t>אליו</w:t>
      </w:r>
      <w:r w:rsidRPr="006459D1">
        <w:rPr>
          <w:rtl/>
        </w:rPr>
        <w:t xml:space="preserve"> </w:t>
      </w:r>
      <w:r w:rsidRPr="006459D1">
        <w:rPr>
          <w:rFonts w:hint="eastAsia"/>
          <w:rtl/>
        </w:rPr>
        <w:t>הוא</w:t>
      </w:r>
      <w:r w:rsidRPr="006459D1">
        <w:rPr>
          <w:rtl/>
        </w:rPr>
        <w:t xml:space="preserve"> </w:t>
      </w:r>
      <w:r w:rsidRPr="006459D1">
        <w:rPr>
          <w:rFonts w:hint="eastAsia"/>
          <w:rtl/>
        </w:rPr>
        <w:t>מבקש</w:t>
      </w:r>
      <w:r w:rsidRPr="006459D1">
        <w:rPr>
          <w:rtl/>
        </w:rPr>
        <w:t xml:space="preserve"> </w:t>
      </w:r>
      <w:r w:rsidRPr="006459D1">
        <w:rPr>
          <w:rFonts w:hint="eastAsia"/>
          <w:rtl/>
        </w:rPr>
        <w:t>להתמנות</w:t>
      </w:r>
      <w:r w:rsidRPr="006459D1">
        <w:rPr>
          <w:rtl/>
        </w:rPr>
        <w:t xml:space="preserve"> </w:t>
      </w:r>
      <w:r w:rsidRPr="006459D1">
        <w:rPr>
          <w:rFonts w:hint="eastAsia"/>
          <w:rtl/>
        </w:rPr>
        <w:t>או</w:t>
      </w:r>
      <w:r w:rsidRPr="006459D1">
        <w:rPr>
          <w:rtl/>
        </w:rPr>
        <w:t xml:space="preserve"> עם נושא משרה </w:t>
      </w:r>
      <w:r w:rsidRPr="006459D1">
        <w:rPr>
          <w:rFonts w:hint="eastAsia"/>
          <w:rtl/>
        </w:rPr>
        <w:t>בו</w:t>
      </w:r>
      <w:r w:rsidRPr="006459D1">
        <w:rPr>
          <w:rtl/>
        </w:rPr>
        <w:t xml:space="preserve">. נוסף על כך, לעניין מועמדים לתפקידי נושאי משרה בתאגידים בנקאיים, על המפקח להביא בחשבון, בין היתר, את התאמת המועמד לתפקיד לאור צרכיו המיוחדים של התאגיד הבנקאי, </w:t>
      </w:r>
      <w:r w:rsidRPr="006459D1">
        <w:rPr>
          <w:rFonts w:hint="eastAsia"/>
          <w:rtl/>
        </w:rPr>
        <w:t>את</w:t>
      </w:r>
      <w:r w:rsidRPr="006459D1">
        <w:rPr>
          <w:rtl/>
        </w:rPr>
        <w:t xml:space="preserve"> </w:t>
      </w:r>
      <w:r w:rsidRPr="006459D1">
        <w:rPr>
          <w:rFonts w:hint="eastAsia"/>
          <w:rtl/>
        </w:rPr>
        <w:t>תפקודו</w:t>
      </w:r>
      <w:r w:rsidRPr="006459D1">
        <w:rPr>
          <w:rtl/>
        </w:rPr>
        <w:t xml:space="preserve"> </w:t>
      </w:r>
      <w:r w:rsidRPr="006459D1">
        <w:rPr>
          <w:rFonts w:hint="eastAsia"/>
          <w:rtl/>
        </w:rPr>
        <w:t>של</w:t>
      </w:r>
      <w:r w:rsidRPr="006459D1">
        <w:rPr>
          <w:rtl/>
        </w:rPr>
        <w:t xml:space="preserve"> </w:t>
      </w:r>
      <w:r w:rsidRPr="006459D1">
        <w:rPr>
          <w:rFonts w:hint="eastAsia"/>
          <w:rtl/>
        </w:rPr>
        <w:t>המועמד</w:t>
      </w:r>
      <w:r w:rsidRPr="006459D1">
        <w:rPr>
          <w:rtl/>
        </w:rPr>
        <w:t xml:space="preserve"> </w:t>
      </w:r>
      <w:r w:rsidRPr="006459D1">
        <w:rPr>
          <w:rFonts w:hint="eastAsia"/>
          <w:rtl/>
        </w:rPr>
        <w:t>בעת</w:t>
      </w:r>
      <w:r w:rsidRPr="006459D1">
        <w:rPr>
          <w:rtl/>
        </w:rPr>
        <w:t xml:space="preserve"> </w:t>
      </w:r>
      <w:r w:rsidRPr="006459D1">
        <w:rPr>
          <w:rFonts w:hint="eastAsia"/>
          <w:rtl/>
        </w:rPr>
        <w:t>שכיהן</w:t>
      </w:r>
      <w:r w:rsidRPr="006459D1">
        <w:rPr>
          <w:rtl/>
        </w:rPr>
        <w:t xml:space="preserve"> </w:t>
      </w:r>
      <w:r w:rsidRPr="006459D1">
        <w:rPr>
          <w:rFonts w:hint="eastAsia"/>
          <w:rtl/>
        </w:rPr>
        <w:t>בע</w:t>
      </w:r>
      <w:r w:rsidRPr="006459D1">
        <w:rPr>
          <w:rtl/>
        </w:rPr>
        <w:t xml:space="preserve">בר כנושא משרה בתאגיד בנקאי </w:t>
      </w:r>
      <w:r w:rsidRPr="006459D1">
        <w:rPr>
          <w:rFonts w:hint="eastAsia"/>
          <w:rtl/>
        </w:rPr>
        <w:t>ו</w:t>
      </w:r>
      <w:r w:rsidRPr="006459D1">
        <w:rPr>
          <w:rtl/>
        </w:rPr>
        <w:t xml:space="preserve">לעניין כהונת דירקטור, גם את עיסוקיו ועסקיו האחרים של המועמד ואת התאמת הרכב הדירקטוריון לתחומי פעולתו של התאגיד הבנקאי. לפיכך כשמדובר, למשל, בהתנגדות </w:t>
      </w:r>
      <w:r w:rsidRPr="006459D1">
        <w:rPr>
          <w:rtl/>
        </w:rPr>
        <w:lastRenderedPageBreak/>
        <w:t xml:space="preserve">בשל ניגוד עניינים, הפרסום יכלול כעילה רק "ניגוד עניינים", אך לא את הפרטים שהובילו למסקנה שמדובר בניגוד עניינים. המוצע עולה בקנה אחד עם פסק דינו של בית המשפט </w:t>
      </w:r>
      <w:r w:rsidRPr="006459D1">
        <w:rPr>
          <w:rFonts w:hint="eastAsia"/>
          <w:rtl/>
        </w:rPr>
        <w:t>העליון</w:t>
      </w:r>
      <w:r w:rsidRPr="006459D1">
        <w:rPr>
          <w:rtl/>
        </w:rPr>
        <w:t xml:space="preserve"> </w:t>
      </w:r>
      <w:r w:rsidRPr="006459D1">
        <w:rPr>
          <w:rFonts w:hint="eastAsia"/>
          <w:rtl/>
        </w:rPr>
        <w:t>בעע</w:t>
      </w:r>
      <w:r w:rsidRPr="006459D1">
        <w:rPr>
          <w:rtl/>
        </w:rPr>
        <w:t xml:space="preserve">"מ 9341/05 </w:t>
      </w:r>
      <w:r w:rsidRPr="004E01D7">
        <w:rPr>
          <w:rFonts w:hint="eastAsia"/>
          <w:b/>
          <w:bCs/>
          <w:rtl/>
        </w:rPr>
        <w:t>התנועה</w:t>
      </w:r>
      <w:r w:rsidRPr="004E01D7">
        <w:rPr>
          <w:b/>
          <w:bCs/>
          <w:rtl/>
        </w:rPr>
        <w:t xml:space="preserve"> </w:t>
      </w:r>
      <w:r w:rsidRPr="004E01D7">
        <w:rPr>
          <w:rFonts w:hint="eastAsia"/>
          <w:b/>
          <w:bCs/>
          <w:rtl/>
        </w:rPr>
        <w:t>לחופש</w:t>
      </w:r>
      <w:r w:rsidRPr="004E01D7">
        <w:rPr>
          <w:b/>
          <w:bCs/>
          <w:rtl/>
        </w:rPr>
        <w:t xml:space="preserve"> </w:t>
      </w:r>
      <w:r w:rsidRPr="004E01D7">
        <w:rPr>
          <w:rFonts w:hint="eastAsia"/>
          <w:b/>
          <w:bCs/>
          <w:rtl/>
        </w:rPr>
        <w:t>המידע</w:t>
      </w:r>
      <w:r w:rsidRPr="004E01D7">
        <w:rPr>
          <w:b/>
          <w:bCs/>
          <w:rtl/>
        </w:rPr>
        <w:t xml:space="preserve"> </w:t>
      </w:r>
      <w:r w:rsidRPr="004E01D7">
        <w:rPr>
          <w:rFonts w:hint="eastAsia"/>
          <w:b/>
          <w:bCs/>
          <w:rtl/>
        </w:rPr>
        <w:t>נ</w:t>
      </w:r>
      <w:r w:rsidRPr="004E01D7">
        <w:rPr>
          <w:b/>
          <w:bCs/>
          <w:rtl/>
        </w:rPr>
        <w:t xml:space="preserve">' </w:t>
      </w:r>
      <w:r w:rsidRPr="004E01D7">
        <w:rPr>
          <w:rFonts w:hint="eastAsia"/>
          <w:b/>
          <w:bCs/>
          <w:rtl/>
        </w:rPr>
        <w:t>רשות</w:t>
      </w:r>
      <w:r w:rsidRPr="004E01D7">
        <w:rPr>
          <w:b/>
          <w:bCs/>
          <w:rtl/>
        </w:rPr>
        <w:t xml:space="preserve"> </w:t>
      </w:r>
      <w:r w:rsidRPr="004E01D7">
        <w:rPr>
          <w:rFonts w:hint="eastAsia"/>
          <w:b/>
          <w:bCs/>
          <w:rtl/>
        </w:rPr>
        <w:t>החברות</w:t>
      </w:r>
      <w:r w:rsidRPr="004E01D7">
        <w:rPr>
          <w:b/>
          <w:bCs/>
          <w:rtl/>
        </w:rPr>
        <w:t xml:space="preserve"> </w:t>
      </w:r>
      <w:r w:rsidRPr="004E01D7">
        <w:rPr>
          <w:rFonts w:hint="eastAsia"/>
          <w:b/>
          <w:bCs/>
          <w:rtl/>
        </w:rPr>
        <w:t>הממשלתיות</w:t>
      </w:r>
      <w:r w:rsidRPr="006459D1">
        <w:rPr>
          <w:rtl/>
        </w:rPr>
        <w:t xml:space="preserve"> (</w:t>
      </w:r>
      <w:r>
        <w:rPr>
          <w:rFonts w:hint="cs"/>
          <w:rtl/>
        </w:rPr>
        <w:t xml:space="preserve">ניתן ביום </w:t>
      </w:r>
      <w:r w:rsidRPr="006459D1">
        <w:rPr>
          <w:rtl/>
        </w:rPr>
        <w:t>19.5.2009).</w:t>
      </w:r>
    </w:p>
    <w:p w14:paraId="69B2F851" w14:textId="77777777" w:rsidR="00FD1EEB" w:rsidRPr="006459D1" w:rsidRDefault="00FD1EEB" w:rsidP="00FD1EEB">
      <w:pPr>
        <w:pStyle w:val="Hesber"/>
        <w:rPr>
          <w:rtl/>
        </w:rPr>
      </w:pPr>
      <w:r w:rsidRPr="006459D1">
        <w:rPr>
          <w:rFonts w:hint="eastAsia"/>
          <w:rtl/>
        </w:rPr>
        <w:t>ההוראות</w:t>
      </w:r>
      <w:r w:rsidRPr="006459D1">
        <w:rPr>
          <w:rtl/>
        </w:rPr>
        <w:t xml:space="preserve"> המוצעות בסעיפים 1(2) ו-2(2) עניינן במתן סמכות לנגיד בנק ישראל ולממונה לפרסם ידיעה או מסמך שהגיעו אליהם, אם סברו כי העניין הציבורי בגילוי הידיעה או המסמך מצדיק זאת. כיום, הוראות הסודיות הקבועות בסעיף 15א לפקודת הבנקאות ובסעיף 50א לחוק הפיקוח על שירותים פיננסיים (ביטוח), המוחל גם בחוק הפיקוח על שירותים פיננסיים (קופות גמל), התשס"ה-2005 ובחוק הפיקוח על שירותים פיננסיים (ייעוץ, שיווק ומערכת סליקה פנסיוניים), התשס"ה-2005, מתירים גילוי של ידיעות או מסמכים שהגיעו לפי החוקים הרלבנטיים לעובדי הפיקוח על הבנקים בבנק ישראל ולעובדי רשות שוק ההון, הביטוח והחיסכון, רק במקרים מצומצמים: לפי פקודת הבנקאות ניתן לגלות מידע ומסמכים כאמור אם הנגיד ראה בכך צורך לצרכי תביעה פלילית, או אם המסמך או הידיעה התקבלו מתאגיד בנקאי – בהסכמתו; לפי חוק הפיקוח על הביטוח, הממונה, עובד הכפוף לו, או מי מטעמו, רשאים לגלות ידיעה או מסמך רק לצורך הליך פלילי, או אם הממונה ראה צורך בכך לשם דיון בוועדה המייעצת מכוח החוק (ויצוין כי על דיוני הוועדה חלה הוראת סודיות). לפי אותם חוקים ניתן למסור מידע או מסמכים כאמור לרשויות פיקוח אחרות בישראל או מחוצה לה, בתנאים המפורטים בהם.</w:t>
      </w:r>
    </w:p>
    <w:p w14:paraId="11ED20E2" w14:textId="77777777" w:rsidR="00FD1EEB" w:rsidRDefault="00FD1EEB" w:rsidP="00FD1EEB">
      <w:pPr>
        <w:pStyle w:val="Hesber"/>
        <w:rPr>
          <w:rtl/>
        </w:rPr>
      </w:pPr>
      <w:r w:rsidRPr="006459D1">
        <w:rPr>
          <w:rFonts w:hint="eastAsia"/>
          <w:rtl/>
        </w:rPr>
        <w:t>בשל</w:t>
      </w:r>
      <w:r w:rsidRPr="006459D1">
        <w:rPr>
          <w:rtl/>
        </w:rPr>
        <w:t xml:space="preserve"> העובדה שהגורמים המפוקחים בידי מפקחים אלה – התאגידים הבנקאיים והגופים המוסדיים –</w:t>
      </w:r>
      <w:r w:rsidRPr="006459D1">
        <w:rPr>
          <w:rFonts w:hint="eastAsia"/>
          <w:rtl/>
        </w:rPr>
        <w:t>מנהלים</w:t>
      </w:r>
      <w:r w:rsidRPr="006459D1">
        <w:rPr>
          <w:rtl/>
        </w:rPr>
        <w:t xml:space="preserve"> את כספי הציבור ובשל העניין הרב שיש לעיתים בחשיפת דרך ניהול כספים אלה, מוצע לקבוע כי בנוסף לעילות הגילוי המצומצמות הקיימות כיום, יהיו הנגיד או הממונה, לפי העניין, רשאים, חרף חובת הסודיות, לגלות מסמך או ידיעה אם הם סבורים כי העניין הציבורי בגילוי הידיעה או המסמך מצדיק זאת. </w:t>
      </w:r>
    </w:p>
    <w:p w14:paraId="7F9DBEB5" w14:textId="77777777" w:rsidR="008F7B8B" w:rsidRDefault="008F7B8B" w:rsidP="00FD1EEB">
      <w:pPr>
        <w:pStyle w:val="Hesber"/>
        <w:rPr>
          <w:rtl/>
        </w:rPr>
      </w:pPr>
    </w:p>
    <w:p w14:paraId="58E369B7" w14:textId="77777777" w:rsidR="008F7B8B" w:rsidRPr="00D73212" w:rsidRDefault="008F7B8B" w:rsidP="008F7B8B">
      <w:pPr>
        <w:pStyle w:val="Hesber"/>
        <w:ind w:firstLine="0"/>
        <w:rPr>
          <w:rtl/>
        </w:rPr>
      </w:pPr>
      <w:r w:rsidRPr="00D73212">
        <w:rPr>
          <w:rtl/>
        </w:rPr>
        <w:t>---------------------------------</w:t>
      </w:r>
    </w:p>
    <w:p w14:paraId="275B658D" w14:textId="77777777" w:rsidR="008F7B8B" w:rsidRPr="00D73212" w:rsidRDefault="008F7B8B" w:rsidP="008F7B8B">
      <w:pPr>
        <w:pStyle w:val="Hesber"/>
        <w:ind w:firstLine="0"/>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7853A46A" w14:textId="77777777" w:rsidR="008F7B8B" w:rsidRPr="00D73212" w:rsidRDefault="008F7B8B" w:rsidP="008F7B8B">
      <w:pPr>
        <w:pStyle w:val="Hesber"/>
        <w:ind w:firstLine="0"/>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680B9051" w14:textId="55704496" w:rsidR="00FD1EEB" w:rsidRPr="002B4DA6" w:rsidRDefault="008F7B8B" w:rsidP="008F7B8B">
      <w:pPr>
        <w:pStyle w:val="Hesber"/>
        <w:ind w:firstLine="0"/>
        <w:rPr>
          <w:rtl/>
        </w:rPr>
      </w:pPr>
      <w:r>
        <w:rPr>
          <w:rFonts w:hint="cs"/>
          <w:rtl/>
        </w:rPr>
        <w:t xml:space="preserve">י"א בכסלו </w:t>
      </w:r>
      <w:r w:rsidRPr="00D73212">
        <w:rPr>
          <w:rFonts w:hint="cs"/>
          <w:rtl/>
        </w:rPr>
        <w:t>התש</w:t>
      </w:r>
      <w:r>
        <w:rPr>
          <w:rFonts w:hint="cs"/>
          <w:rtl/>
        </w:rPr>
        <w:t xml:space="preserve">"ף </w:t>
      </w:r>
      <w:r w:rsidRPr="00D73212">
        <w:rPr>
          <w:rtl/>
        </w:rPr>
        <w:t>–</w:t>
      </w:r>
      <w:r>
        <w:rPr>
          <w:rFonts w:hint="cs"/>
          <w:rtl/>
        </w:rPr>
        <w:t xml:space="preserve"> 9.12</w:t>
      </w:r>
      <w:r w:rsidRPr="00D73212">
        <w:rPr>
          <w:rtl/>
        </w:rPr>
        <w:t>.</w:t>
      </w:r>
      <w:r>
        <w:rPr>
          <w:rFonts w:hint="cs"/>
          <w:rtl/>
        </w:rPr>
        <w:t>19</w:t>
      </w:r>
    </w:p>
    <w:p w14:paraId="7F6961CB" w14:textId="77777777" w:rsidR="00E13C27" w:rsidRPr="002B4DA6" w:rsidRDefault="00E13C27" w:rsidP="00E13C27">
      <w:pPr>
        <w:pStyle w:val="Hesber"/>
        <w:rPr>
          <w:rtl/>
        </w:rPr>
      </w:pPr>
    </w:p>
    <w:sectPr w:rsidR="00E13C27" w:rsidRPr="002B4DA6" w:rsidSect="008F7B8B">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DF6E2E">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8F7B8B">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EAC555C" w14:textId="77777777" w:rsidR="00FD1EEB" w:rsidRDefault="00FD1EEB" w:rsidP="00FD1EEB">
      <w:pPr>
        <w:pStyle w:val="a4"/>
      </w:pPr>
      <w:r>
        <w:rPr>
          <w:rStyle w:val="a6"/>
        </w:rPr>
        <w:footnoteRef/>
      </w:r>
      <w:r>
        <w:rPr>
          <w:rtl/>
        </w:rPr>
        <w:t xml:space="preserve"> </w:t>
      </w:r>
      <w:r w:rsidRPr="00913BC6">
        <w:rPr>
          <w:rtl/>
        </w:rPr>
        <w:t>ע"ר 194</w:t>
      </w:r>
      <w:r>
        <w:rPr>
          <w:rtl/>
        </w:rPr>
        <w:t>1</w:t>
      </w:r>
      <w:r w:rsidRPr="00913BC6">
        <w:rPr>
          <w:rtl/>
        </w:rPr>
        <w:t xml:space="preserve">, תוס' 1, עמ' </w:t>
      </w:r>
      <w:r>
        <w:rPr>
          <w:rFonts w:hint="cs"/>
          <w:rtl/>
        </w:rPr>
        <w:t>(</w:t>
      </w:r>
      <w:r w:rsidRPr="00913BC6">
        <w:rPr>
          <w:rtl/>
        </w:rPr>
        <w:t>ע</w:t>
      </w:r>
      <w:r>
        <w:rPr>
          <w:rFonts w:hint="cs"/>
          <w:rtl/>
        </w:rPr>
        <w:t>)</w:t>
      </w:r>
      <w:r w:rsidRPr="00913BC6">
        <w:rPr>
          <w:rtl/>
        </w:rPr>
        <w:t xml:space="preserve"> 69, </w:t>
      </w:r>
      <w:r>
        <w:rPr>
          <w:rFonts w:hint="cs"/>
          <w:rtl/>
        </w:rPr>
        <w:t>(</w:t>
      </w:r>
      <w:r w:rsidRPr="00913BC6">
        <w:rPr>
          <w:rtl/>
        </w:rPr>
        <w:t>א</w:t>
      </w:r>
      <w:r>
        <w:rPr>
          <w:rFonts w:hint="cs"/>
          <w:rtl/>
        </w:rPr>
        <w:t xml:space="preserve">) </w:t>
      </w:r>
      <w:r w:rsidRPr="00913BC6">
        <w:rPr>
          <w:rtl/>
        </w:rPr>
        <w:t>85</w:t>
      </w:r>
      <w:r>
        <w:rPr>
          <w:rFonts w:hint="cs"/>
          <w:rtl/>
        </w:rPr>
        <w:t>.</w:t>
      </w:r>
    </w:p>
  </w:footnote>
  <w:footnote w:id="3">
    <w:p w14:paraId="54536D68" w14:textId="77777777" w:rsidR="00FD1EEB" w:rsidRDefault="00FD1EEB" w:rsidP="00FD1EEB">
      <w:pPr>
        <w:pStyle w:val="a4"/>
      </w:pPr>
      <w:r>
        <w:rPr>
          <w:rStyle w:val="a6"/>
        </w:rPr>
        <w:footnoteRef/>
      </w:r>
      <w:r>
        <w:rPr>
          <w:rtl/>
        </w:rPr>
        <w:t xml:space="preserve"> ס"ח התשמ"א, עמ' 208</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5"/>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B4DA6"/>
    <w:rsid w:val="002C2E29"/>
    <w:rsid w:val="002C3041"/>
    <w:rsid w:val="002D1EE3"/>
    <w:rsid w:val="002F1D80"/>
    <w:rsid w:val="003232A2"/>
    <w:rsid w:val="00325C14"/>
    <w:rsid w:val="0036422C"/>
    <w:rsid w:val="003710F6"/>
    <w:rsid w:val="00386E88"/>
    <w:rsid w:val="00396585"/>
    <w:rsid w:val="003D6E38"/>
    <w:rsid w:val="003D74A0"/>
    <w:rsid w:val="003E21C4"/>
    <w:rsid w:val="004033D8"/>
    <w:rsid w:val="004073F0"/>
    <w:rsid w:val="00412A7D"/>
    <w:rsid w:val="00416B4D"/>
    <w:rsid w:val="00417CFC"/>
    <w:rsid w:val="00465DB9"/>
    <w:rsid w:val="004A06DC"/>
    <w:rsid w:val="004B24ED"/>
    <w:rsid w:val="004B6625"/>
    <w:rsid w:val="004C78D9"/>
    <w:rsid w:val="004D2D82"/>
    <w:rsid w:val="004D3876"/>
    <w:rsid w:val="004E01D7"/>
    <w:rsid w:val="004E4552"/>
    <w:rsid w:val="004E6CDF"/>
    <w:rsid w:val="00553C9D"/>
    <w:rsid w:val="00560DB3"/>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8F7B8B"/>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DF6E2E"/>
    <w:rsid w:val="00E06736"/>
    <w:rsid w:val="00E13C27"/>
    <w:rsid w:val="00E33BBD"/>
    <w:rsid w:val="00E374F2"/>
    <w:rsid w:val="00E45103"/>
    <w:rsid w:val="00E5493A"/>
    <w:rsid w:val="00E55A60"/>
    <w:rsid w:val="00E62778"/>
    <w:rsid w:val="00E635A2"/>
    <w:rsid w:val="00E63D38"/>
    <w:rsid w:val="00E665B9"/>
    <w:rsid w:val="00EA01E6"/>
    <w:rsid w:val="00EA3DE8"/>
    <w:rsid w:val="00EA683F"/>
    <w:rsid w:val="00EA758F"/>
    <w:rsid w:val="00ED4A6F"/>
    <w:rsid w:val="00EF3A3A"/>
    <w:rsid w:val="00F378D8"/>
    <w:rsid w:val="00F628D6"/>
    <w:rsid w:val="00F67051"/>
    <w:rsid w:val="00F86A1E"/>
    <w:rsid w:val="00FA5E88"/>
    <w:rsid w:val="00FD1E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98BBB76D-9FA3-4779-99AF-F055E88D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B8B"/>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8F7B8B"/>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8F7B8B"/>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8F7B8B"/>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8F7B8B"/>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8F7B8B"/>
    <w:pPr>
      <w:spacing w:line="259" w:lineRule="auto"/>
      <w:outlineLvl w:val="4"/>
    </w:pPr>
    <w:rPr>
      <w:color w:val="000000" w:themeColor="text1"/>
    </w:rPr>
  </w:style>
  <w:style w:type="character" w:default="1" w:styleId="a0">
    <w:name w:val="Default Paragraph Font"/>
    <w:uiPriority w:val="1"/>
    <w:semiHidden/>
    <w:unhideWhenUsed/>
    <w:rsid w:val="008F7B8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F7B8B"/>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8F7B8B"/>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8F7B8B"/>
    <w:rPr>
      <w:sz w:val="36"/>
      <w:szCs w:val="52"/>
    </w:rPr>
  </w:style>
  <w:style w:type="paragraph" w:customStyle="1" w:styleId="Cover3-Haknesset">
    <w:name w:val="Cover 3-Haknesset"/>
    <w:basedOn w:val="Cover1-Reshumot"/>
    <w:rsid w:val="008F7B8B"/>
    <w:rPr>
      <w:b/>
      <w:bCs/>
      <w:spacing w:val="60"/>
    </w:rPr>
  </w:style>
  <w:style w:type="paragraph" w:customStyle="1" w:styleId="Cover4-Date">
    <w:name w:val="Cover 4-Date"/>
    <w:basedOn w:val="a"/>
    <w:rsid w:val="008F7B8B"/>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8F7B8B"/>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8F7B8B"/>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8F7B8B"/>
    <w:pPr>
      <w:spacing w:before="120" w:after="120"/>
    </w:pPr>
    <w:rPr>
      <w:color w:val="FF0000"/>
      <w:w w:val="80"/>
    </w:rPr>
  </w:style>
  <w:style w:type="paragraph" w:styleId="a3">
    <w:name w:val="endnote text"/>
    <w:basedOn w:val="a"/>
    <w:semiHidden/>
    <w:rsid w:val="008F7B8B"/>
    <w:pPr>
      <w:ind w:left="227" w:hanging="227"/>
    </w:pPr>
    <w:rPr>
      <w:sz w:val="14"/>
      <w:szCs w:val="22"/>
    </w:rPr>
  </w:style>
  <w:style w:type="paragraph" w:customStyle="1" w:styleId="TableText">
    <w:name w:val="Table Text"/>
    <w:basedOn w:val="a"/>
    <w:rsid w:val="008F7B8B"/>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8F7B8B"/>
    <w:pPr>
      <w:outlineLvl w:val="2"/>
    </w:pPr>
  </w:style>
  <w:style w:type="paragraph" w:customStyle="1" w:styleId="TableBlock">
    <w:name w:val="Table Block"/>
    <w:basedOn w:val="TableText"/>
    <w:rsid w:val="008F7B8B"/>
    <w:pPr>
      <w:jc w:val="both"/>
    </w:pPr>
  </w:style>
  <w:style w:type="paragraph" w:customStyle="1" w:styleId="TableHead">
    <w:name w:val="Table Head"/>
    <w:basedOn w:val="TableText"/>
    <w:rsid w:val="008F7B8B"/>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8F7B8B"/>
    <w:pPr>
      <w:outlineLvl w:val="9"/>
    </w:pPr>
  </w:style>
  <w:style w:type="paragraph" w:customStyle="1" w:styleId="Hesber">
    <w:name w:val="Hesber"/>
    <w:basedOn w:val="a"/>
    <w:rsid w:val="008F7B8B"/>
    <w:pPr>
      <w:snapToGrid w:val="0"/>
      <w:ind w:left="0" w:firstLine="340"/>
    </w:pPr>
    <w:rPr>
      <w:rFonts w:ascii="Arial" w:eastAsia="Arial Unicode MS" w:hAnsi="Arial"/>
      <w:snapToGrid w:val="0"/>
      <w:sz w:val="20"/>
      <w:szCs w:val="26"/>
    </w:rPr>
  </w:style>
  <w:style w:type="paragraph" w:styleId="a4">
    <w:name w:val="footnote text"/>
    <w:basedOn w:val="a"/>
    <w:link w:val="a5"/>
    <w:autoRedefine/>
    <w:rsid w:val="008F7B8B"/>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rsid w:val="008F7B8B"/>
    <w:rPr>
      <w:vertAlign w:val="superscript"/>
    </w:rPr>
  </w:style>
  <w:style w:type="paragraph" w:customStyle="1" w:styleId="HesberHeading">
    <w:name w:val="Hesber Heading"/>
    <w:basedOn w:val="Hesber"/>
    <w:rsid w:val="008F7B8B"/>
    <w:pPr>
      <w:tabs>
        <w:tab w:val="left" w:pos="624"/>
        <w:tab w:val="left" w:pos="1247"/>
      </w:tabs>
    </w:pPr>
    <w:rPr>
      <w:b/>
      <w:bCs/>
    </w:rPr>
  </w:style>
  <w:style w:type="paragraph" w:customStyle="1" w:styleId="HesberWriters">
    <w:name w:val="Hesber Writers"/>
    <w:basedOn w:val="Hesber"/>
    <w:rsid w:val="008F7B8B"/>
    <w:pPr>
      <w:spacing w:before="120" w:after="120"/>
      <w:ind w:left="1418"/>
      <w:jc w:val="right"/>
    </w:pPr>
    <w:rPr>
      <w:b/>
      <w:bCs/>
    </w:rPr>
  </w:style>
  <w:style w:type="paragraph" w:customStyle="1" w:styleId="Hesber1st">
    <w:name w:val="Hesber 1st"/>
    <w:basedOn w:val="Hesber"/>
    <w:rsid w:val="008F7B8B"/>
    <w:pPr>
      <w:tabs>
        <w:tab w:val="left" w:pos="680"/>
        <w:tab w:val="left" w:pos="1020"/>
      </w:tabs>
      <w:ind w:firstLine="0"/>
    </w:pPr>
  </w:style>
  <w:style w:type="character" w:styleId="a7">
    <w:name w:val="endnote reference"/>
    <w:basedOn w:val="a0"/>
    <w:semiHidden/>
    <w:rsid w:val="008F7B8B"/>
    <w:rPr>
      <w:vertAlign w:val="superscript"/>
    </w:rPr>
  </w:style>
  <w:style w:type="paragraph" w:customStyle="1" w:styleId="TableBlockOutdent">
    <w:name w:val="Table BlockOutdent"/>
    <w:basedOn w:val="TableBlock"/>
    <w:rsid w:val="008F7B8B"/>
    <w:pPr>
      <w:ind w:left="624" w:hanging="624"/>
    </w:pPr>
  </w:style>
  <w:style w:type="paragraph" w:styleId="a8">
    <w:name w:val="header"/>
    <w:basedOn w:val="a"/>
    <w:rsid w:val="008F7B8B"/>
    <w:pPr>
      <w:tabs>
        <w:tab w:val="center" w:pos="4153"/>
        <w:tab w:val="right" w:pos="8306"/>
      </w:tabs>
    </w:pPr>
  </w:style>
  <w:style w:type="paragraph" w:styleId="a9">
    <w:name w:val="footer"/>
    <w:basedOn w:val="a"/>
    <w:rsid w:val="008F7B8B"/>
    <w:pPr>
      <w:tabs>
        <w:tab w:val="center" w:pos="4153"/>
        <w:tab w:val="right" w:pos="8306"/>
      </w:tabs>
    </w:pPr>
  </w:style>
  <w:style w:type="paragraph" w:customStyle="1" w:styleId="HeadDivreiHesber">
    <w:name w:val="Head DivreiHesber"/>
    <w:basedOn w:val="a"/>
    <w:rsid w:val="008F7B8B"/>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8F7B8B"/>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8F7B8B"/>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rsid w:val="002B4DA6"/>
    <w:rPr>
      <w:rFonts w:ascii="Arial" w:eastAsia="Arial Unicode MS" w:hAnsi="Arial" w:cs="David"/>
      <w:snapToGrid w:val="0"/>
      <w:sz w:val="14"/>
    </w:rPr>
  </w:style>
  <w:style w:type="character" w:customStyle="1" w:styleId="10">
    <w:name w:val="כותרת 1 תו"/>
    <w:basedOn w:val="a0"/>
    <w:link w:val="1"/>
    <w:uiPriority w:val="9"/>
    <w:rsid w:val="008F7B8B"/>
    <w:rPr>
      <w:rFonts w:asciiTheme="majorHAnsi" w:eastAsiaTheme="majorEastAsia" w:hAnsiTheme="majorHAnsi" w:cs="David"/>
      <w:bCs/>
      <w:sz w:val="32"/>
      <w:szCs w:val="36"/>
    </w:rPr>
  </w:style>
  <w:style w:type="character" w:customStyle="1" w:styleId="20">
    <w:name w:val="כותרת 2 תו"/>
    <w:basedOn w:val="a0"/>
    <w:link w:val="2"/>
    <w:rsid w:val="008F7B8B"/>
    <w:rPr>
      <w:rFonts w:asciiTheme="majorHAnsi" w:eastAsiaTheme="majorEastAsia" w:hAnsiTheme="majorHAnsi" w:cs="David"/>
      <w:bCs/>
      <w:sz w:val="26"/>
      <w:szCs w:val="36"/>
      <w:u w:val="single"/>
    </w:rPr>
  </w:style>
  <w:style w:type="character" w:customStyle="1" w:styleId="30">
    <w:name w:val="כותרת 3 תו"/>
    <w:basedOn w:val="a0"/>
    <w:link w:val="3"/>
    <w:rsid w:val="008F7B8B"/>
    <w:rPr>
      <w:rFonts w:asciiTheme="majorHAnsi" w:eastAsiaTheme="majorEastAsia" w:hAnsiTheme="majorHAnsi" w:cs="David"/>
      <w:sz w:val="24"/>
      <w:szCs w:val="28"/>
      <w:u w:val="double"/>
    </w:rPr>
  </w:style>
  <w:style w:type="character" w:customStyle="1" w:styleId="40">
    <w:name w:val="כותרת 4 תו"/>
    <w:basedOn w:val="a0"/>
    <w:link w:val="4"/>
    <w:uiPriority w:val="9"/>
    <w:rsid w:val="008F7B8B"/>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8F7B8B"/>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8F7B8B"/>
    <w:pPr>
      <w:widowControl/>
      <w:spacing w:before="120" w:after="120"/>
      <w:outlineLvl w:val="9"/>
    </w:pPr>
    <w:rPr>
      <w:rtl/>
      <w:cs/>
    </w:rPr>
  </w:style>
  <w:style w:type="paragraph" w:styleId="TOC1">
    <w:name w:val="toc 1"/>
    <w:basedOn w:val="a"/>
    <w:next w:val="a"/>
    <w:autoRedefine/>
    <w:uiPriority w:val="39"/>
    <w:unhideWhenUsed/>
    <w:rsid w:val="008F7B8B"/>
    <w:pPr>
      <w:tabs>
        <w:tab w:val="right" w:leader="dot" w:pos="9629"/>
      </w:tabs>
      <w:spacing w:after="100"/>
    </w:pPr>
    <w:rPr>
      <w:bCs/>
      <w:szCs w:val="22"/>
    </w:rPr>
  </w:style>
  <w:style w:type="paragraph" w:styleId="TOC2">
    <w:name w:val="toc 2"/>
    <w:basedOn w:val="a"/>
    <w:next w:val="a"/>
    <w:uiPriority w:val="39"/>
    <w:unhideWhenUsed/>
    <w:rsid w:val="008F7B8B"/>
    <w:pPr>
      <w:tabs>
        <w:tab w:val="right" w:leader="dot" w:pos="9628"/>
      </w:tabs>
      <w:spacing w:after="100"/>
    </w:pPr>
    <w:rPr>
      <w:szCs w:val="22"/>
    </w:rPr>
  </w:style>
  <w:style w:type="character" w:styleId="Hyperlink">
    <w:name w:val="Hyperlink"/>
    <w:basedOn w:val="a0"/>
    <w:uiPriority w:val="99"/>
    <w:unhideWhenUsed/>
    <w:rsid w:val="008F7B8B"/>
    <w:rPr>
      <w:color w:val="0000FF" w:themeColor="hyperlink"/>
      <w:u w:val="single"/>
    </w:rPr>
  </w:style>
  <w:style w:type="paragraph" w:styleId="TOC3">
    <w:name w:val="toc 3"/>
    <w:basedOn w:val="a"/>
    <w:next w:val="a"/>
    <w:uiPriority w:val="39"/>
    <w:unhideWhenUsed/>
    <w:rsid w:val="008F7B8B"/>
    <w:pPr>
      <w:tabs>
        <w:tab w:val="right" w:leader="dot" w:pos="9629"/>
      </w:tabs>
      <w:spacing w:after="100"/>
      <w:ind w:left="567"/>
    </w:pPr>
    <w:rPr>
      <w:szCs w:val="22"/>
    </w:rPr>
  </w:style>
  <w:style w:type="paragraph" w:styleId="TOC4">
    <w:name w:val="toc 4"/>
    <w:basedOn w:val="a"/>
    <w:next w:val="a"/>
    <w:autoRedefine/>
    <w:unhideWhenUsed/>
    <w:qFormat/>
    <w:rsid w:val="008F7B8B"/>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8F7B8B"/>
    <w:pPr>
      <w:tabs>
        <w:tab w:val="right" w:leader="dot" w:pos="9628"/>
      </w:tabs>
      <w:spacing w:after="100"/>
      <w:ind w:left="567"/>
    </w:pPr>
    <w:rPr>
      <w:szCs w:val="22"/>
    </w:rPr>
  </w:style>
  <w:style w:type="paragraph" w:styleId="TOC6">
    <w:name w:val="toc 6"/>
    <w:basedOn w:val="a"/>
    <w:next w:val="a"/>
    <w:autoRedefine/>
    <w:semiHidden/>
    <w:unhideWhenUsed/>
    <w:rsid w:val="008F7B8B"/>
    <w:pPr>
      <w:spacing w:after="100"/>
      <w:ind w:left="850"/>
    </w:pPr>
  </w:style>
  <w:style w:type="paragraph" w:styleId="TOC7">
    <w:name w:val="toc 7"/>
    <w:basedOn w:val="a"/>
    <w:next w:val="a"/>
    <w:autoRedefine/>
    <w:semiHidden/>
    <w:unhideWhenUsed/>
    <w:rsid w:val="008F7B8B"/>
    <w:pPr>
      <w:spacing w:after="100"/>
      <w:ind w:left="1020"/>
    </w:pPr>
  </w:style>
  <w:style w:type="paragraph" w:styleId="TOC8">
    <w:name w:val="toc 8"/>
    <w:basedOn w:val="a"/>
    <w:next w:val="a"/>
    <w:autoRedefine/>
    <w:semiHidden/>
    <w:unhideWhenUsed/>
    <w:rsid w:val="008F7B8B"/>
    <w:pPr>
      <w:spacing w:after="100"/>
      <w:ind w:left="1190"/>
    </w:pPr>
  </w:style>
  <w:style w:type="paragraph" w:styleId="TOC9">
    <w:name w:val="toc 9"/>
    <w:basedOn w:val="a"/>
    <w:next w:val="a"/>
    <w:autoRedefine/>
    <w:semiHidden/>
    <w:unhideWhenUsed/>
    <w:rsid w:val="008F7B8B"/>
    <w:pPr>
      <w:spacing w:after="100"/>
      <w:ind w:left="1360"/>
    </w:pPr>
  </w:style>
  <w:style w:type="paragraph" w:customStyle="1" w:styleId="TableHead2">
    <w:name w:val="Table Head2"/>
    <w:basedOn w:val="TableHead"/>
    <w:qFormat/>
    <w:rsid w:val="008F7B8B"/>
    <w:pPr>
      <w:outlineLvl w:val="9"/>
    </w:pPr>
  </w:style>
  <w:style w:type="paragraph" w:customStyle="1" w:styleId="TableSideHeading2">
    <w:name w:val="Table SideHeading2"/>
    <w:basedOn w:val="TableSideHeading"/>
    <w:autoRedefine/>
    <w:qFormat/>
    <w:rsid w:val="008F7B8B"/>
    <w:pPr>
      <w:keepLines w:val="0"/>
      <w:outlineLvl w:val="9"/>
    </w:pPr>
  </w:style>
  <w:style w:type="paragraph" w:customStyle="1" w:styleId="0">
    <w:name w:val="סגנון שורה ראשונה:  0  ס''מ"/>
    <w:basedOn w:val="2"/>
    <w:rsid w:val="008F7B8B"/>
    <w:rPr>
      <w:rFonts w:eastAsia="Times New Roman"/>
    </w:rPr>
  </w:style>
  <w:style w:type="paragraph" w:styleId="af">
    <w:name w:val="List Paragraph"/>
    <w:basedOn w:val="a"/>
    <w:uiPriority w:val="34"/>
    <w:qFormat/>
    <w:rsid w:val="008F7B8B"/>
    <w:pPr>
      <w:widowControl/>
      <w:spacing w:line="259" w:lineRule="auto"/>
    </w:pPr>
    <w:rPr>
      <w:rFonts w:asciiTheme="minorHAnsi" w:hAnsiTheme="minorHAnsi"/>
      <w:sz w:val="22"/>
    </w:rPr>
  </w:style>
  <w:style w:type="table" w:styleId="af0">
    <w:name w:val="Table Grid"/>
    <w:basedOn w:val="a1"/>
    <w:rsid w:val="008F7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8F7B8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8F7B8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8F7B8B"/>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8F7B8B"/>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FCE69357-8E68-47F8-9E9D-EA8597018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2D9A01C-BBD1-47D5-8632-30B21107F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771</Words>
  <Characters>4399</Characters>
  <Application>Microsoft Office Word</Application>
  <DocSecurity>0</DocSecurity>
  <Lines>36</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12</cp:revision>
  <cp:lastPrinted>2019-10-31T12:06:00Z</cp:lastPrinted>
  <dcterms:created xsi:type="dcterms:W3CDTF">2015-04-20T09:58:00Z</dcterms:created>
  <dcterms:modified xsi:type="dcterms:W3CDTF">2019-12-04T09:04:00Z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2082848</vt:r8>
  </property>
</Properties>
</file>