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2082793</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ושתיים</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מרב מיכאלי</w:t>
      </w:r>
      <w:r>
        <w:br/>
      </w:r>
      <w:r>
        <w:rPr>
          <w:rFonts w:hint="cs"/>
          <w:b/>
          <w:bCs/>
          <w:rtl/>
        </w:rPr>
        <w:t xml:space="preserve"> </w:t>
      </w:r>
      <w:r>
        <w:tab/>
      </w:r>
      <w:r>
        <w:tab/>
      </w:r>
      <w:r>
        <w:tab/>
      </w:r>
      <w:r>
        <w:tab/>
      </w:r>
      <w:r>
        <w:rPr>
          <w:rFonts w:hint="cs"/>
          <w:b/>
          <w:bCs/>
          <w:rtl/>
        </w:rPr>
        <w:t xml:space="preserve">אלון </w:t>
      </w:r>
      <w:proofErr w:type="spellStart"/>
      <w:r>
        <w:rPr>
          <w:rFonts w:hint="cs"/>
          <w:b/>
          <w:bCs/>
          <w:rtl/>
        </w:rPr>
        <w:t>שוסטר</w:t>
      </w:r>
      <w:bookmarkEnd w:id="3"/>
      <w:proofErr w:type="spellEnd"/>
    </w:p>
    <w:p w14:paraId="7F6961AA" w14:textId="39F9D96B" w:rsidR="00E13C27" w:rsidRPr="00CF1AA2" w:rsidRDefault="007D585A" w:rsidP="0036422C">
      <w:pPr>
        <w:pStyle w:val="David"/>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D378BA7" w:rsidR="00E13C27" w:rsidRPr="00E06736" w:rsidRDefault="00904591" w:rsidP="00904591">
      <w:pPr>
        <w:pStyle w:val="David"/>
        <w:spacing w:line="240" w:lineRule="auto"/>
        <w:ind w:left="3544"/>
        <w:rPr>
          <w:rtl/>
        </w:rPr>
      </w:pPr>
      <w:r>
        <w:t xml:space="preserve">                                            </w:t>
      </w:r>
      <w:r w:rsidR="008F1308">
        <w:t xml:space="preserve"> </w:t>
      </w:r>
      <w:bookmarkStart w:id="6" w:name="Private_Number"/>
      <w:r w:rsidR="00993125">
        <w:rPr>
          <w:rtl/>
        </w:rPr>
        <w:tab/>
      </w:r>
      <w:r>
        <w:rPr>
          <w:rFonts w:hint="cs"/>
          <w:rtl/>
        </w:rPr>
        <w:t>פ/1387/22</w:t>
      </w:r>
      <w:bookmarkEnd w:id="6"/>
    </w:p>
    <w:p w14:paraId="7F6961AC" w14:textId="77777777" w:rsidR="00E13C27" w:rsidRDefault="00E13C27" w:rsidP="00E13C27">
      <w:pPr>
        <w:ind w:left="2880" w:firstLine="720"/>
        <w:rPr>
          <w:sz w:val="26"/>
          <w:szCs w:val="26"/>
          <w:rtl/>
        </w:rPr>
      </w:pPr>
    </w:p>
    <w:p w14:paraId="7F6961AD" w14:textId="571BFE52" w:rsidR="00E13C27" w:rsidRPr="00F67051" w:rsidRDefault="00A443CF" w:rsidP="00A97362">
      <w:pPr>
        <w:pStyle w:val="HeadHatzaotHok"/>
        <w:rPr>
          <w:rtl/>
        </w:rPr>
      </w:pPr>
      <w:bookmarkStart w:id="7" w:name="LGS_Subject"/>
      <w:r>
        <w:rPr>
          <w:rFonts w:hint="cs"/>
          <w:rtl/>
        </w:rPr>
        <w:t xml:space="preserve">הצעת חוק לימודי יסוד במערכת החינוך, </w:t>
      </w:r>
      <w:proofErr w:type="spellStart"/>
      <w:r>
        <w:rPr>
          <w:rFonts w:hint="cs"/>
          <w:rtl/>
        </w:rPr>
        <w:t>התש"ף</w:t>
      </w:r>
      <w:proofErr w:type="spellEnd"/>
      <w:r w:rsidR="00A97362">
        <w:rPr>
          <w:rFonts w:hint="eastAsia"/>
          <w:rtl/>
        </w:rPr>
        <w:t>–</w:t>
      </w:r>
      <w:r>
        <w:rPr>
          <w:rFonts w:hint="cs"/>
          <w:rtl/>
        </w:rPr>
        <w:t>2019</w:t>
      </w:r>
      <w:bookmarkEnd w:id="7"/>
    </w:p>
    <w:tbl>
      <w:tblPr>
        <w:bidiVisual/>
        <w:tblW w:w="9639" w:type="dxa"/>
        <w:tblLayout w:type="fixed"/>
        <w:tblCellMar>
          <w:top w:w="57" w:type="dxa"/>
          <w:left w:w="0" w:type="dxa"/>
          <w:bottom w:w="57" w:type="dxa"/>
          <w:right w:w="0" w:type="dxa"/>
        </w:tblCellMar>
        <w:tblLook w:val="04A0" w:firstRow="1" w:lastRow="0" w:firstColumn="1" w:lastColumn="0" w:noHBand="0" w:noVBand="1"/>
      </w:tblPr>
      <w:tblGrid>
        <w:gridCol w:w="1872"/>
        <w:gridCol w:w="624"/>
        <w:gridCol w:w="624"/>
        <w:gridCol w:w="6519"/>
      </w:tblGrid>
      <w:tr w:rsidR="00DE59CF" w14:paraId="784F5243" w14:textId="77777777" w:rsidTr="00A97362">
        <w:trPr>
          <w:cantSplit/>
        </w:trPr>
        <w:tc>
          <w:tcPr>
            <w:tcW w:w="1872" w:type="dxa"/>
            <w:hideMark/>
          </w:tcPr>
          <w:p w14:paraId="0CC6234A" w14:textId="77777777" w:rsidR="00DE59CF" w:rsidRDefault="00DE59CF">
            <w:pPr>
              <w:pStyle w:val="TableSideHeading"/>
              <w:keepLines w:val="0"/>
              <w:rPr>
                <w:sz w:val="26"/>
              </w:rPr>
            </w:pPr>
            <w:r>
              <w:rPr>
                <w:sz w:val="26"/>
                <w:rtl/>
              </w:rPr>
              <w:t>הגדרות</w:t>
            </w:r>
          </w:p>
        </w:tc>
        <w:tc>
          <w:tcPr>
            <w:tcW w:w="624" w:type="dxa"/>
            <w:hideMark/>
          </w:tcPr>
          <w:p w14:paraId="28447E83" w14:textId="77777777" w:rsidR="00DE59CF" w:rsidRDefault="00DE59CF">
            <w:pPr>
              <w:pStyle w:val="TableText"/>
              <w:rPr>
                <w:sz w:val="26"/>
              </w:rPr>
            </w:pPr>
            <w:r>
              <w:rPr>
                <w:sz w:val="26"/>
                <w:rtl/>
              </w:rPr>
              <w:t>1.</w:t>
            </w:r>
          </w:p>
        </w:tc>
        <w:tc>
          <w:tcPr>
            <w:tcW w:w="7143" w:type="dxa"/>
            <w:gridSpan w:val="2"/>
            <w:hideMark/>
          </w:tcPr>
          <w:p w14:paraId="66B63D02" w14:textId="77777777" w:rsidR="00DE59CF" w:rsidRDefault="00DE59CF" w:rsidP="00A97362">
            <w:pPr>
              <w:pStyle w:val="TableBlockOutdent"/>
              <w:rPr>
                <w:sz w:val="26"/>
              </w:rPr>
            </w:pPr>
            <w:r>
              <w:rPr>
                <w:sz w:val="26"/>
                <w:rtl/>
              </w:rPr>
              <w:t xml:space="preserve">בחוק זה – </w:t>
            </w:r>
          </w:p>
        </w:tc>
      </w:tr>
      <w:tr w:rsidR="00DE59CF" w14:paraId="5FE2B824" w14:textId="77777777" w:rsidTr="00A97362">
        <w:trPr>
          <w:cantSplit/>
        </w:trPr>
        <w:tc>
          <w:tcPr>
            <w:tcW w:w="1872" w:type="dxa"/>
          </w:tcPr>
          <w:p w14:paraId="1613BAB2" w14:textId="77777777" w:rsidR="00DE59CF" w:rsidRDefault="00DE59CF">
            <w:pPr>
              <w:pStyle w:val="TableSideHeading"/>
              <w:keepLines w:val="0"/>
              <w:rPr>
                <w:sz w:val="26"/>
              </w:rPr>
            </w:pPr>
          </w:p>
        </w:tc>
        <w:tc>
          <w:tcPr>
            <w:tcW w:w="624" w:type="dxa"/>
          </w:tcPr>
          <w:p w14:paraId="0DEDF6F0" w14:textId="77777777" w:rsidR="00DE59CF" w:rsidRDefault="00DE59CF">
            <w:pPr>
              <w:pStyle w:val="TableText"/>
              <w:rPr>
                <w:sz w:val="26"/>
              </w:rPr>
            </w:pPr>
          </w:p>
        </w:tc>
        <w:tc>
          <w:tcPr>
            <w:tcW w:w="7143" w:type="dxa"/>
            <w:gridSpan w:val="2"/>
            <w:hideMark/>
          </w:tcPr>
          <w:p w14:paraId="7D271878" w14:textId="77777777" w:rsidR="00DE59CF" w:rsidRDefault="00DE59CF" w:rsidP="00A97362">
            <w:pPr>
              <w:pStyle w:val="TableBlockOutdent"/>
              <w:rPr>
                <w:sz w:val="26"/>
              </w:rPr>
            </w:pPr>
            <w:r>
              <w:rPr>
                <w:sz w:val="26"/>
                <w:rtl/>
              </w:rPr>
              <w:t xml:space="preserve">"מוסד חינוך" – כהגדרתו בחוק לימוד חובה, </w:t>
            </w:r>
            <w:proofErr w:type="spellStart"/>
            <w:r>
              <w:rPr>
                <w:sz w:val="26"/>
                <w:rtl/>
              </w:rPr>
              <w:t>התש"ט</w:t>
            </w:r>
            <w:proofErr w:type="spellEnd"/>
            <w:r>
              <w:rPr>
                <w:sz w:val="26"/>
                <w:rtl/>
              </w:rPr>
              <w:t>–1949</w:t>
            </w:r>
            <w:r w:rsidRPr="00A97362">
              <w:rPr>
                <w:rStyle w:val="a6"/>
                <w:rFonts w:ascii="David" w:hAnsi="David"/>
                <w:sz w:val="26"/>
                <w:rtl/>
              </w:rPr>
              <w:footnoteReference w:id="2"/>
            </w:r>
            <w:r>
              <w:rPr>
                <w:sz w:val="26"/>
                <w:rtl/>
              </w:rPr>
              <w:t>, למעט מוסד חינוך רשמי, כהגדרתו באותו חוק;</w:t>
            </w:r>
          </w:p>
        </w:tc>
      </w:tr>
      <w:tr w:rsidR="00DE59CF" w14:paraId="21FD47DA" w14:textId="77777777" w:rsidTr="00A97362">
        <w:trPr>
          <w:cantSplit/>
        </w:trPr>
        <w:tc>
          <w:tcPr>
            <w:tcW w:w="1872" w:type="dxa"/>
          </w:tcPr>
          <w:p w14:paraId="17BF235C" w14:textId="77777777" w:rsidR="00DE59CF" w:rsidRDefault="00DE59CF">
            <w:pPr>
              <w:pStyle w:val="TableSideHeading"/>
              <w:keepLines w:val="0"/>
              <w:rPr>
                <w:sz w:val="26"/>
              </w:rPr>
            </w:pPr>
          </w:p>
        </w:tc>
        <w:tc>
          <w:tcPr>
            <w:tcW w:w="624" w:type="dxa"/>
          </w:tcPr>
          <w:p w14:paraId="1ABC3194" w14:textId="77777777" w:rsidR="00DE59CF" w:rsidRDefault="00DE59CF">
            <w:pPr>
              <w:pStyle w:val="TableText"/>
              <w:rPr>
                <w:sz w:val="26"/>
              </w:rPr>
            </w:pPr>
          </w:p>
        </w:tc>
        <w:tc>
          <w:tcPr>
            <w:tcW w:w="7143" w:type="dxa"/>
            <w:gridSpan w:val="2"/>
            <w:hideMark/>
          </w:tcPr>
          <w:p w14:paraId="40C6B43C" w14:textId="77777777" w:rsidR="00DE59CF" w:rsidRDefault="00DE59CF" w:rsidP="00A97362">
            <w:pPr>
              <w:pStyle w:val="TableBlockOutdent"/>
              <w:rPr>
                <w:sz w:val="26"/>
              </w:rPr>
            </w:pPr>
            <w:r>
              <w:rPr>
                <w:sz w:val="26"/>
                <w:rtl/>
              </w:rPr>
              <w:t>"מקצועות לימודי ליבה" –  המקצועות המפורטים להלן:</w:t>
            </w:r>
          </w:p>
        </w:tc>
      </w:tr>
      <w:tr w:rsidR="00DE59CF" w14:paraId="517E78A8" w14:textId="77777777" w:rsidTr="00A97362">
        <w:trPr>
          <w:cantSplit/>
        </w:trPr>
        <w:tc>
          <w:tcPr>
            <w:tcW w:w="1872" w:type="dxa"/>
          </w:tcPr>
          <w:p w14:paraId="0CBA38CF" w14:textId="77777777" w:rsidR="00DE59CF" w:rsidRDefault="00DE59CF">
            <w:pPr>
              <w:pStyle w:val="TableSideHeading"/>
            </w:pPr>
          </w:p>
        </w:tc>
        <w:tc>
          <w:tcPr>
            <w:tcW w:w="624" w:type="dxa"/>
          </w:tcPr>
          <w:p w14:paraId="5F222308" w14:textId="77777777" w:rsidR="00DE59CF" w:rsidRDefault="00DE59CF">
            <w:pPr>
              <w:pStyle w:val="TableText"/>
            </w:pPr>
          </w:p>
        </w:tc>
        <w:tc>
          <w:tcPr>
            <w:tcW w:w="624" w:type="dxa"/>
          </w:tcPr>
          <w:p w14:paraId="3BA6CED6" w14:textId="77777777" w:rsidR="00DE59CF" w:rsidRDefault="00DE59CF">
            <w:pPr>
              <w:pStyle w:val="TableText"/>
            </w:pPr>
          </w:p>
        </w:tc>
        <w:tc>
          <w:tcPr>
            <w:tcW w:w="6519" w:type="dxa"/>
            <w:hideMark/>
          </w:tcPr>
          <w:p w14:paraId="0959B4EC" w14:textId="77777777" w:rsidR="00DE59CF" w:rsidRDefault="00DE59CF" w:rsidP="00A97362">
            <w:pPr>
              <w:pStyle w:val="TableBlockOutdent"/>
            </w:pPr>
            <w:r>
              <w:rPr>
                <w:sz w:val="26"/>
                <w:rtl/>
              </w:rPr>
              <w:t>(1)</w:t>
            </w:r>
            <w:r>
              <w:rPr>
                <w:sz w:val="26"/>
                <w:rtl/>
              </w:rPr>
              <w:tab/>
              <w:t>תנ"ך ומורשת ישראל;</w:t>
            </w:r>
          </w:p>
        </w:tc>
      </w:tr>
      <w:tr w:rsidR="00DE59CF" w14:paraId="7EDC9B1F" w14:textId="77777777" w:rsidTr="00A97362">
        <w:trPr>
          <w:cantSplit/>
        </w:trPr>
        <w:tc>
          <w:tcPr>
            <w:tcW w:w="1872" w:type="dxa"/>
          </w:tcPr>
          <w:p w14:paraId="7BE7A456" w14:textId="77777777" w:rsidR="00DE59CF" w:rsidRDefault="00DE59CF">
            <w:pPr>
              <w:pStyle w:val="TableSideHeading"/>
            </w:pPr>
          </w:p>
        </w:tc>
        <w:tc>
          <w:tcPr>
            <w:tcW w:w="624" w:type="dxa"/>
          </w:tcPr>
          <w:p w14:paraId="0098793F" w14:textId="77777777" w:rsidR="00DE59CF" w:rsidRDefault="00DE59CF">
            <w:pPr>
              <w:pStyle w:val="TableText"/>
            </w:pPr>
          </w:p>
        </w:tc>
        <w:tc>
          <w:tcPr>
            <w:tcW w:w="624" w:type="dxa"/>
          </w:tcPr>
          <w:p w14:paraId="74701F0E" w14:textId="77777777" w:rsidR="00DE59CF" w:rsidRDefault="00DE59CF">
            <w:pPr>
              <w:pStyle w:val="TableText"/>
            </w:pPr>
          </w:p>
        </w:tc>
        <w:tc>
          <w:tcPr>
            <w:tcW w:w="6519" w:type="dxa"/>
            <w:hideMark/>
          </w:tcPr>
          <w:p w14:paraId="0C644CA2" w14:textId="77777777" w:rsidR="00DE59CF" w:rsidRDefault="00DE59CF" w:rsidP="00A97362">
            <w:pPr>
              <w:pStyle w:val="TableBlockOutdent"/>
            </w:pPr>
            <w:r>
              <w:rPr>
                <w:sz w:val="26"/>
                <w:rtl/>
              </w:rPr>
              <w:t>(2)</w:t>
            </w:r>
            <w:r>
              <w:rPr>
                <w:sz w:val="26"/>
                <w:rtl/>
              </w:rPr>
              <w:tab/>
              <w:t>היסטוריה ואזרחות;</w:t>
            </w:r>
          </w:p>
        </w:tc>
      </w:tr>
      <w:tr w:rsidR="00DE59CF" w14:paraId="5D809514" w14:textId="77777777" w:rsidTr="00A97362">
        <w:trPr>
          <w:cantSplit/>
        </w:trPr>
        <w:tc>
          <w:tcPr>
            <w:tcW w:w="1872" w:type="dxa"/>
          </w:tcPr>
          <w:p w14:paraId="7037DDE8" w14:textId="77777777" w:rsidR="00DE59CF" w:rsidRDefault="00DE59CF">
            <w:pPr>
              <w:pStyle w:val="TableSideHeading"/>
            </w:pPr>
          </w:p>
        </w:tc>
        <w:tc>
          <w:tcPr>
            <w:tcW w:w="624" w:type="dxa"/>
          </w:tcPr>
          <w:p w14:paraId="2A4911FB" w14:textId="77777777" w:rsidR="00DE59CF" w:rsidRDefault="00DE59CF">
            <w:pPr>
              <w:pStyle w:val="TableText"/>
            </w:pPr>
          </w:p>
        </w:tc>
        <w:tc>
          <w:tcPr>
            <w:tcW w:w="624" w:type="dxa"/>
          </w:tcPr>
          <w:p w14:paraId="50439809" w14:textId="77777777" w:rsidR="00DE59CF" w:rsidRDefault="00DE59CF">
            <w:pPr>
              <w:pStyle w:val="TableText"/>
            </w:pPr>
          </w:p>
        </w:tc>
        <w:tc>
          <w:tcPr>
            <w:tcW w:w="6519" w:type="dxa"/>
            <w:hideMark/>
          </w:tcPr>
          <w:p w14:paraId="4C2C608B" w14:textId="77777777" w:rsidR="00DE59CF" w:rsidRDefault="00DE59CF" w:rsidP="00A97362">
            <w:pPr>
              <w:pStyle w:val="TableBlockOutdent"/>
            </w:pPr>
            <w:r>
              <w:rPr>
                <w:sz w:val="26"/>
                <w:rtl/>
              </w:rPr>
              <w:t>(3)</w:t>
            </w:r>
            <w:r>
              <w:rPr>
                <w:sz w:val="26"/>
                <w:rtl/>
              </w:rPr>
              <w:tab/>
              <w:t>עברית;</w:t>
            </w:r>
          </w:p>
        </w:tc>
      </w:tr>
      <w:tr w:rsidR="00DE59CF" w14:paraId="5E4E6833" w14:textId="77777777" w:rsidTr="00A97362">
        <w:trPr>
          <w:cantSplit/>
        </w:trPr>
        <w:tc>
          <w:tcPr>
            <w:tcW w:w="1872" w:type="dxa"/>
          </w:tcPr>
          <w:p w14:paraId="28E3FF47" w14:textId="77777777" w:rsidR="00DE59CF" w:rsidRDefault="00DE59CF">
            <w:pPr>
              <w:pStyle w:val="TableSideHeading"/>
            </w:pPr>
          </w:p>
        </w:tc>
        <w:tc>
          <w:tcPr>
            <w:tcW w:w="624" w:type="dxa"/>
          </w:tcPr>
          <w:p w14:paraId="4DC5068E" w14:textId="77777777" w:rsidR="00DE59CF" w:rsidRDefault="00DE59CF">
            <w:pPr>
              <w:pStyle w:val="TableText"/>
            </w:pPr>
          </w:p>
        </w:tc>
        <w:tc>
          <w:tcPr>
            <w:tcW w:w="624" w:type="dxa"/>
          </w:tcPr>
          <w:p w14:paraId="1A996588" w14:textId="77777777" w:rsidR="00DE59CF" w:rsidRDefault="00DE59CF">
            <w:pPr>
              <w:pStyle w:val="TableText"/>
            </w:pPr>
          </w:p>
        </w:tc>
        <w:tc>
          <w:tcPr>
            <w:tcW w:w="6519" w:type="dxa"/>
            <w:hideMark/>
          </w:tcPr>
          <w:p w14:paraId="09D8D41F" w14:textId="77777777" w:rsidR="00DE59CF" w:rsidRDefault="00DE59CF" w:rsidP="00A97362">
            <w:pPr>
              <w:pStyle w:val="TableBlockOutdent"/>
            </w:pPr>
            <w:r>
              <w:rPr>
                <w:sz w:val="26"/>
                <w:rtl/>
              </w:rPr>
              <w:t>(4)</w:t>
            </w:r>
            <w:r>
              <w:rPr>
                <w:sz w:val="26"/>
                <w:rtl/>
              </w:rPr>
              <w:tab/>
              <w:t>מתמטיקה ומדעים;</w:t>
            </w:r>
          </w:p>
        </w:tc>
      </w:tr>
      <w:tr w:rsidR="00DE59CF" w14:paraId="044FA6CF" w14:textId="77777777" w:rsidTr="00A97362">
        <w:trPr>
          <w:cantSplit/>
        </w:trPr>
        <w:tc>
          <w:tcPr>
            <w:tcW w:w="1872" w:type="dxa"/>
          </w:tcPr>
          <w:p w14:paraId="01005C8D" w14:textId="77777777" w:rsidR="00DE59CF" w:rsidRDefault="00DE59CF">
            <w:pPr>
              <w:pStyle w:val="TableSideHeading"/>
            </w:pPr>
          </w:p>
        </w:tc>
        <w:tc>
          <w:tcPr>
            <w:tcW w:w="624" w:type="dxa"/>
          </w:tcPr>
          <w:p w14:paraId="05EB2F8B" w14:textId="77777777" w:rsidR="00DE59CF" w:rsidRDefault="00DE59CF">
            <w:pPr>
              <w:pStyle w:val="TableText"/>
            </w:pPr>
          </w:p>
        </w:tc>
        <w:tc>
          <w:tcPr>
            <w:tcW w:w="624" w:type="dxa"/>
          </w:tcPr>
          <w:p w14:paraId="2A8BA251" w14:textId="77777777" w:rsidR="00DE59CF" w:rsidRDefault="00DE59CF">
            <w:pPr>
              <w:pStyle w:val="TableText"/>
            </w:pPr>
          </w:p>
        </w:tc>
        <w:tc>
          <w:tcPr>
            <w:tcW w:w="6519" w:type="dxa"/>
            <w:hideMark/>
          </w:tcPr>
          <w:p w14:paraId="49DED2F4" w14:textId="77777777" w:rsidR="00DE59CF" w:rsidRDefault="00DE59CF" w:rsidP="00A97362">
            <w:pPr>
              <w:pStyle w:val="TableBlockOutdent"/>
            </w:pPr>
            <w:r>
              <w:rPr>
                <w:sz w:val="26"/>
                <w:rtl/>
              </w:rPr>
              <w:t>(5)</w:t>
            </w:r>
            <w:r>
              <w:rPr>
                <w:sz w:val="26"/>
                <w:rtl/>
              </w:rPr>
              <w:tab/>
              <w:t>אנגלית;</w:t>
            </w:r>
          </w:p>
        </w:tc>
      </w:tr>
      <w:tr w:rsidR="00DE59CF" w14:paraId="13E3A340" w14:textId="77777777" w:rsidTr="00A97362">
        <w:trPr>
          <w:cantSplit/>
        </w:trPr>
        <w:tc>
          <w:tcPr>
            <w:tcW w:w="1872" w:type="dxa"/>
          </w:tcPr>
          <w:p w14:paraId="7EBF0BFE" w14:textId="77777777" w:rsidR="00DE59CF" w:rsidRDefault="00DE59CF">
            <w:pPr>
              <w:pStyle w:val="TableSideHeading"/>
            </w:pPr>
          </w:p>
        </w:tc>
        <w:tc>
          <w:tcPr>
            <w:tcW w:w="624" w:type="dxa"/>
          </w:tcPr>
          <w:p w14:paraId="023C0357" w14:textId="77777777" w:rsidR="00DE59CF" w:rsidRDefault="00DE59CF">
            <w:pPr>
              <w:pStyle w:val="TableText"/>
            </w:pPr>
          </w:p>
        </w:tc>
        <w:tc>
          <w:tcPr>
            <w:tcW w:w="7143" w:type="dxa"/>
            <w:gridSpan w:val="2"/>
            <w:hideMark/>
          </w:tcPr>
          <w:p w14:paraId="5358E204" w14:textId="77777777" w:rsidR="00DE59CF" w:rsidRDefault="00DE59CF" w:rsidP="00A97362">
            <w:pPr>
              <w:pStyle w:val="TableBlockOutdent"/>
              <w:rPr>
                <w:sz w:val="26"/>
              </w:rPr>
            </w:pPr>
            <w:r>
              <w:rPr>
                <w:sz w:val="26"/>
                <w:rtl/>
              </w:rPr>
              <w:t>"השר" – שר החינוך.</w:t>
            </w:r>
          </w:p>
        </w:tc>
      </w:tr>
      <w:tr w:rsidR="00DE59CF" w14:paraId="4C6E834B" w14:textId="77777777" w:rsidTr="00A97362">
        <w:trPr>
          <w:cantSplit/>
        </w:trPr>
        <w:tc>
          <w:tcPr>
            <w:tcW w:w="1872" w:type="dxa"/>
            <w:hideMark/>
          </w:tcPr>
          <w:p w14:paraId="1EFA9908" w14:textId="77777777" w:rsidR="00DE59CF" w:rsidRDefault="00DE59CF">
            <w:pPr>
              <w:pStyle w:val="TableSideHeading"/>
              <w:keepLines w:val="0"/>
              <w:rPr>
                <w:sz w:val="26"/>
              </w:rPr>
            </w:pPr>
            <w:r>
              <w:rPr>
                <w:sz w:val="26"/>
                <w:rtl/>
              </w:rPr>
              <w:t>חובת לימודי ליבה</w:t>
            </w:r>
          </w:p>
        </w:tc>
        <w:tc>
          <w:tcPr>
            <w:tcW w:w="624" w:type="dxa"/>
            <w:hideMark/>
          </w:tcPr>
          <w:p w14:paraId="0ECD8606" w14:textId="77777777" w:rsidR="00DE59CF" w:rsidRDefault="00DE59CF">
            <w:pPr>
              <w:pStyle w:val="TableText"/>
              <w:rPr>
                <w:sz w:val="26"/>
              </w:rPr>
            </w:pPr>
            <w:r>
              <w:rPr>
                <w:sz w:val="26"/>
                <w:rtl/>
              </w:rPr>
              <w:t>2.</w:t>
            </w:r>
          </w:p>
        </w:tc>
        <w:tc>
          <w:tcPr>
            <w:tcW w:w="7143" w:type="dxa"/>
            <w:gridSpan w:val="2"/>
            <w:hideMark/>
          </w:tcPr>
          <w:p w14:paraId="7D9B5DE8" w14:textId="77777777" w:rsidR="00DE59CF" w:rsidRDefault="00DE59CF" w:rsidP="00A97362">
            <w:pPr>
              <w:pStyle w:val="TableBlock"/>
              <w:rPr>
                <w:sz w:val="26"/>
              </w:rPr>
            </w:pPr>
            <w:r>
              <w:rPr>
                <w:sz w:val="26"/>
                <w:rtl/>
              </w:rPr>
              <w:t>מוסד חינוך, שבו נלמדים מקצועות לימודי הליבה ב-75 אחוזים לפחות משעות הלימודים, הוא מוסד המקיים את חובת לימודי הליבה.</w:t>
            </w:r>
          </w:p>
        </w:tc>
      </w:tr>
      <w:tr w:rsidR="00DE59CF" w14:paraId="0CDC9AF4" w14:textId="77777777" w:rsidTr="00A97362">
        <w:trPr>
          <w:cantSplit/>
        </w:trPr>
        <w:tc>
          <w:tcPr>
            <w:tcW w:w="1872" w:type="dxa"/>
            <w:hideMark/>
          </w:tcPr>
          <w:p w14:paraId="46AFB162" w14:textId="77777777" w:rsidR="00DE59CF" w:rsidRDefault="00DE59CF">
            <w:pPr>
              <w:pStyle w:val="TableSideHeading"/>
              <w:keepLines w:val="0"/>
              <w:rPr>
                <w:sz w:val="26"/>
              </w:rPr>
            </w:pPr>
            <w:r>
              <w:rPr>
                <w:sz w:val="26"/>
                <w:rtl/>
              </w:rPr>
              <w:t>תקצוב מוסדות</w:t>
            </w:r>
          </w:p>
        </w:tc>
        <w:tc>
          <w:tcPr>
            <w:tcW w:w="624" w:type="dxa"/>
            <w:hideMark/>
          </w:tcPr>
          <w:p w14:paraId="5D34CDF9" w14:textId="77777777" w:rsidR="00DE59CF" w:rsidRDefault="00DE59CF">
            <w:pPr>
              <w:pStyle w:val="TableText"/>
              <w:keepLines w:val="0"/>
              <w:rPr>
                <w:sz w:val="26"/>
              </w:rPr>
            </w:pPr>
            <w:r>
              <w:rPr>
                <w:sz w:val="26"/>
                <w:rtl/>
              </w:rPr>
              <w:t>3.</w:t>
            </w:r>
          </w:p>
        </w:tc>
        <w:tc>
          <w:tcPr>
            <w:tcW w:w="7143" w:type="dxa"/>
            <w:gridSpan w:val="2"/>
            <w:hideMark/>
          </w:tcPr>
          <w:p w14:paraId="4DCEAD56" w14:textId="77777777" w:rsidR="00DE59CF" w:rsidRDefault="00DE59CF" w:rsidP="00A97362">
            <w:pPr>
              <w:pStyle w:val="TableBlock"/>
              <w:rPr>
                <w:sz w:val="26"/>
              </w:rPr>
            </w:pPr>
            <w:r>
              <w:rPr>
                <w:sz w:val="26"/>
                <w:rtl/>
              </w:rPr>
              <w:t>(א)</w:t>
            </w:r>
            <w:r>
              <w:rPr>
                <w:sz w:val="26"/>
                <w:rtl/>
              </w:rPr>
              <w:tab/>
              <w:t>מוסדות חינוך המקיימים את חובת לימודי הליבה לפי סעיף 2 יתוקצבו בתקציב משרד החינוך, וההשתתפות בתקציבם תהיה כהשתתפות המדינה בתקציביהם של מוסדות חינוך רשמיים דומים.</w:t>
            </w:r>
          </w:p>
        </w:tc>
      </w:tr>
      <w:tr w:rsidR="00DE59CF" w14:paraId="54C3F7D3" w14:textId="77777777" w:rsidTr="00A97362">
        <w:trPr>
          <w:cantSplit/>
        </w:trPr>
        <w:tc>
          <w:tcPr>
            <w:tcW w:w="1872" w:type="dxa"/>
          </w:tcPr>
          <w:p w14:paraId="06314CE6" w14:textId="77777777" w:rsidR="00DE59CF" w:rsidRDefault="00DE59CF">
            <w:pPr>
              <w:pStyle w:val="TableSideHeading"/>
              <w:keepLines w:val="0"/>
              <w:rPr>
                <w:sz w:val="26"/>
              </w:rPr>
            </w:pPr>
          </w:p>
        </w:tc>
        <w:tc>
          <w:tcPr>
            <w:tcW w:w="624" w:type="dxa"/>
          </w:tcPr>
          <w:p w14:paraId="2C5FC742" w14:textId="77777777" w:rsidR="00DE59CF" w:rsidRDefault="00DE59CF">
            <w:pPr>
              <w:pStyle w:val="TableText"/>
              <w:rPr>
                <w:sz w:val="26"/>
              </w:rPr>
            </w:pPr>
          </w:p>
        </w:tc>
        <w:tc>
          <w:tcPr>
            <w:tcW w:w="7143" w:type="dxa"/>
            <w:gridSpan w:val="2"/>
            <w:hideMark/>
          </w:tcPr>
          <w:p w14:paraId="716BEF30" w14:textId="77777777" w:rsidR="00DE59CF" w:rsidRDefault="00DE59CF" w:rsidP="00A97362">
            <w:pPr>
              <w:pStyle w:val="TableBlock"/>
              <w:rPr>
                <w:sz w:val="26"/>
              </w:rPr>
            </w:pPr>
            <w:r>
              <w:rPr>
                <w:sz w:val="26"/>
                <w:rtl/>
              </w:rPr>
              <w:t>(ב)</w:t>
            </w:r>
            <w:r>
              <w:rPr>
                <w:sz w:val="26"/>
                <w:rtl/>
              </w:rPr>
              <w:tab/>
              <w:t>מוסד חינוך שאינו מקיים את חובת לימודי הליבה לא יתוקצב; נוכח השר כי מוסד שתוקצב לפי סעיף קטן (א) אינו מקיים את חובת לימודי הליבה, ישלול השר את השתתפות המדינה בתקציבו או יפחיתה.</w:t>
            </w:r>
          </w:p>
        </w:tc>
      </w:tr>
      <w:tr w:rsidR="00DE59CF" w14:paraId="0B4FF83C" w14:textId="77777777" w:rsidTr="00A97362">
        <w:trPr>
          <w:cantSplit/>
        </w:trPr>
        <w:tc>
          <w:tcPr>
            <w:tcW w:w="1872" w:type="dxa"/>
            <w:hideMark/>
          </w:tcPr>
          <w:p w14:paraId="7D074F5C" w14:textId="77777777" w:rsidR="00DE59CF" w:rsidRDefault="00DE59CF">
            <w:pPr>
              <w:pStyle w:val="TableSideHeading"/>
              <w:keepLines w:val="0"/>
              <w:rPr>
                <w:sz w:val="26"/>
              </w:rPr>
            </w:pPr>
            <w:r>
              <w:rPr>
                <w:sz w:val="26"/>
                <w:rtl/>
              </w:rPr>
              <w:lastRenderedPageBreak/>
              <w:t>ועדת מומחים</w:t>
            </w:r>
          </w:p>
        </w:tc>
        <w:tc>
          <w:tcPr>
            <w:tcW w:w="624" w:type="dxa"/>
            <w:hideMark/>
          </w:tcPr>
          <w:p w14:paraId="1C7C8A57" w14:textId="77777777" w:rsidR="00DE59CF" w:rsidRDefault="00DE59CF">
            <w:pPr>
              <w:pStyle w:val="TableText"/>
              <w:rPr>
                <w:sz w:val="26"/>
              </w:rPr>
            </w:pPr>
            <w:r>
              <w:rPr>
                <w:sz w:val="26"/>
                <w:rtl/>
              </w:rPr>
              <w:t>4.</w:t>
            </w:r>
          </w:p>
        </w:tc>
        <w:tc>
          <w:tcPr>
            <w:tcW w:w="7143" w:type="dxa"/>
            <w:gridSpan w:val="2"/>
            <w:hideMark/>
          </w:tcPr>
          <w:p w14:paraId="70D3E047" w14:textId="77777777" w:rsidR="00DE59CF" w:rsidRDefault="00DE59CF" w:rsidP="00A97362">
            <w:pPr>
              <w:pStyle w:val="TableBlock"/>
              <w:rPr>
                <w:sz w:val="26"/>
              </w:rPr>
            </w:pPr>
            <w:r>
              <w:rPr>
                <w:sz w:val="26"/>
                <w:rtl/>
              </w:rPr>
              <w:t>השר ימנה ועדת מומחים לכל אחד ממקצועות לימודי הליבה, אשר תמליץ לשר בדבר תכנית הלימודים במקצועות כאמור ובדבר קביעת השיעור המתאים של שעות הלימוד בהם; תכנית הלימודים תאושר על ידי המזכירות הפדגוגית של משרד החינוך.</w:t>
            </w:r>
          </w:p>
        </w:tc>
      </w:tr>
      <w:tr w:rsidR="00DE59CF" w14:paraId="6B97B65A" w14:textId="77777777" w:rsidTr="00A97362">
        <w:trPr>
          <w:cantSplit/>
        </w:trPr>
        <w:tc>
          <w:tcPr>
            <w:tcW w:w="1872" w:type="dxa"/>
            <w:hideMark/>
          </w:tcPr>
          <w:p w14:paraId="15F2D3C4" w14:textId="77777777" w:rsidR="00DE59CF" w:rsidRDefault="00DE59CF">
            <w:pPr>
              <w:pStyle w:val="TableSideHeading"/>
              <w:keepLines w:val="0"/>
              <w:rPr>
                <w:sz w:val="26"/>
              </w:rPr>
            </w:pPr>
            <w:r>
              <w:rPr>
                <w:sz w:val="26"/>
                <w:rtl/>
              </w:rPr>
              <w:t>אישור הכנסת לתכנית הלימוד</w:t>
            </w:r>
          </w:p>
        </w:tc>
        <w:tc>
          <w:tcPr>
            <w:tcW w:w="624" w:type="dxa"/>
            <w:hideMark/>
          </w:tcPr>
          <w:p w14:paraId="1FB2C200" w14:textId="77777777" w:rsidR="00DE59CF" w:rsidRDefault="00DE59CF">
            <w:pPr>
              <w:pStyle w:val="TableText"/>
              <w:keepLines w:val="0"/>
              <w:rPr>
                <w:sz w:val="26"/>
              </w:rPr>
            </w:pPr>
            <w:r>
              <w:rPr>
                <w:sz w:val="26"/>
                <w:rtl/>
              </w:rPr>
              <w:t>5.</w:t>
            </w:r>
          </w:p>
        </w:tc>
        <w:tc>
          <w:tcPr>
            <w:tcW w:w="7143" w:type="dxa"/>
            <w:gridSpan w:val="2"/>
            <w:hideMark/>
          </w:tcPr>
          <w:p w14:paraId="27C92B88" w14:textId="77777777" w:rsidR="00DE59CF" w:rsidRDefault="00DE59CF" w:rsidP="00A97362">
            <w:pPr>
              <w:pStyle w:val="TableBlock"/>
              <w:rPr>
                <w:sz w:val="26"/>
              </w:rPr>
            </w:pPr>
            <w:r>
              <w:rPr>
                <w:sz w:val="26"/>
                <w:rtl/>
              </w:rPr>
              <w:t>השר, לאחר התייעצות עם וועדת המומחים, כאמור בסעיף 4, יביא את תכנית הלימודים המומלצת לאישור וועדת החינוך, התרבות והספורט של הכנסת.</w:t>
            </w:r>
          </w:p>
        </w:tc>
      </w:tr>
      <w:tr w:rsidR="00DE59CF" w14:paraId="66D04545" w14:textId="77777777" w:rsidTr="00A97362">
        <w:trPr>
          <w:cantSplit/>
        </w:trPr>
        <w:tc>
          <w:tcPr>
            <w:tcW w:w="1872" w:type="dxa"/>
            <w:hideMark/>
          </w:tcPr>
          <w:p w14:paraId="363B9282" w14:textId="77777777" w:rsidR="00DE59CF" w:rsidRDefault="00DE59CF">
            <w:pPr>
              <w:pStyle w:val="TableSideHeading"/>
              <w:keepLines w:val="0"/>
              <w:rPr>
                <w:sz w:val="26"/>
              </w:rPr>
            </w:pPr>
            <w:r>
              <w:rPr>
                <w:sz w:val="26"/>
                <w:rtl/>
              </w:rPr>
              <w:t>בחינות גמר</w:t>
            </w:r>
          </w:p>
        </w:tc>
        <w:tc>
          <w:tcPr>
            <w:tcW w:w="624" w:type="dxa"/>
            <w:hideMark/>
          </w:tcPr>
          <w:p w14:paraId="267049CA" w14:textId="77777777" w:rsidR="00DE59CF" w:rsidRDefault="00DE59CF">
            <w:pPr>
              <w:pStyle w:val="TableText"/>
              <w:keepLines w:val="0"/>
              <w:rPr>
                <w:sz w:val="26"/>
              </w:rPr>
            </w:pPr>
            <w:r>
              <w:rPr>
                <w:sz w:val="26"/>
                <w:rtl/>
              </w:rPr>
              <w:t>6.</w:t>
            </w:r>
          </w:p>
        </w:tc>
        <w:tc>
          <w:tcPr>
            <w:tcW w:w="7143" w:type="dxa"/>
            <w:gridSpan w:val="2"/>
            <w:hideMark/>
          </w:tcPr>
          <w:p w14:paraId="3CCB8594" w14:textId="77777777" w:rsidR="00DE59CF" w:rsidRDefault="00DE59CF" w:rsidP="00A97362">
            <w:pPr>
              <w:pStyle w:val="TableBlock"/>
              <w:rPr>
                <w:sz w:val="26"/>
              </w:rPr>
            </w:pPr>
            <w:r>
              <w:rPr>
                <w:sz w:val="26"/>
                <w:rtl/>
              </w:rPr>
              <w:t xml:space="preserve">משרד החינוך יקבע בחינות גמר בכל אחד ממקצועות הליבה אליהם יחויבו לגשת תלמידי מוסדות החינוך המקיימים את חובת לימודי הליבה לפי סעיף 2; לבחינות גמר יחויב לגשת כל תלמיד שאינו נבחן בבחינת בגרות באחד ממקצועות הליבה. </w:t>
            </w:r>
          </w:p>
        </w:tc>
      </w:tr>
      <w:tr w:rsidR="00DE59CF" w14:paraId="1ED9F50B" w14:textId="77777777" w:rsidTr="00A97362">
        <w:trPr>
          <w:cantSplit/>
        </w:trPr>
        <w:tc>
          <w:tcPr>
            <w:tcW w:w="1872" w:type="dxa"/>
            <w:hideMark/>
          </w:tcPr>
          <w:p w14:paraId="5EFE6558" w14:textId="77777777" w:rsidR="00DE59CF" w:rsidRDefault="00DE59CF">
            <w:pPr>
              <w:pStyle w:val="TableSideHeading"/>
              <w:keepLines w:val="0"/>
              <w:rPr>
                <w:sz w:val="26"/>
              </w:rPr>
            </w:pPr>
            <w:r>
              <w:rPr>
                <w:sz w:val="26"/>
                <w:rtl/>
              </w:rPr>
              <w:t>התאמה לבתי הספר הממלכתיים במגזר הערבי</w:t>
            </w:r>
          </w:p>
        </w:tc>
        <w:tc>
          <w:tcPr>
            <w:tcW w:w="624" w:type="dxa"/>
            <w:hideMark/>
          </w:tcPr>
          <w:p w14:paraId="6082D5C8" w14:textId="77777777" w:rsidR="00DE59CF" w:rsidRDefault="00DE59CF">
            <w:pPr>
              <w:pStyle w:val="TableText"/>
              <w:keepLines w:val="0"/>
              <w:rPr>
                <w:sz w:val="26"/>
              </w:rPr>
            </w:pPr>
            <w:r>
              <w:rPr>
                <w:sz w:val="26"/>
                <w:rtl/>
              </w:rPr>
              <w:t>7.</w:t>
            </w:r>
          </w:p>
        </w:tc>
        <w:tc>
          <w:tcPr>
            <w:tcW w:w="7143" w:type="dxa"/>
            <w:gridSpan w:val="2"/>
            <w:hideMark/>
          </w:tcPr>
          <w:p w14:paraId="16503A51" w14:textId="77777777" w:rsidR="00DE59CF" w:rsidRDefault="00DE59CF" w:rsidP="00A97362">
            <w:pPr>
              <w:pStyle w:val="TableBlock"/>
              <w:rPr>
                <w:sz w:val="26"/>
              </w:rPr>
            </w:pPr>
            <w:r>
              <w:rPr>
                <w:sz w:val="26"/>
                <w:rtl/>
              </w:rPr>
              <w:t>במגזר הערבי, במקום לימודי מורשת ישראל, ילמדו לימודי מורשת ומסורת ערבית, ובמקום לימודי תנ"ך ילמדו לימודי קודש בנצרות או באסלאם, והכל בהתאם לאמונתו הדתית של התלמיד.</w:t>
            </w:r>
          </w:p>
        </w:tc>
      </w:tr>
      <w:tr w:rsidR="00DE59CF" w14:paraId="6718AE36" w14:textId="77777777" w:rsidTr="00A97362">
        <w:trPr>
          <w:cantSplit/>
        </w:trPr>
        <w:tc>
          <w:tcPr>
            <w:tcW w:w="1872" w:type="dxa"/>
            <w:hideMark/>
          </w:tcPr>
          <w:p w14:paraId="2A9A62A4" w14:textId="77777777" w:rsidR="00DE59CF" w:rsidRDefault="00DE59CF">
            <w:pPr>
              <w:pStyle w:val="TableSideHeading"/>
              <w:keepLines w:val="0"/>
              <w:rPr>
                <w:sz w:val="26"/>
              </w:rPr>
            </w:pPr>
            <w:r>
              <w:rPr>
                <w:sz w:val="26"/>
                <w:rtl/>
              </w:rPr>
              <w:t>תיקון חוק חינוך ממלכתי</w:t>
            </w:r>
          </w:p>
        </w:tc>
        <w:tc>
          <w:tcPr>
            <w:tcW w:w="624" w:type="dxa"/>
            <w:hideMark/>
          </w:tcPr>
          <w:p w14:paraId="7FC6F787" w14:textId="77777777" w:rsidR="00DE59CF" w:rsidRDefault="00DE59CF">
            <w:pPr>
              <w:pStyle w:val="TableText"/>
              <w:keepLines w:val="0"/>
              <w:rPr>
                <w:sz w:val="26"/>
              </w:rPr>
            </w:pPr>
            <w:r>
              <w:rPr>
                <w:sz w:val="26"/>
                <w:rtl/>
              </w:rPr>
              <w:t>8.</w:t>
            </w:r>
          </w:p>
        </w:tc>
        <w:tc>
          <w:tcPr>
            <w:tcW w:w="7143" w:type="dxa"/>
            <w:gridSpan w:val="2"/>
            <w:hideMark/>
          </w:tcPr>
          <w:p w14:paraId="0F1300F7" w14:textId="0E6BBB58" w:rsidR="00DE59CF" w:rsidRDefault="00DE59CF" w:rsidP="00993125">
            <w:pPr>
              <w:pStyle w:val="TableBlock"/>
              <w:rPr>
                <w:sz w:val="26"/>
              </w:rPr>
            </w:pPr>
            <w:r>
              <w:rPr>
                <w:sz w:val="26"/>
                <w:rtl/>
              </w:rPr>
              <w:t xml:space="preserve">בחוק חינוך ממלכתי, </w:t>
            </w:r>
            <w:proofErr w:type="spellStart"/>
            <w:r>
              <w:rPr>
                <w:sz w:val="26"/>
                <w:rtl/>
              </w:rPr>
              <w:t>התשי"ג</w:t>
            </w:r>
            <w:proofErr w:type="spellEnd"/>
            <w:r>
              <w:rPr>
                <w:sz w:val="26"/>
                <w:rtl/>
              </w:rPr>
              <w:t>–1953</w:t>
            </w:r>
            <w:r w:rsidRPr="00A97362">
              <w:rPr>
                <w:rStyle w:val="a6"/>
                <w:rFonts w:ascii="David" w:hAnsi="David"/>
                <w:sz w:val="26"/>
                <w:rtl/>
              </w:rPr>
              <w:footnoteReference w:id="3"/>
            </w:r>
            <w:r>
              <w:rPr>
                <w:sz w:val="26"/>
                <w:rtl/>
              </w:rPr>
              <w:t xml:space="preserve">, בסעיף 11, בסופו יבוא "בכפוף לחוק לימודי יסוד במערכת החינוך, </w:t>
            </w:r>
            <w:proofErr w:type="spellStart"/>
            <w:r>
              <w:rPr>
                <w:sz w:val="26"/>
                <w:rtl/>
              </w:rPr>
              <w:t>התש</w:t>
            </w:r>
            <w:r w:rsidR="00993125">
              <w:rPr>
                <w:rFonts w:hint="cs"/>
                <w:sz w:val="26"/>
                <w:rtl/>
              </w:rPr>
              <w:t>"ף</w:t>
            </w:r>
            <w:proofErr w:type="spellEnd"/>
            <w:r>
              <w:rPr>
                <w:sz w:val="26"/>
                <w:rtl/>
              </w:rPr>
              <w:t>–201</w:t>
            </w:r>
            <w:r w:rsidR="00993125">
              <w:rPr>
                <w:rFonts w:hint="cs"/>
                <w:sz w:val="26"/>
                <w:rtl/>
              </w:rPr>
              <w:t>9</w:t>
            </w:r>
            <w:r>
              <w:rPr>
                <w:sz w:val="26"/>
                <w:rtl/>
              </w:rPr>
              <w:t>".</w:t>
            </w:r>
          </w:p>
        </w:tc>
      </w:tr>
      <w:tr w:rsidR="00DE59CF" w14:paraId="1AF33FB1" w14:textId="77777777" w:rsidTr="00A97362">
        <w:trPr>
          <w:cantSplit/>
        </w:trPr>
        <w:tc>
          <w:tcPr>
            <w:tcW w:w="1872" w:type="dxa"/>
            <w:hideMark/>
          </w:tcPr>
          <w:p w14:paraId="38E04D72" w14:textId="77777777" w:rsidR="00DE59CF" w:rsidRDefault="00DE59CF">
            <w:pPr>
              <w:pStyle w:val="TableSideHeading"/>
              <w:keepLines w:val="0"/>
              <w:rPr>
                <w:sz w:val="26"/>
              </w:rPr>
            </w:pPr>
            <w:r>
              <w:rPr>
                <w:sz w:val="26"/>
                <w:rtl/>
              </w:rPr>
              <w:t>ביטול חוק מוסדות חינוך תרבותיים ייחודיים</w:t>
            </w:r>
          </w:p>
        </w:tc>
        <w:tc>
          <w:tcPr>
            <w:tcW w:w="624" w:type="dxa"/>
            <w:hideMark/>
          </w:tcPr>
          <w:p w14:paraId="1007E39C" w14:textId="77777777" w:rsidR="00DE59CF" w:rsidRDefault="00DE59CF">
            <w:pPr>
              <w:pStyle w:val="TableText"/>
              <w:keepLines w:val="0"/>
              <w:rPr>
                <w:sz w:val="26"/>
              </w:rPr>
            </w:pPr>
            <w:r>
              <w:rPr>
                <w:sz w:val="26"/>
                <w:rtl/>
              </w:rPr>
              <w:t>9.</w:t>
            </w:r>
          </w:p>
        </w:tc>
        <w:tc>
          <w:tcPr>
            <w:tcW w:w="7143" w:type="dxa"/>
            <w:gridSpan w:val="2"/>
            <w:hideMark/>
          </w:tcPr>
          <w:p w14:paraId="19B39F4E" w14:textId="77777777" w:rsidR="00DE59CF" w:rsidRDefault="00DE59CF" w:rsidP="00A97362">
            <w:pPr>
              <w:pStyle w:val="TableBlock"/>
              <w:rPr>
                <w:sz w:val="26"/>
              </w:rPr>
            </w:pPr>
            <w:r>
              <w:rPr>
                <w:sz w:val="26"/>
                <w:rtl/>
              </w:rPr>
              <w:t xml:space="preserve">חוק מוסדות חינוך תרבותיים ייחודיים, </w:t>
            </w:r>
            <w:proofErr w:type="spellStart"/>
            <w:r>
              <w:rPr>
                <w:sz w:val="26"/>
                <w:rtl/>
              </w:rPr>
              <w:t>התשס"ח</w:t>
            </w:r>
            <w:proofErr w:type="spellEnd"/>
            <w:r>
              <w:rPr>
                <w:sz w:val="26"/>
                <w:rtl/>
              </w:rPr>
              <w:t>–2008</w:t>
            </w:r>
            <w:r w:rsidRPr="00A97362">
              <w:rPr>
                <w:rStyle w:val="a6"/>
                <w:rFonts w:ascii="David" w:hAnsi="David"/>
                <w:sz w:val="26"/>
              </w:rPr>
              <w:footnoteReference w:id="4"/>
            </w:r>
            <w:r>
              <w:rPr>
                <w:sz w:val="26"/>
                <w:rtl/>
              </w:rPr>
              <w:t xml:space="preserve"> – בטל.</w:t>
            </w:r>
          </w:p>
        </w:tc>
      </w:tr>
      <w:tr w:rsidR="00DE59CF" w14:paraId="500C0885" w14:textId="77777777" w:rsidTr="00A97362">
        <w:trPr>
          <w:cantSplit/>
        </w:trPr>
        <w:tc>
          <w:tcPr>
            <w:tcW w:w="1872" w:type="dxa"/>
            <w:hideMark/>
          </w:tcPr>
          <w:p w14:paraId="00DF204D" w14:textId="77777777" w:rsidR="00DE59CF" w:rsidRDefault="00DE59CF">
            <w:pPr>
              <w:pStyle w:val="TableSideHeading"/>
              <w:keepLines w:val="0"/>
              <w:rPr>
                <w:sz w:val="26"/>
              </w:rPr>
            </w:pPr>
            <w:r>
              <w:rPr>
                <w:sz w:val="26"/>
                <w:rtl/>
              </w:rPr>
              <w:t>תחילה</w:t>
            </w:r>
          </w:p>
        </w:tc>
        <w:tc>
          <w:tcPr>
            <w:tcW w:w="624" w:type="dxa"/>
            <w:hideMark/>
          </w:tcPr>
          <w:p w14:paraId="0AE6E9E4" w14:textId="77777777" w:rsidR="00DE59CF" w:rsidRDefault="00DE59CF">
            <w:pPr>
              <w:pStyle w:val="TableText"/>
              <w:keepLines w:val="0"/>
              <w:rPr>
                <w:sz w:val="26"/>
              </w:rPr>
            </w:pPr>
            <w:r>
              <w:rPr>
                <w:sz w:val="26"/>
                <w:rtl/>
              </w:rPr>
              <w:t>10.</w:t>
            </w:r>
          </w:p>
        </w:tc>
        <w:tc>
          <w:tcPr>
            <w:tcW w:w="7143" w:type="dxa"/>
            <w:gridSpan w:val="2"/>
            <w:hideMark/>
          </w:tcPr>
          <w:p w14:paraId="57A780FB" w14:textId="27497619" w:rsidR="00DE59CF" w:rsidRDefault="00DE59CF" w:rsidP="00C4005B">
            <w:pPr>
              <w:pStyle w:val="TableBlock"/>
              <w:rPr>
                <w:sz w:val="26"/>
              </w:rPr>
            </w:pPr>
            <w:r>
              <w:rPr>
                <w:sz w:val="26"/>
                <w:rtl/>
              </w:rPr>
              <w:t xml:space="preserve">תחילתו של חוק זה בשנת הלימודים </w:t>
            </w:r>
            <w:proofErr w:type="spellStart"/>
            <w:r>
              <w:rPr>
                <w:sz w:val="26"/>
                <w:rtl/>
              </w:rPr>
              <w:t>התש</w:t>
            </w:r>
            <w:r w:rsidR="00C4005B">
              <w:rPr>
                <w:rFonts w:hint="cs"/>
                <w:sz w:val="26"/>
                <w:rtl/>
              </w:rPr>
              <w:t>"ף</w:t>
            </w:r>
            <w:proofErr w:type="spellEnd"/>
            <w:r>
              <w:rPr>
                <w:sz w:val="26"/>
                <w:rtl/>
              </w:rPr>
              <w:t>.</w:t>
            </w:r>
          </w:p>
        </w:tc>
      </w:tr>
    </w:tbl>
    <w:p w14:paraId="7F6961CA" w14:textId="77777777" w:rsidR="002D1EE3" w:rsidRPr="00A97362" w:rsidRDefault="002D1EE3" w:rsidP="00A97362">
      <w:pPr>
        <w:pStyle w:val="HeadDivreiHesber"/>
        <w:rPr>
          <w:rtl/>
        </w:rPr>
      </w:pPr>
      <w:r w:rsidRPr="00A97362">
        <w:rPr>
          <w:rFonts w:hint="cs"/>
          <w:rtl/>
        </w:rPr>
        <w:t>דברי הסבר</w:t>
      </w:r>
    </w:p>
    <w:p w14:paraId="1739A578" w14:textId="77777777" w:rsidR="00DE59CF" w:rsidRPr="00A97362" w:rsidRDefault="00DE59CF" w:rsidP="00A97362">
      <w:pPr>
        <w:pStyle w:val="Hesber"/>
      </w:pPr>
      <w:r w:rsidRPr="00A97362">
        <w:rPr>
          <w:rtl/>
        </w:rPr>
        <w:t xml:space="preserve">לימודי הליבה נועדו לייצר תשתית חינוכית משותפת לכל בוגר של מערכת החינוך בישראל. </w:t>
      </w:r>
    </w:p>
    <w:p w14:paraId="198DBD38" w14:textId="77777777" w:rsidR="00DE59CF" w:rsidRPr="00A97362" w:rsidRDefault="00DE59CF" w:rsidP="00A97362">
      <w:pPr>
        <w:pStyle w:val="Hesber"/>
        <w:rPr>
          <w:rtl/>
        </w:rPr>
      </w:pPr>
      <w:r w:rsidRPr="00A97362">
        <w:rPr>
          <w:rtl/>
        </w:rPr>
        <w:t xml:space="preserve">מערכת החינוך במדינת ישראל סובלת משסעים חריפים ומפערים גדולים בתכני הלימוד בין מגזרים שונים. </w:t>
      </w:r>
    </w:p>
    <w:p w14:paraId="6DA0D1E7" w14:textId="77777777" w:rsidR="00DE59CF" w:rsidRPr="00A97362" w:rsidRDefault="00DE59CF" w:rsidP="00A97362">
      <w:pPr>
        <w:pStyle w:val="Hesber"/>
        <w:rPr>
          <w:rtl/>
        </w:rPr>
      </w:pPr>
      <w:r w:rsidRPr="00A97362">
        <w:rPr>
          <w:rtl/>
        </w:rPr>
        <w:t xml:space="preserve">לימודי הליבה הם המטען הערכי, התרבותי והאינטלקטואלי שעל כל תלמיד לשאת </w:t>
      </w:r>
      <w:proofErr w:type="spellStart"/>
      <w:r w:rsidRPr="00A97362">
        <w:rPr>
          <w:rtl/>
        </w:rPr>
        <w:t>איתו</w:t>
      </w:r>
      <w:proofErr w:type="spellEnd"/>
      <w:r w:rsidRPr="00A97362">
        <w:rPr>
          <w:rtl/>
        </w:rPr>
        <w:t xml:space="preserve"> בדרך להיותו אזרח בוגר ותורם לחברה הישראלית.</w:t>
      </w:r>
    </w:p>
    <w:p w14:paraId="4DA16C79" w14:textId="77777777" w:rsidR="00DE59CF" w:rsidRPr="00A97362" w:rsidRDefault="00DE59CF" w:rsidP="00A97362">
      <w:pPr>
        <w:pStyle w:val="Hesber"/>
        <w:rPr>
          <w:rtl/>
        </w:rPr>
      </w:pPr>
      <w:r w:rsidRPr="00A97362">
        <w:rPr>
          <w:rtl/>
        </w:rPr>
        <w:t>הצעת החוק אינה עומדת בסתירה לעיקרון האוטונומיה של כל זרם במערכת החינוך, והיא עומדת בהתאמה לעיקרון שעוגן עם קום המדינה בהסכם הסטטוס קוו, ולפיו "תובטח אוטונומיה מלאה של כל זרם בחינוך, והמדינה תקבע את המינימום של לימודי חובה: הלשון העברית, היסטוריה, מדעים וכדו'..."</w:t>
      </w:r>
    </w:p>
    <w:p w14:paraId="44CB4AFA" w14:textId="77777777" w:rsidR="00DE59CF" w:rsidRPr="00A97362" w:rsidRDefault="00DE59CF" w:rsidP="00A97362">
      <w:pPr>
        <w:pStyle w:val="Hesber"/>
        <w:rPr>
          <w:rtl/>
        </w:rPr>
      </w:pPr>
      <w:r w:rsidRPr="00A97362">
        <w:rPr>
          <w:rtl/>
        </w:rPr>
        <w:lastRenderedPageBreak/>
        <w:t xml:space="preserve">בית המשפט העליון קבע אף הוא את החשיבות שבלימודי הליבה: "לימודי הליבה נועדו להשיג שתי מטרות עיקריות: האחת להוות חוליה מקשרת בין כל פלגי העם וכל מגזריו כדי ליצור מכנה משותף בסיסי, שהוא חיוני ליצירת הרמוניה בין הרבדים האנושיים השונים של החברה, השנייה, לתת בידי כל ילד בישראל כלים בסיסיים להתמודד עם החיים ולממש את הזכות לשוויון הזדמנויות בפיתוח אישיותו ועצמיותו, של כל צעיר, כדי להשתלב בשוק העבודה" (בג"ץ 4805/07 המרכז לפלורליזם יהודי נגד משרד החינוך). </w:t>
      </w:r>
    </w:p>
    <w:p w14:paraId="46083DAC" w14:textId="77777777" w:rsidR="00DE59CF" w:rsidRPr="00A97362" w:rsidRDefault="00DE59CF" w:rsidP="00A97362">
      <w:pPr>
        <w:pStyle w:val="Hesber"/>
        <w:rPr>
          <w:rtl/>
        </w:rPr>
      </w:pPr>
      <w:r w:rsidRPr="00A97362">
        <w:rPr>
          <w:rtl/>
        </w:rPr>
        <w:t>למרות חשיבות העניין, באופן מעשי נחקק בשנת 2008 חוק הקובע פטור מלימודי ליבה למוסדות תורניים ייחודיים, בלי שהדבר פוגע בתקצובם. מציאות זו, של מוסדות חינוך שאינם מקנים ידע, ומיומנויות בסיס לבוגריהם, בחסות המדינה, פוגעת הן באוכלוסיות הפוטרות עצמן מלימודי ליבה, והן בחוסנה האזרחי של מדינת ישראל לאורך זמן.</w:t>
      </w:r>
    </w:p>
    <w:p w14:paraId="4532DC0E" w14:textId="77777777" w:rsidR="00DE59CF" w:rsidRPr="00A97362" w:rsidRDefault="00DE59CF" w:rsidP="00A97362">
      <w:pPr>
        <w:pStyle w:val="Hesber"/>
        <w:rPr>
          <w:rtl/>
        </w:rPr>
      </w:pPr>
      <w:r w:rsidRPr="00A97362">
        <w:rPr>
          <w:rtl/>
        </w:rPr>
        <w:t>חקיקה זו אינה ראויה, והצעת חוק זו באה לבטל אותה ולעגן חובת לימודי יסוד, כדי לקבל תקצוב מהמדינה.</w:t>
      </w:r>
    </w:p>
    <w:p w14:paraId="35B8EA96" w14:textId="567C30E2" w:rsidR="00E53A32" w:rsidRPr="00A97362" w:rsidRDefault="00E53A32" w:rsidP="006F3CC8">
      <w:pPr>
        <w:pStyle w:val="Hesber"/>
        <w:rPr>
          <w:rtl/>
        </w:rPr>
      </w:pPr>
      <w:r w:rsidRPr="00A97362">
        <w:rPr>
          <w:rtl/>
        </w:rPr>
        <w:t>הצעות חוק זהות הונחו על שולחן הכנסת השמונה-עשרה על ידי חבר</w:t>
      </w:r>
      <w:r w:rsidR="006F3CC8">
        <w:rPr>
          <w:rtl/>
        </w:rPr>
        <w:t xml:space="preserve"> הכנסת ניצן הורוביץ (פ/2677/18)</w:t>
      </w:r>
      <w:r w:rsidR="006F3CC8">
        <w:rPr>
          <w:rFonts w:hint="cs"/>
          <w:rtl/>
        </w:rPr>
        <w:t xml:space="preserve">, </w:t>
      </w:r>
      <w:r w:rsidRPr="00A97362">
        <w:rPr>
          <w:rtl/>
        </w:rPr>
        <w:t>על שולחן הכנסת התשע-עשרה על ידי חבר הכנסת ניצן הורוביץ וקבוצת חברי הכנסת (</w:t>
      </w:r>
      <w:r w:rsidR="006F3CC8">
        <w:rPr>
          <w:rtl/>
        </w:rPr>
        <w:t>פ/408/19)</w:t>
      </w:r>
      <w:r w:rsidRPr="00A97362">
        <w:rPr>
          <w:rtl/>
        </w:rPr>
        <w:t xml:space="preserve"> ועל שולחן הכנסת העשרים על ידי חברת הכנסת זהבה גלאון וקבוצת חברי הכנסת (פ/41/20)</w:t>
      </w:r>
      <w:r w:rsidRPr="00A97362">
        <w:rPr>
          <w:rFonts w:hint="cs"/>
          <w:rtl/>
        </w:rPr>
        <w:t xml:space="preserve"> ועל ידי חברת הכנסת מרב מיכאלי (</w:t>
      </w:r>
      <w:r w:rsidRPr="00A97362">
        <w:rPr>
          <w:rtl/>
        </w:rPr>
        <w:t>פ/639/20</w:t>
      </w:r>
      <w:r w:rsidRPr="00A97362">
        <w:rPr>
          <w:rFonts w:hint="cs"/>
          <w:rtl/>
        </w:rPr>
        <w:t>).</w:t>
      </w:r>
    </w:p>
    <w:p w14:paraId="4B30E67E" w14:textId="2BB1FECD" w:rsidR="00DE59CF" w:rsidRDefault="00DE59CF" w:rsidP="006F3CC8">
      <w:pPr>
        <w:pStyle w:val="Hesber"/>
        <w:rPr>
          <w:rtl/>
        </w:rPr>
      </w:pPr>
      <w:r w:rsidRPr="00A97362">
        <w:rPr>
          <w:rtl/>
        </w:rPr>
        <w:t xml:space="preserve">הצעות חוק דומות בעיקרן הונחו על שולחן הכנסת השמונה-עשרה על ידי חברת הכנסת ציפי </w:t>
      </w:r>
      <w:proofErr w:type="spellStart"/>
      <w:r w:rsidRPr="00A97362">
        <w:rPr>
          <w:rtl/>
        </w:rPr>
        <w:t>חוטוב</w:t>
      </w:r>
      <w:r w:rsidR="006F3CC8">
        <w:rPr>
          <w:rtl/>
        </w:rPr>
        <w:t>לי</w:t>
      </w:r>
      <w:proofErr w:type="spellEnd"/>
      <w:r w:rsidR="006F3CC8">
        <w:rPr>
          <w:rtl/>
        </w:rPr>
        <w:t xml:space="preserve"> וקבוצת חברי כנסת (פ/2611/18)</w:t>
      </w:r>
      <w:r w:rsidRPr="00A97362">
        <w:rPr>
          <w:rtl/>
        </w:rPr>
        <w:t xml:space="preserve"> ועל ידי חבר הכנסת מאיר שטרית וקבוצת חברי הכנסת (פ/2942/18; הוסרה מסדר היום ביום י"ד באייר </w:t>
      </w:r>
      <w:proofErr w:type="spellStart"/>
      <w:r w:rsidRPr="00A97362">
        <w:rPr>
          <w:rtl/>
        </w:rPr>
        <w:t>התש</w:t>
      </w:r>
      <w:r w:rsidR="00046035">
        <w:rPr>
          <w:rtl/>
        </w:rPr>
        <w:t>ע"א</w:t>
      </w:r>
      <w:proofErr w:type="spellEnd"/>
      <w:r w:rsidR="00046035">
        <w:rPr>
          <w:rtl/>
        </w:rPr>
        <w:t xml:space="preserve"> (18 במאי 2011); פ/3610/18)</w:t>
      </w:r>
      <w:r w:rsidR="006F3CC8">
        <w:rPr>
          <w:rFonts w:hint="cs"/>
          <w:rtl/>
        </w:rPr>
        <w:t xml:space="preserve">, על שולחן הכנסת העשרים ואחת על ידי חברת הכנסת מיכל </w:t>
      </w:r>
      <w:proofErr w:type="spellStart"/>
      <w:r w:rsidR="006F3CC8">
        <w:rPr>
          <w:rFonts w:hint="cs"/>
          <w:rtl/>
        </w:rPr>
        <w:t>רוזין</w:t>
      </w:r>
      <w:proofErr w:type="spellEnd"/>
      <w:r w:rsidR="006F3CC8">
        <w:rPr>
          <w:rFonts w:hint="cs"/>
          <w:rtl/>
        </w:rPr>
        <w:t xml:space="preserve"> וקבוצת חברי הכנסת (פ/265/21)</w:t>
      </w:r>
      <w:r w:rsidR="00046035">
        <w:rPr>
          <w:rFonts w:hint="cs"/>
          <w:rtl/>
        </w:rPr>
        <w:t xml:space="preserve"> ועל שולחן הכנסת העשרים ושתיים על ידי חבר הכנסת איתן </w:t>
      </w:r>
      <w:proofErr w:type="spellStart"/>
      <w:r w:rsidR="00046035">
        <w:rPr>
          <w:rFonts w:hint="cs"/>
          <w:rtl/>
        </w:rPr>
        <w:t>גינזבורג</w:t>
      </w:r>
      <w:proofErr w:type="spellEnd"/>
      <w:r w:rsidR="00046035">
        <w:rPr>
          <w:rFonts w:hint="cs"/>
          <w:rtl/>
        </w:rPr>
        <w:t xml:space="preserve"> (פ/84/22)</w:t>
      </w:r>
      <w:r w:rsidR="006F3CC8">
        <w:rPr>
          <w:rFonts w:hint="cs"/>
          <w:rtl/>
        </w:rPr>
        <w:t xml:space="preserve">. </w:t>
      </w:r>
    </w:p>
    <w:p w14:paraId="5EFA6AC8" w14:textId="77777777" w:rsidR="00993125" w:rsidRDefault="00993125" w:rsidP="00993125">
      <w:pPr>
        <w:pStyle w:val="Hesber"/>
        <w:ind w:firstLine="0"/>
        <w:rPr>
          <w:rtl/>
        </w:rPr>
      </w:pPr>
    </w:p>
    <w:p w14:paraId="47DF5731" w14:textId="77777777" w:rsidR="00993125" w:rsidRDefault="00993125" w:rsidP="00993125">
      <w:pPr>
        <w:pStyle w:val="Hesber"/>
        <w:ind w:firstLine="0"/>
        <w:rPr>
          <w:rtl/>
        </w:rPr>
      </w:pPr>
    </w:p>
    <w:p w14:paraId="5E20D927" w14:textId="77777777" w:rsidR="00993125" w:rsidRDefault="00993125" w:rsidP="00993125">
      <w:pPr>
        <w:pStyle w:val="Hesber"/>
        <w:ind w:firstLine="0"/>
        <w:rPr>
          <w:rtl/>
        </w:rPr>
      </w:pPr>
    </w:p>
    <w:p w14:paraId="20DCF391" w14:textId="77777777" w:rsidR="00993125" w:rsidRPr="00D73212" w:rsidRDefault="00993125" w:rsidP="00993125">
      <w:pPr>
        <w:pStyle w:val="Hesber"/>
        <w:ind w:firstLine="0"/>
        <w:rPr>
          <w:rtl/>
        </w:rPr>
      </w:pPr>
      <w:r w:rsidRPr="00D73212">
        <w:rPr>
          <w:rtl/>
        </w:rPr>
        <w:t>---------------------------------</w:t>
      </w:r>
    </w:p>
    <w:p w14:paraId="5778C5EF" w14:textId="77777777" w:rsidR="00993125" w:rsidRPr="00D73212" w:rsidRDefault="00993125" w:rsidP="00993125">
      <w:pPr>
        <w:pStyle w:val="Hesber"/>
        <w:ind w:firstLine="0"/>
        <w:rPr>
          <w:rtl/>
        </w:rPr>
      </w:pPr>
      <w:r w:rsidRPr="00D73212">
        <w:rPr>
          <w:rFonts w:hint="cs"/>
          <w:rtl/>
        </w:rPr>
        <w:t>הוגשה</w:t>
      </w:r>
      <w:r w:rsidRPr="00D73212">
        <w:rPr>
          <w:rtl/>
        </w:rPr>
        <w:t xml:space="preserve"> </w:t>
      </w:r>
      <w:r w:rsidRPr="00D73212">
        <w:rPr>
          <w:rFonts w:hint="cs"/>
          <w:rtl/>
        </w:rPr>
        <w:t>ליו</w:t>
      </w:r>
      <w:r w:rsidRPr="00D73212">
        <w:rPr>
          <w:rtl/>
        </w:rPr>
        <w:t>"</w:t>
      </w:r>
      <w:r w:rsidRPr="00D73212">
        <w:rPr>
          <w:rFonts w:hint="cs"/>
          <w:rtl/>
        </w:rPr>
        <w:t>ר</w:t>
      </w:r>
      <w:r w:rsidRPr="00D73212">
        <w:rPr>
          <w:rtl/>
        </w:rPr>
        <w:t xml:space="preserve"> </w:t>
      </w:r>
      <w:r w:rsidRPr="00D73212">
        <w:rPr>
          <w:rFonts w:hint="cs"/>
          <w:rtl/>
        </w:rPr>
        <w:t>הכנסת</w:t>
      </w:r>
      <w:r w:rsidRPr="00D73212">
        <w:rPr>
          <w:rtl/>
        </w:rPr>
        <w:t xml:space="preserve"> </w:t>
      </w:r>
      <w:r w:rsidRPr="00D73212">
        <w:rPr>
          <w:rFonts w:hint="cs"/>
          <w:rtl/>
        </w:rPr>
        <w:t>והסגנים</w:t>
      </w:r>
    </w:p>
    <w:p w14:paraId="4F4E4DDF" w14:textId="77777777" w:rsidR="00993125" w:rsidRPr="00D73212" w:rsidRDefault="00993125" w:rsidP="00993125">
      <w:pPr>
        <w:pStyle w:val="Hesber"/>
        <w:ind w:firstLine="0"/>
        <w:rPr>
          <w:rtl/>
        </w:rPr>
      </w:pPr>
      <w:r w:rsidRPr="00D73212">
        <w:rPr>
          <w:rFonts w:hint="cs"/>
          <w:rtl/>
        </w:rPr>
        <w:t>והונחה</w:t>
      </w:r>
      <w:r w:rsidRPr="00D73212">
        <w:rPr>
          <w:rtl/>
        </w:rPr>
        <w:t xml:space="preserve"> </w:t>
      </w:r>
      <w:r w:rsidRPr="00D73212">
        <w:rPr>
          <w:rFonts w:hint="cs"/>
          <w:rtl/>
        </w:rPr>
        <w:t>על</w:t>
      </w:r>
      <w:r w:rsidRPr="00D73212">
        <w:rPr>
          <w:rtl/>
        </w:rPr>
        <w:t xml:space="preserve"> </w:t>
      </w:r>
      <w:r w:rsidRPr="00D73212">
        <w:rPr>
          <w:rFonts w:hint="cs"/>
          <w:rtl/>
        </w:rPr>
        <w:t>שולחן</w:t>
      </w:r>
      <w:r w:rsidRPr="00D73212">
        <w:rPr>
          <w:rtl/>
        </w:rPr>
        <w:t xml:space="preserve"> </w:t>
      </w:r>
      <w:r w:rsidRPr="00D73212">
        <w:rPr>
          <w:rFonts w:hint="cs"/>
          <w:rtl/>
        </w:rPr>
        <w:t>הכנסת</w:t>
      </w:r>
      <w:r w:rsidRPr="00D73212">
        <w:rPr>
          <w:rtl/>
        </w:rPr>
        <w:t xml:space="preserve"> </w:t>
      </w:r>
      <w:r w:rsidRPr="00D73212">
        <w:rPr>
          <w:rFonts w:hint="cs"/>
          <w:rtl/>
        </w:rPr>
        <w:t>ביום</w:t>
      </w:r>
    </w:p>
    <w:p w14:paraId="7F6961CB" w14:textId="6CDA7542" w:rsidR="00E13C27" w:rsidRPr="00A97362" w:rsidRDefault="00993125" w:rsidP="00FA4512">
      <w:pPr>
        <w:pStyle w:val="Hesber"/>
        <w:ind w:firstLine="0"/>
        <w:rPr>
          <w:rtl/>
        </w:rPr>
      </w:pPr>
      <w:r>
        <w:rPr>
          <w:rFonts w:hint="cs"/>
          <w:rtl/>
        </w:rPr>
        <w:t xml:space="preserve">י"א בכסלו </w:t>
      </w:r>
      <w:proofErr w:type="spellStart"/>
      <w:r w:rsidRPr="00D73212">
        <w:rPr>
          <w:rFonts w:hint="cs"/>
          <w:rtl/>
        </w:rPr>
        <w:t>התש</w:t>
      </w:r>
      <w:r>
        <w:rPr>
          <w:rFonts w:hint="cs"/>
          <w:rtl/>
        </w:rPr>
        <w:t>"ף</w:t>
      </w:r>
      <w:proofErr w:type="spellEnd"/>
      <w:r>
        <w:rPr>
          <w:rFonts w:hint="cs"/>
          <w:rtl/>
        </w:rPr>
        <w:t xml:space="preserve"> </w:t>
      </w:r>
      <w:r w:rsidRPr="00D73212">
        <w:rPr>
          <w:rtl/>
        </w:rPr>
        <w:t>–</w:t>
      </w:r>
      <w:r>
        <w:rPr>
          <w:rFonts w:hint="cs"/>
          <w:rtl/>
        </w:rPr>
        <w:t xml:space="preserve"> 9.12</w:t>
      </w:r>
      <w:r w:rsidRPr="00D73212">
        <w:rPr>
          <w:rtl/>
        </w:rPr>
        <w:t>.</w:t>
      </w:r>
      <w:r>
        <w:rPr>
          <w:rFonts w:hint="cs"/>
          <w:rtl/>
        </w:rPr>
        <w:t>19</w:t>
      </w:r>
      <w:bookmarkStart w:id="8" w:name="_GoBack"/>
      <w:bookmarkEnd w:id="8"/>
    </w:p>
    <w:sectPr w:rsidR="00E13C27" w:rsidRPr="00A97362" w:rsidSect="00A97362">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472FA5B6"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FA4512">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78AFA4B0" w14:textId="77777777" w:rsidR="00DE59CF" w:rsidRDefault="00DE59CF" w:rsidP="00DE59CF">
      <w:pPr>
        <w:pStyle w:val="a4"/>
      </w:pPr>
      <w:r>
        <w:rPr>
          <w:rStyle w:val="a6"/>
        </w:rPr>
        <w:footnoteRef/>
      </w:r>
      <w:r>
        <w:rPr>
          <w:sz w:val="20"/>
          <w:rtl/>
        </w:rPr>
        <w:t xml:space="preserve"> ס"ח </w:t>
      </w:r>
      <w:proofErr w:type="spellStart"/>
      <w:r>
        <w:rPr>
          <w:sz w:val="20"/>
          <w:rtl/>
        </w:rPr>
        <w:t>התש"ט</w:t>
      </w:r>
      <w:proofErr w:type="spellEnd"/>
      <w:r>
        <w:rPr>
          <w:sz w:val="20"/>
          <w:rtl/>
        </w:rPr>
        <w:t>, עמ' 287.</w:t>
      </w:r>
    </w:p>
  </w:footnote>
  <w:footnote w:id="3">
    <w:p w14:paraId="054DF3FE" w14:textId="77777777" w:rsidR="00DE59CF" w:rsidRDefault="00DE59CF" w:rsidP="00DE59CF">
      <w:pPr>
        <w:pStyle w:val="a4"/>
      </w:pPr>
      <w:r>
        <w:rPr>
          <w:rStyle w:val="a6"/>
        </w:rPr>
        <w:footnoteRef/>
      </w:r>
      <w:r>
        <w:rPr>
          <w:sz w:val="20"/>
          <w:rtl/>
        </w:rPr>
        <w:t xml:space="preserve"> </w:t>
      </w:r>
      <w:r>
        <w:rPr>
          <w:sz w:val="20"/>
          <w:rtl/>
        </w:rPr>
        <w:t xml:space="preserve">ס"ח </w:t>
      </w:r>
      <w:proofErr w:type="spellStart"/>
      <w:r>
        <w:rPr>
          <w:sz w:val="20"/>
          <w:rtl/>
        </w:rPr>
        <w:t>התשי"ג</w:t>
      </w:r>
      <w:proofErr w:type="spellEnd"/>
      <w:r>
        <w:rPr>
          <w:sz w:val="20"/>
          <w:rtl/>
        </w:rPr>
        <w:t>, עמ' 137.</w:t>
      </w:r>
    </w:p>
  </w:footnote>
  <w:footnote w:id="4">
    <w:p w14:paraId="0B99DD3B" w14:textId="77777777" w:rsidR="00DE59CF" w:rsidRDefault="00DE59CF" w:rsidP="00DE59CF">
      <w:pPr>
        <w:pStyle w:val="a4"/>
        <w:rPr>
          <w:rtl/>
        </w:rPr>
      </w:pPr>
      <w:r>
        <w:rPr>
          <w:rStyle w:val="a6"/>
        </w:rPr>
        <w:footnoteRef/>
      </w:r>
      <w:r>
        <w:rPr>
          <w:sz w:val="20"/>
          <w:rtl/>
        </w:rPr>
        <w:t xml:space="preserve"> </w:t>
      </w:r>
      <w:r>
        <w:rPr>
          <w:sz w:val="20"/>
          <w:rtl/>
        </w:rPr>
        <w:t xml:space="preserve">ס"ח </w:t>
      </w:r>
      <w:proofErr w:type="spellStart"/>
      <w:r>
        <w:rPr>
          <w:sz w:val="20"/>
          <w:rtl/>
        </w:rPr>
        <w:t>התשס"ח</w:t>
      </w:r>
      <w:proofErr w:type="spellEnd"/>
      <w:r>
        <w:rPr>
          <w:sz w:val="20"/>
          <w:rtl/>
        </w:rPr>
        <w:t>, עמ' 742.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46035"/>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C3CFA"/>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6F3CC8"/>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93125"/>
    <w:rsid w:val="009A0DB8"/>
    <w:rsid w:val="009A7257"/>
    <w:rsid w:val="009D6E0A"/>
    <w:rsid w:val="009E1E33"/>
    <w:rsid w:val="00A14672"/>
    <w:rsid w:val="00A26BD6"/>
    <w:rsid w:val="00A443CF"/>
    <w:rsid w:val="00A6611D"/>
    <w:rsid w:val="00A82CB7"/>
    <w:rsid w:val="00A942C1"/>
    <w:rsid w:val="00A97362"/>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4005B"/>
    <w:rsid w:val="00C9176A"/>
    <w:rsid w:val="00CF1AA2"/>
    <w:rsid w:val="00D142D3"/>
    <w:rsid w:val="00D17774"/>
    <w:rsid w:val="00D63620"/>
    <w:rsid w:val="00D8410D"/>
    <w:rsid w:val="00D867D7"/>
    <w:rsid w:val="00DB7060"/>
    <w:rsid w:val="00DE3153"/>
    <w:rsid w:val="00DE59CF"/>
    <w:rsid w:val="00E06736"/>
    <w:rsid w:val="00E13C27"/>
    <w:rsid w:val="00E33BBD"/>
    <w:rsid w:val="00E374F2"/>
    <w:rsid w:val="00E45103"/>
    <w:rsid w:val="00E53A32"/>
    <w:rsid w:val="00E55A60"/>
    <w:rsid w:val="00E62778"/>
    <w:rsid w:val="00E635A2"/>
    <w:rsid w:val="00E63D38"/>
    <w:rsid w:val="00E665B9"/>
    <w:rsid w:val="00EA01E6"/>
    <w:rsid w:val="00EA3DE8"/>
    <w:rsid w:val="00EA758F"/>
    <w:rsid w:val="00ED4A6F"/>
    <w:rsid w:val="00EF3A3A"/>
    <w:rsid w:val="00F628D6"/>
    <w:rsid w:val="00F67051"/>
    <w:rsid w:val="00F86A1E"/>
    <w:rsid w:val="00FA4512"/>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02D25B00-EB20-4765-8A39-498CCEF0A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362"/>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A97362"/>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A97362"/>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A97362"/>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A97362"/>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A97362"/>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A97362"/>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A97362"/>
    <w:rPr>
      <w:sz w:val="36"/>
      <w:szCs w:val="52"/>
    </w:rPr>
  </w:style>
  <w:style w:type="paragraph" w:customStyle="1" w:styleId="Cover3-Haknesset">
    <w:name w:val="Cover 3-Haknesset"/>
    <w:basedOn w:val="Cover1-Reshumot"/>
    <w:rsid w:val="00A97362"/>
    <w:rPr>
      <w:b/>
      <w:bCs/>
      <w:spacing w:val="60"/>
    </w:rPr>
  </w:style>
  <w:style w:type="paragraph" w:customStyle="1" w:styleId="Cover4-Date">
    <w:name w:val="Cover 4-Date"/>
    <w:basedOn w:val="a"/>
    <w:rsid w:val="00A97362"/>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A97362"/>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A97362"/>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A97362"/>
    <w:pPr>
      <w:spacing w:before="120" w:after="120"/>
    </w:pPr>
    <w:rPr>
      <w:color w:val="FF0000"/>
      <w:w w:val="80"/>
    </w:rPr>
  </w:style>
  <w:style w:type="paragraph" w:styleId="a3">
    <w:name w:val="endnote text"/>
    <w:basedOn w:val="a"/>
    <w:semiHidden/>
    <w:rsid w:val="00A97362"/>
    <w:pPr>
      <w:ind w:left="227" w:hanging="227"/>
    </w:pPr>
    <w:rPr>
      <w:sz w:val="14"/>
      <w:szCs w:val="22"/>
    </w:rPr>
  </w:style>
  <w:style w:type="paragraph" w:customStyle="1" w:styleId="TableText">
    <w:name w:val="Table Text"/>
    <w:basedOn w:val="a"/>
    <w:rsid w:val="00A97362"/>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A97362"/>
    <w:pPr>
      <w:outlineLvl w:val="2"/>
    </w:pPr>
  </w:style>
  <w:style w:type="paragraph" w:customStyle="1" w:styleId="TableBlock">
    <w:name w:val="Table Block"/>
    <w:basedOn w:val="TableText"/>
    <w:rsid w:val="00A97362"/>
    <w:pPr>
      <w:jc w:val="both"/>
    </w:pPr>
  </w:style>
  <w:style w:type="paragraph" w:customStyle="1" w:styleId="TableHead">
    <w:name w:val="Table Head"/>
    <w:basedOn w:val="TableText"/>
    <w:rsid w:val="00A97362"/>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A97362"/>
    <w:pPr>
      <w:outlineLvl w:val="9"/>
    </w:pPr>
  </w:style>
  <w:style w:type="paragraph" w:customStyle="1" w:styleId="Hesber">
    <w:name w:val="Hesber"/>
    <w:basedOn w:val="a"/>
    <w:rsid w:val="00A97362"/>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A97362"/>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A97362"/>
    <w:rPr>
      <w:vertAlign w:val="superscript"/>
    </w:rPr>
  </w:style>
  <w:style w:type="paragraph" w:customStyle="1" w:styleId="HesberHeading">
    <w:name w:val="Hesber Heading"/>
    <w:basedOn w:val="Hesber"/>
    <w:rsid w:val="00A97362"/>
    <w:pPr>
      <w:tabs>
        <w:tab w:val="left" w:pos="624"/>
        <w:tab w:val="left" w:pos="1247"/>
      </w:tabs>
    </w:pPr>
    <w:rPr>
      <w:b/>
      <w:bCs/>
    </w:rPr>
  </w:style>
  <w:style w:type="paragraph" w:customStyle="1" w:styleId="HesberWriters">
    <w:name w:val="Hesber Writers"/>
    <w:basedOn w:val="Hesber"/>
    <w:rsid w:val="00A97362"/>
    <w:pPr>
      <w:spacing w:before="120" w:after="120"/>
      <w:ind w:left="1418"/>
      <w:jc w:val="right"/>
    </w:pPr>
    <w:rPr>
      <w:b/>
      <w:bCs/>
    </w:rPr>
  </w:style>
  <w:style w:type="paragraph" w:customStyle="1" w:styleId="Hesber1st">
    <w:name w:val="Hesber 1st"/>
    <w:basedOn w:val="Hesber"/>
    <w:rsid w:val="00A97362"/>
    <w:pPr>
      <w:tabs>
        <w:tab w:val="left" w:pos="680"/>
        <w:tab w:val="left" w:pos="1020"/>
      </w:tabs>
      <w:ind w:firstLine="0"/>
    </w:pPr>
  </w:style>
  <w:style w:type="character" w:styleId="a7">
    <w:name w:val="endnote reference"/>
    <w:basedOn w:val="a0"/>
    <w:semiHidden/>
    <w:rsid w:val="00A97362"/>
    <w:rPr>
      <w:vertAlign w:val="superscript"/>
    </w:rPr>
  </w:style>
  <w:style w:type="paragraph" w:customStyle="1" w:styleId="TableBlockOutdent">
    <w:name w:val="Table BlockOutdent"/>
    <w:basedOn w:val="TableBlock"/>
    <w:rsid w:val="00A97362"/>
    <w:pPr>
      <w:ind w:left="624" w:hanging="624"/>
    </w:pPr>
  </w:style>
  <w:style w:type="paragraph" w:styleId="a8">
    <w:name w:val="header"/>
    <w:basedOn w:val="a"/>
    <w:rsid w:val="00A97362"/>
    <w:pPr>
      <w:tabs>
        <w:tab w:val="center" w:pos="4153"/>
        <w:tab w:val="right" w:pos="8306"/>
      </w:tabs>
    </w:pPr>
  </w:style>
  <w:style w:type="paragraph" w:styleId="a9">
    <w:name w:val="footer"/>
    <w:basedOn w:val="a"/>
    <w:rsid w:val="00A97362"/>
    <w:pPr>
      <w:tabs>
        <w:tab w:val="center" w:pos="4153"/>
        <w:tab w:val="right" w:pos="8306"/>
      </w:tabs>
    </w:pPr>
  </w:style>
  <w:style w:type="paragraph" w:customStyle="1" w:styleId="HeadDivreiHesber">
    <w:name w:val="Head DivreiHesber"/>
    <w:basedOn w:val="a"/>
    <w:rsid w:val="00A97362"/>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A97362"/>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A97362"/>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DE59CF"/>
    <w:rPr>
      <w:rFonts w:ascii="Arial" w:eastAsia="Arial Unicode MS" w:hAnsi="Arial" w:cs="David"/>
      <w:snapToGrid w:val="0"/>
      <w:sz w:val="14"/>
    </w:rPr>
  </w:style>
  <w:style w:type="character" w:customStyle="1" w:styleId="10">
    <w:name w:val="כותרת 1 תו"/>
    <w:basedOn w:val="a0"/>
    <w:link w:val="1"/>
    <w:uiPriority w:val="9"/>
    <w:rsid w:val="00A97362"/>
    <w:rPr>
      <w:rFonts w:asciiTheme="majorHAnsi" w:eastAsiaTheme="majorEastAsia" w:hAnsiTheme="majorHAnsi" w:cs="David"/>
      <w:bCs/>
      <w:sz w:val="32"/>
      <w:szCs w:val="36"/>
    </w:rPr>
  </w:style>
  <w:style w:type="character" w:customStyle="1" w:styleId="20">
    <w:name w:val="כותרת 2 תו"/>
    <w:basedOn w:val="a0"/>
    <w:link w:val="2"/>
    <w:rsid w:val="00A97362"/>
    <w:rPr>
      <w:rFonts w:asciiTheme="majorHAnsi" w:eastAsiaTheme="majorEastAsia" w:hAnsiTheme="majorHAnsi" w:cs="David"/>
      <w:bCs/>
      <w:sz w:val="26"/>
      <w:szCs w:val="36"/>
      <w:u w:val="single"/>
    </w:rPr>
  </w:style>
  <w:style w:type="character" w:customStyle="1" w:styleId="30">
    <w:name w:val="כותרת 3 תו"/>
    <w:basedOn w:val="a0"/>
    <w:link w:val="3"/>
    <w:rsid w:val="00A97362"/>
    <w:rPr>
      <w:rFonts w:asciiTheme="majorHAnsi" w:eastAsiaTheme="majorEastAsia" w:hAnsiTheme="majorHAnsi" w:cs="David"/>
      <w:sz w:val="24"/>
      <w:szCs w:val="28"/>
      <w:u w:val="double"/>
    </w:rPr>
  </w:style>
  <w:style w:type="character" w:customStyle="1" w:styleId="40">
    <w:name w:val="כותרת 4 תו"/>
    <w:basedOn w:val="a0"/>
    <w:link w:val="4"/>
    <w:uiPriority w:val="9"/>
    <w:rsid w:val="00A97362"/>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A97362"/>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A97362"/>
    <w:pPr>
      <w:widowControl/>
      <w:spacing w:before="120" w:after="120"/>
      <w:outlineLvl w:val="9"/>
    </w:pPr>
    <w:rPr>
      <w:rtl/>
      <w:cs/>
    </w:rPr>
  </w:style>
  <w:style w:type="paragraph" w:styleId="TOC1">
    <w:name w:val="toc 1"/>
    <w:basedOn w:val="a"/>
    <w:next w:val="a"/>
    <w:autoRedefine/>
    <w:uiPriority w:val="39"/>
    <w:unhideWhenUsed/>
    <w:rsid w:val="00A97362"/>
    <w:pPr>
      <w:tabs>
        <w:tab w:val="right" w:leader="dot" w:pos="9629"/>
      </w:tabs>
      <w:spacing w:after="100"/>
    </w:pPr>
    <w:rPr>
      <w:bCs/>
      <w:szCs w:val="22"/>
    </w:rPr>
  </w:style>
  <w:style w:type="paragraph" w:styleId="TOC2">
    <w:name w:val="toc 2"/>
    <w:basedOn w:val="a"/>
    <w:next w:val="a"/>
    <w:uiPriority w:val="39"/>
    <w:unhideWhenUsed/>
    <w:rsid w:val="00A97362"/>
    <w:pPr>
      <w:tabs>
        <w:tab w:val="right" w:leader="dot" w:pos="9628"/>
      </w:tabs>
      <w:spacing w:after="100"/>
    </w:pPr>
    <w:rPr>
      <w:szCs w:val="22"/>
    </w:rPr>
  </w:style>
  <w:style w:type="character" w:styleId="Hyperlink">
    <w:name w:val="Hyperlink"/>
    <w:basedOn w:val="a0"/>
    <w:uiPriority w:val="99"/>
    <w:unhideWhenUsed/>
    <w:rsid w:val="00A97362"/>
    <w:rPr>
      <w:color w:val="0000FF" w:themeColor="hyperlink"/>
      <w:u w:val="single"/>
    </w:rPr>
  </w:style>
  <w:style w:type="paragraph" w:styleId="TOC3">
    <w:name w:val="toc 3"/>
    <w:basedOn w:val="a"/>
    <w:next w:val="a"/>
    <w:uiPriority w:val="39"/>
    <w:unhideWhenUsed/>
    <w:rsid w:val="00A97362"/>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A97362"/>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A97362"/>
    <w:pPr>
      <w:tabs>
        <w:tab w:val="right" w:leader="dot" w:pos="9628"/>
      </w:tabs>
      <w:spacing w:after="100"/>
      <w:ind w:left="567"/>
    </w:pPr>
    <w:rPr>
      <w:szCs w:val="22"/>
    </w:rPr>
  </w:style>
  <w:style w:type="paragraph" w:styleId="TOC6">
    <w:name w:val="toc 6"/>
    <w:basedOn w:val="a"/>
    <w:next w:val="a"/>
    <w:autoRedefine/>
    <w:semiHidden/>
    <w:unhideWhenUsed/>
    <w:rsid w:val="00A97362"/>
    <w:pPr>
      <w:spacing w:after="100"/>
      <w:ind w:left="850"/>
    </w:pPr>
  </w:style>
  <w:style w:type="paragraph" w:styleId="TOC7">
    <w:name w:val="toc 7"/>
    <w:basedOn w:val="a"/>
    <w:next w:val="a"/>
    <w:autoRedefine/>
    <w:semiHidden/>
    <w:unhideWhenUsed/>
    <w:rsid w:val="00A97362"/>
    <w:pPr>
      <w:spacing w:after="100"/>
      <w:ind w:left="1020"/>
    </w:pPr>
  </w:style>
  <w:style w:type="paragraph" w:styleId="TOC8">
    <w:name w:val="toc 8"/>
    <w:basedOn w:val="a"/>
    <w:next w:val="a"/>
    <w:autoRedefine/>
    <w:semiHidden/>
    <w:unhideWhenUsed/>
    <w:rsid w:val="00A97362"/>
    <w:pPr>
      <w:spacing w:after="100"/>
      <w:ind w:left="1190"/>
    </w:pPr>
  </w:style>
  <w:style w:type="paragraph" w:styleId="TOC9">
    <w:name w:val="toc 9"/>
    <w:basedOn w:val="a"/>
    <w:next w:val="a"/>
    <w:autoRedefine/>
    <w:semiHidden/>
    <w:unhideWhenUsed/>
    <w:rsid w:val="00A97362"/>
    <w:pPr>
      <w:spacing w:after="100"/>
      <w:ind w:left="1360"/>
    </w:pPr>
  </w:style>
  <w:style w:type="paragraph" w:customStyle="1" w:styleId="TableHead2">
    <w:name w:val="Table Head2"/>
    <w:basedOn w:val="TableHead"/>
    <w:qFormat/>
    <w:rsid w:val="00A97362"/>
    <w:pPr>
      <w:outlineLvl w:val="9"/>
    </w:pPr>
  </w:style>
  <w:style w:type="paragraph" w:customStyle="1" w:styleId="TableSideHeading2">
    <w:name w:val="Table SideHeading2"/>
    <w:basedOn w:val="TableSideHeading"/>
    <w:autoRedefine/>
    <w:qFormat/>
    <w:rsid w:val="00A97362"/>
    <w:pPr>
      <w:keepLines w:val="0"/>
      <w:outlineLvl w:val="9"/>
    </w:pPr>
  </w:style>
  <w:style w:type="paragraph" w:customStyle="1" w:styleId="0">
    <w:name w:val="סגנון שורה ראשונה:  0  ס''מ"/>
    <w:basedOn w:val="2"/>
    <w:rsid w:val="00A97362"/>
    <w:rPr>
      <w:rFonts w:eastAsia="Times New Roman"/>
    </w:rPr>
  </w:style>
  <w:style w:type="paragraph" w:styleId="af">
    <w:name w:val="List Paragraph"/>
    <w:basedOn w:val="a"/>
    <w:uiPriority w:val="34"/>
    <w:qFormat/>
    <w:rsid w:val="00A97362"/>
    <w:pPr>
      <w:widowControl/>
      <w:spacing w:line="259" w:lineRule="auto"/>
    </w:pPr>
    <w:rPr>
      <w:rFonts w:asciiTheme="minorHAnsi" w:hAnsiTheme="minorHAnsi"/>
      <w:sz w:val="22"/>
    </w:rPr>
  </w:style>
  <w:style w:type="table" w:styleId="af0">
    <w:name w:val="Table Grid"/>
    <w:basedOn w:val="a1"/>
    <w:rsid w:val="00A973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A9736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A9736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A97362"/>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A97362"/>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143415">
      <w:bodyDiv w:val="1"/>
      <w:marLeft w:val="0"/>
      <w:marRight w:val="0"/>
      <w:marTop w:val="0"/>
      <w:marBottom w:val="0"/>
      <w:divBdr>
        <w:top w:val="none" w:sz="0" w:space="0" w:color="auto"/>
        <w:left w:val="none" w:sz="0" w:space="0" w:color="auto"/>
        <w:bottom w:val="none" w:sz="0" w:space="0" w:color="auto"/>
        <w:right w:val="none" w:sz="0" w:space="0" w:color="auto"/>
      </w:divBdr>
    </w:div>
    <w:div w:id="915944774">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3A50981437779E428456932B2A638612" ma:contentTypeVersion="" ma:contentTypeDescription="צור מסמך חדש." ma:contentTypeScope="" ma:versionID="2df30a1b375d11bf545563b3a0868245">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E21B635-1A95-42D7-A614-761F91EB3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BECBEDE-62FF-461F-8352-BFCBC3646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730</Words>
  <Characters>3655</Characters>
  <Application>Microsoft Office Word</Application>
  <DocSecurity>0</DocSecurity>
  <Lines>30</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4377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11</cp:revision>
  <cp:lastPrinted>2019-12-05T08:31:00Z</cp:lastPrinted>
  <dcterms:created xsi:type="dcterms:W3CDTF">2015-04-20T09:58:00Z</dcterms:created>
  <dcterms:modified xsi:type="dcterms:W3CDTF">2019-12-05T08:32:00Z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0x0101003A50981437779E428456932B2A638612</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2082793</vt:r8>
  </property>
</Properties>
</file>