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2082790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b/>
          <w:bCs/>
          <w:sz w:val="26"/>
          <w:szCs w:val="26"/>
          <w:rtl/>
        </w:rPr>
      </w:pPr>
    </w:p>
    <w:p w14:paraId="7F6961AA" w14:textId="52BBB549" w:rsidR="00E13C27" w:rsidRPr="00CF1AA2" w:rsidRDefault="008F6665" w:rsidP="0030580D">
      <w:pPr>
        <w:pStyle w:val="David"/>
        <w:spacing w:before="102"/>
        <w:ind w:left="3544"/>
        <w:rPr>
          <w:b/>
          <w:bCs/>
          <w:sz w:val="16"/>
          <w:szCs w:val="16"/>
          <w:rtl/>
        </w:rPr>
      </w:pPr>
      <w:bookmarkStart w:id="2" w:name="LGS_Initiators_List"/>
      <w:r>
        <w:rPr>
          <w:b/>
          <w:bCs/>
          <w:rtl/>
        </w:rPr>
        <w:t>יוזמות:      חברות הכנסת</w:t>
      </w:r>
      <w:bookmarkEnd w:id="2"/>
      <w:r w:rsidR="00B35784" w:rsidRPr="00F67051">
        <w:rPr>
          <w:b/>
          <w:bCs/>
        </w:rPr>
        <w:tab/>
      </w:r>
      <w:bookmarkStart w:id="3" w:name="LGS_PM_Names"/>
      <w:r>
        <w:rPr>
          <w:rFonts w:hint="cs"/>
          <w:b/>
          <w:bCs/>
          <w:rtl/>
        </w:rPr>
        <w:t>מרב מיכאלי</w:t>
      </w:r>
      <w:r>
        <w:br/>
      </w:r>
      <w:r>
        <w:rPr>
          <w:rFonts w:hint="cs"/>
          <w:b/>
          <w:bCs/>
          <w:rtl/>
        </w:rPr>
        <w:t xml:space="preserve"> </w:t>
      </w:r>
      <w:r>
        <w:tab/>
      </w:r>
      <w:r>
        <w:tab/>
      </w:r>
      <w:r>
        <w:tab/>
      </w:r>
      <w:r>
        <w:tab/>
      </w:r>
      <w:proofErr w:type="spellStart"/>
      <w:r>
        <w:rPr>
          <w:rFonts w:hint="cs"/>
          <w:b/>
          <w:bCs/>
          <w:rtl/>
        </w:rPr>
        <w:t>עאידה</w:t>
      </w:r>
      <w:proofErr w:type="spellEnd"/>
      <w:r>
        <w:rPr>
          <w:rFonts w:hint="cs"/>
          <w:b/>
          <w:bCs/>
          <w:rtl/>
        </w:rPr>
        <w:t xml:space="preserve"> </w:t>
      </w:r>
      <w:proofErr w:type="spellStart"/>
      <w:r>
        <w:rPr>
          <w:rFonts w:hint="cs"/>
          <w:b/>
          <w:bCs/>
          <w:rtl/>
        </w:rPr>
        <w:t>תומא</w:t>
      </w:r>
      <w:proofErr w:type="spellEnd"/>
      <w:r>
        <w:rPr>
          <w:rFonts w:hint="cs"/>
          <w:b/>
          <w:bCs/>
          <w:rtl/>
        </w:rPr>
        <w:t xml:space="preserve"> </w:t>
      </w:r>
      <w:proofErr w:type="spellStart"/>
      <w:r>
        <w:rPr>
          <w:rFonts w:hint="cs"/>
          <w:b/>
          <w:bCs/>
          <w:rtl/>
        </w:rPr>
        <w:t>סלימאן</w:t>
      </w:r>
      <w:bookmarkStart w:id="4" w:name="LGS_Join_List"/>
      <w:bookmarkEnd w:id="3"/>
      <w:proofErr w:type="spellEnd"/>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D60F7F9" w:rsidR="00E13C27" w:rsidRPr="00E06736" w:rsidRDefault="0030580D" w:rsidP="0030580D">
      <w:pPr>
        <w:pStyle w:val="David"/>
        <w:spacing w:line="240" w:lineRule="auto"/>
        <w:ind w:left="3544" w:firstLine="56"/>
        <w:rPr>
          <w:rtl/>
        </w:rPr>
      </w:pPr>
      <w:bookmarkStart w:id="6" w:name="Private_Number"/>
      <w:r>
        <w:rPr>
          <w:rtl/>
        </w:rPr>
        <w:tab/>
      </w:r>
      <w:r>
        <w:rPr>
          <w:rtl/>
        </w:rPr>
        <w:tab/>
      </w:r>
      <w:r>
        <w:rPr>
          <w:rtl/>
        </w:rPr>
        <w:tab/>
      </w:r>
      <w:r>
        <w:rPr>
          <w:rtl/>
        </w:rPr>
        <w:tab/>
      </w:r>
      <w:r w:rsidR="00904591">
        <w:rPr>
          <w:rFonts w:hint="cs"/>
          <w:rtl/>
        </w:rPr>
        <w:t>פ/1332/22</w:t>
      </w:r>
      <w:bookmarkEnd w:id="6"/>
    </w:p>
    <w:p w14:paraId="7F6961AC" w14:textId="77777777" w:rsidR="00E13C27" w:rsidRDefault="00E13C27" w:rsidP="00E13C27">
      <w:pPr>
        <w:ind w:left="2880" w:firstLine="720"/>
        <w:rPr>
          <w:sz w:val="26"/>
          <w:szCs w:val="26"/>
          <w:rtl/>
        </w:rPr>
      </w:pPr>
    </w:p>
    <w:p w14:paraId="7F6961AD" w14:textId="07229165" w:rsidR="00E13C27" w:rsidRPr="00F67051" w:rsidRDefault="00A443CF" w:rsidP="0021633A">
      <w:pPr>
        <w:pStyle w:val="HeadHatzaotHok"/>
        <w:rPr>
          <w:rtl/>
        </w:rPr>
      </w:pPr>
      <w:bookmarkStart w:id="7" w:name="LGS_Subject"/>
      <w:r>
        <w:rPr>
          <w:rFonts w:hint="cs"/>
          <w:rtl/>
        </w:rPr>
        <w:t xml:space="preserve">הצעת חוק טיפול בחולי נפש (תיקון – החלת הוראות על בגיר שסובל מאנורקסיה </w:t>
      </w:r>
      <w:proofErr w:type="spellStart"/>
      <w:r>
        <w:rPr>
          <w:rFonts w:hint="cs"/>
          <w:rtl/>
        </w:rPr>
        <w:t>נרבוזה</w:t>
      </w:r>
      <w:proofErr w:type="spellEnd"/>
      <w:r>
        <w:rPr>
          <w:rFonts w:hint="cs"/>
          <w:rtl/>
        </w:rPr>
        <w:t xml:space="preserve">), </w:t>
      </w:r>
      <w:r w:rsidR="00BF1751">
        <w:rPr>
          <w:rFonts w:hint="cs"/>
          <w:rtl/>
        </w:rPr>
        <w:t xml:space="preserve">       </w:t>
      </w:r>
      <w:proofErr w:type="spellStart"/>
      <w:r>
        <w:rPr>
          <w:rFonts w:hint="cs"/>
          <w:rtl/>
        </w:rPr>
        <w:t>התש"ף</w:t>
      </w:r>
      <w:proofErr w:type="spellEnd"/>
      <w:r>
        <w:rPr>
          <w:rFonts w:hint="cs"/>
          <w:rtl/>
        </w:rPr>
        <w:t>–2019</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0E7D76" w14:paraId="24982F9A" w14:textId="77777777" w:rsidTr="00942956">
        <w:trPr>
          <w:cantSplit/>
        </w:trPr>
        <w:tc>
          <w:tcPr>
            <w:tcW w:w="1871" w:type="dxa"/>
            <w:hideMark/>
          </w:tcPr>
          <w:p w14:paraId="67BF4252" w14:textId="77777777" w:rsidR="000E7D76" w:rsidRDefault="000E7D76">
            <w:pPr>
              <w:pStyle w:val="TableSideHeading"/>
              <w:keepLines w:val="0"/>
            </w:pPr>
            <w:r>
              <w:rPr>
                <w:rtl/>
              </w:rPr>
              <w:t>תיקון סעיף 6</w:t>
            </w:r>
          </w:p>
        </w:tc>
        <w:tc>
          <w:tcPr>
            <w:tcW w:w="624" w:type="dxa"/>
            <w:hideMark/>
          </w:tcPr>
          <w:p w14:paraId="2F602187" w14:textId="77777777" w:rsidR="000E7D76" w:rsidRDefault="000E7D76">
            <w:pPr>
              <w:pStyle w:val="TableText"/>
              <w:keepLines w:val="0"/>
            </w:pPr>
            <w:r>
              <w:rPr>
                <w:rtl/>
              </w:rPr>
              <w:t>1.</w:t>
            </w:r>
          </w:p>
        </w:tc>
        <w:tc>
          <w:tcPr>
            <w:tcW w:w="7143" w:type="dxa"/>
            <w:hideMark/>
          </w:tcPr>
          <w:p w14:paraId="15F2F470" w14:textId="77777777" w:rsidR="000E7D76" w:rsidRDefault="000E7D76" w:rsidP="00942956">
            <w:pPr>
              <w:pStyle w:val="TableBlock"/>
            </w:pPr>
            <w:r>
              <w:rPr>
                <w:rtl/>
              </w:rPr>
              <w:t xml:space="preserve">בחוק טיפול בחולי נפש, </w:t>
            </w:r>
            <w:proofErr w:type="spellStart"/>
            <w:r>
              <w:rPr>
                <w:rtl/>
              </w:rPr>
              <w:t>התשנ"א</w:t>
            </w:r>
            <w:proofErr w:type="spellEnd"/>
            <w:r>
              <w:rPr>
                <w:rtl/>
              </w:rPr>
              <w:t>–1991</w:t>
            </w:r>
            <w:r w:rsidRPr="00942956">
              <w:rPr>
                <w:rFonts w:ascii="David" w:hAnsi="David"/>
                <w:sz w:val="26"/>
                <w:vertAlign w:val="superscript"/>
                <w:rtl/>
              </w:rPr>
              <w:footnoteReference w:id="2"/>
            </w:r>
            <w:r>
              <w:rPr>
                <w:rtl/>
              </w:rPr>
              <w:t xml:space="preserve"> (להלן – החוק העיקרי), בסעיף 6(א)(1), במקום "וכתוצאה ממחלתו" יבוא "או סובל מאנורקסיה </w:t>
            </w:r>
            <w:proofErr w:type="spellStart"/>
            <w:r>
              <w:rPr>
                <w:rtl/>
              </w:rPr>
              <w:t>נרבוזה</w:t>
            </w:r>
            <w:proofErr w:type="spellEnd"/>
            <w:r>
              <w:rPr>
                <w:rtl/>
              </w:rPr>
              <w:t xml:space="preserve"> וכתוצאה מכך".</w:t>
            </w:r>
          </w:p>
        </w:tc>
      </w:tr>
      <w:tr w:rsidR="000E7D76" w14:paraId="1527A4F3" w14:textId="77777777" w:rsidTr="00942956">
        <w:trPr>
          <w:cantSplit/>
        </w:trPr>
        <w:tc>
          <w:tcPr>
            <w:tcW w:w="1871" w:type="dxa"/>
            <w:hideMark/>
          </w:tcPr>
          <w:p w14:paraId="7D66E249" w14:textId="77777777" w:rsidR="000E7D76" w:rsidRDefault="000E7D76">
            <w:pPr>
              <w:pStyle w:val="TableSideHeading"/>
              <w:keepLines w:val="0"/>
            </w:pPr>
            <w:r>
              <w:rPr>
                <w:rtl/>
              </w:rPr>
              <w:t>תיקון סעיף 7</w:t>
            </w:r>
          </w:p>
        </w:tc>
        <w:tc>
          <w:tcPr>
            <w:tcW w:w="624" w:type="dxa"/>
            <w:hideMark/>
          </w:tcPr>
          <w:p w14:paraId="6F040553" w14:textId="77777777" w:rsidR="000E7D76" w:rsidRDefault="000E7D76">
            <w:pPr>
              <w:pStyle w:val="TableText"/>
              <w:keepLines w:val="0"/>
            </w:pPr>
            <w:r>
              <w:rPr>
                <w:rtl/>
              </w:rPr>
              <w:t>2.</w:t>
            </w:r>
          </w:p>
        </w:tc>
        <w:tc>
          <w:tcPr>
            <w:tcW w:w="7143" w:type="dxa"/>
            <w:hideMark/>
          </w:tcPr>
          <w:p w14:paraId="084D3645" w14:textId="77777777" w:rsidR="000E7D76" w:rsidRDefault="000E7D76" w:rsidP="00942956">
            <w:pPr>
              <w:pStyle w:val="TableBlock"/>
            </w:pPr>
            <w:r>
              <w:rPr>
                <w:rtl/>
              </w:rPr>
              <w:t xml:space="preserve">בסעיף 7(1) לחוק העיקרי, במקום "וכתוצאה ממחלתו" יבוא "או סובל מאנורקסיה </w:t>
            </w:r>
            <w:proofErr w:type="spellStart"/>
            <w:r>
              <w:rPr>
                <w:rtl/>
              </w:rPr>
              <w:t>נרבוזה</w:t>
            </w:r>
            <w:proofErr w:type="spellEnd"/>
            <w:r>
              <w:rPr>
                <w:rtl/>
              </w:rPr>
              <w:t xml:space="preserve"> וכתוצאה מכך".</w:t>
            </w:r>
          </w:p>
        </w:tc>
      </w:tr>
    </w:tbl>
    <w:p w14:paraId="7F6961CA" w14:textId="77777777" w:rsidR="002D1EE3" w:rsidRDefault="002D1EE3" w:rsidP="002D1EE3">
      <w:pPr>
        <w:pStyle w:val="HeadDivreiHesber"/>
        <w:rPr>
          <w:rtl/>
        </w:rPr>
      </w:pPr>
      <w:r w:rsidRPr="0027450A">
        <w:rPr>
          <w:rFonts w:hint="cs"/>
          <w:rtl/>
        </w:rPr>
        <w:t>דברי הסבר</w:t>
      </w:r>
    </w:p>
    <w:p w14:paraId="51B2A17B" w14:textId="77777777" w:rsidR="000E7D76" w:rsidRDefault="000E7D76" w:rsidP="000E7D76">
      <w:pPr>
        <w:pStyle w:val="Hesber"/>
      </w:pPr>
      <w:r>
        <w:rPr>
          <w:rtl/>
        </w:rPr>
        <w:t xml:space="preserve">תופעת הפרעות האכילה, ובפרט האנורקסיה </w:t>
      </w:r>
      <w:proofErr w:type="spellStart"/>
      <w:r>
        <w:rPr>
          <w:rtl/>
        </w:rPr>
        <w:t>נרבוזה</w:t>
      </w:r>
      <w:proofErr w:type="spellEnd"/>
      <w:r>
        <w:rPr>
          <w:rtl/>
        </w:rPr>
        <w:t xml:space="preserve">, רווחת בעולם המערבי, בעיקר בקרב נערות ונשים, בין היתר בשל תרבות הצריכה ודימויי הרזון הקיצוניים שמוצגים באמצעי התקשורת והפרסום ובאינטרנט. על פי נתוני מרכז המחקר והמידע של הכנסת שיעור הסובלים מאנורקסיה </w:t>
      </w:r>
      <w:proofErr w:type="spellStart"/>
      <w:r>
        <w:rPr>
          <w:rtl/>
        </w:rPr>
        <w:t>נרבוזה</w:t>
      </w:r>
      <w:proofErr w:type="spellEnd"/>
      <w:r>
        <w:rPr>
          <w:rtl/>
        </w:rPr>
        <w:t xml:space="preserve"> הוא 1.2% בקרב נשים ו-0.2% בקרב גברים; שיעור התמותה מאנורקסיה </w:t>
      </w:r>
      <w:proofErr w:type="spellStart"/>
      <w:r>
        <w:rPr>
          <w:rtl/>
        </w:rPr>
        <w:t>נרבוזה</w:t>
      </w:r>
      <w:proofErr w:type="spellEnd"/>
      <w:r>
        <w:rPr>
          <w:rtl/>
        </w:rPr>
        <w:t xml:space="preserve"> הוא בין 8% ל-20%, ושיעור ההחלמה ממנה הוא 35% (אתי </w:t>
      </w:r>
      <w:proofErr w:type="spellStart"/>
      <w:r>
        <w:rPr>
          <w:rtl/>
        </w:rPr>
        <w:t>וייסבלאי</w:t>
      </w:r>
      <w:proofErr w:type="spellEnd"/>
      <w:r>
        <w:rPr>
          <w:rtl/>
        </w:rPr>
        <w:t xml:space="preserve">, </w:t>
      </w:r>
      <w:r>
        <w:rPr>
          <w:b/>
          <w:bCs/>
          <w:rtl/>
        </w:rPr>
        <w:t>הפרעות אכילה בקרב ילדים ובני נוער: תיאור התופעה, מניעתה ואיתורה</w:t>
      </w:r>
      <w:r>
        <w:rPr>
          <w:rtl/>
        </w:rPr>
        <w:t xml:space="preserve"> (8 בפברואר 2010); שלי לוי, </w:t>
      </w:r>
      <w:r>
        <w:rPr>
          <w:b/>
          <w:bCs/>
          <w:rtl/>
        </w:rPr>
        <w:t>מחסור במרכזים לטיפול בהפרעות אכילה במחוז דרום</w:t>
      </w:r>
      <w:r>
        <w:rPr>
          <w:rtl/>
        </w:rPr>
        <w:t xml:space="preserve"> (29 באוקטובר 2007)).</w:t>
      </w:r>
    </w:p>
    <w:p w14:paraId="4CE9CE24" w14:textId="77777777" w:rsidR="000E7D76" w:rsidRDefault="000E7D76" w:rsidP="000E7D76">
      <w:pPr>
        <w:pStyle w:val="Hesber"/>
        <w:rPr>
          <w:rtl/>
        </w:rPr>
      </w:pPr>
      <w:r>
        <w:rPr>
          <w:rtl/>
        </w:rPr>
        <w:t xml:space="preserve">חוק טיפול בחולי נפש, </w:t>
      </w:r>
      <w:proofErr w:type="spellStart"/>
      <w:r>
        <w:rPr>
          <w:rtl/>
        </w:rPr>
        <w:t>התשנ"א</w:t>
      </w:r>
      <w:proofErr w:type="spellEnd"/>
      <w:r>
        <w:rPr>
          <w:rtl/>
        </w:rPr>
        <w:t xml:space="preserve">–1991 (להלן – החוק), מתיר לפסיכיאטר מחוזי להורות על בדיקה כפויה דחופה, על בדיקה כפויה לא דחופה, על אשפוז כפוי או על טיפול מרפאתי כפוי, של אדם, אם שוכנע כי מתקיימים באותו אדם התנאים הקבועים בחוק, ובין היתר אם הוא חולה במחלת נפש שכתוצאה ממנה נפגם במידה ניכרת כושר שיפוטו והוא עלול לסכן את עצמו או את זולתו סיכון פיזי </w:t>
      </w:r>
      <w:proofErr w:type="spellStart"/>
      <w:r>
        <w:rPr>
          <w:rtl/>
        </w:rPr>
        <w:t>מיידי</w:t>
      </w:r>
      <w:proofErr w:type="spellEnd"/>
      <w:r>
        <w:rPr>
          <w:rtl/>
        </w:rPr>
        <w:t xml:space="preserve">. </w:t>
      </w:r>
    </w:p>
    <w:p w14:paraId="4096087B" w14:textId="77777777" w:rsidR="000E7D76" w:rsidRDefault="000E7D76" w:rsidP="000E7D76">
      <w:pPr>
        <w:pStyle w:val="Hesber"/>
        <w:rPr>
          <w:rtl/>
        </w:rPr>
      </w:pPr>
      <w:r>
        <w:rPr>
          <w:rtl/>
        </w:rPr>
        <w:t xml:space="preserve">מאחר שעל פי הספרות הרפואית הפרעות אכילה, ובהן אנורקסיה </w:t>
      </w:r>
      <w:proofErr w:type="spellStart"/>
      <w:r>
        <w:rPr>
          <w:rtl/>
        </w:rPr>
        <w:t>נרבוזה</w:t>
      </w:r>
      <w:proofErr w:type="spellEnd"/>
      <w:r>
        <w:rPr>
          <w:rtl/>
        </w:rPr>
        <w:t xml:space="preserve">, מסווגות כהפרעה נפשית, ולא כמחלת נפש, פסיכיאטר מחוזי אינו מוסמך להפעיל את סמכויותיו האמורות כלפי בגירים הסובלים מאנורקסיה </w:t>
      </w:r>
      <w:proofErr w:type="spellStart"/>
      <w:r>
        <w:rPr>
          <w:rtl/>
        </w:rPr>
        <w:t>נרבוזה</w:t>
      </w:r>
      <w:proofErr w:type="spellEnd"/>
      <w:r>
        <w:rPr>
          <w:rtl/>
        </w:rPr>
        <w:t xml:space="preserve">. אשר לקטינים, החוק מתיר להפעיל סמכויות אלה גם אם הם סובלים מהפרעה </w:t>
      </w:r>
      <w:r>
        <w:rPr>
          <w:rtl/>
        </w:rPr>
        <w:lastRenderedPageBreak/>
        <w:t xml:space="preserve">נפשית חמורה. נוסף על כך, יש חולי אנורקסיה </w:t>
      </w:r>
      <w:proofErr w:type="spellStart"/>
      <w:r>
        <w:rPr>
          <w:rtl/>
        </w:rPr>
        <w:t>נרבוזה</w:t>
      </w:r>
      <w:proofErr w:type="spellEnd"/>
      <w:r>
        <w:rPr>
          <w:rtl/>
        </w:rPr>
        <w:t xml:space="preserve"> </w:t>
      </w:r>
      <w:proofErr w:type="spellStart"/>
      <w:r>
        <w:rPr>
          <w:rtl/>
        </w:rPr>
        <w:t>שבהיותם</w:t>
      </w:r>
      <w:proofErr w:type="spellEnd"/>
      <w:r>
        <w:rPr>
          <w:rtl/>
        </w:rPr>
        <w:t xml:space="preserve"> קטינים אושפזו בכפייה, אך בהגיעם לגיל 18 הם משתחררים מהאשפוז, אף אם לא החלימו, והדבר עלול לסכן את חייהם. במצב דברים זה אשפוז בכפייה אינו אפשרי לעניין בגיר שסובל מאנורקסיה </w:t>
      </w:r>
      <w:proofErr w:type="spellStart"/>
      <w:r>
        <w:rPr>
          <w:rtl/>
        </w:rPr>
        <w:t>נרבוזה</w:t>
      </w:r>
      <w:proofErr w:type="spellEnd"/>
      <w:r>
        <w:rPr>
          <w:rtl/>
        </w:rPr>
        <w:t>.</w:t>
      </w:r>
    </w:p>
    <w:p w14:paraId="56D02283" w14:textId="77777777" w:rsidR="000E7D76" w:rsidRDefault="000E7D76" w:rsidP="000E7D76">
      <w:pPr>
        <w:pStyle w:val="Hesber"/>
        <w:rPr>
          <w:rtl/>
        </w:rPr>
      </w:pPr>
      <w:r>
        <w:rPr>
          <w:rtl/>
        </w:rPr>
        <w:t xml:space="preserve">לפיכך, בהצעת חוק זו מוצע לקבוע כי פסיכיאטר מחוזי יהיה רשאי להורות על בדיקה כפויה דחופה, על בדיקה כפויה לא דחופה, על אשפוז כפוי או על טיפול מרפאתי כפוי גם של בגיר הסובל מאנורקסיה </w:t>
      </w:r>
      <w:proofErr w:type="spellStart"/>
      <w:r>
        <w:rPr>
          <w:rtl/>
        </w:rPr>
        <w:t>נרבוזה</w:t>
      </w:r>
      <w:proofErr w:type="spellEnd"/>
      <w:r>
        <w:rPr>
          <w:rtl/>
        </w:rPr>
        <w:t>. להערכת רופאים מומחים, בתחום הפרעות האכילה התיקון המוצע יחול על קבוצה שתמנה כ-20-30 אנשים בשנה, שיאושפזו ביחידה ייעודית במחלקה להפרעות אכילה בבית חולים.</w:t>
      </w:r>
    </w:p>
    <w:p w14:paraId="7F6961CB" w14:textId="633019F9" w:rsidR="00E13C27" w:rsidRDefault="000E7D76" w:rsidP="000E7D76">
      <w:pPr>
        <w:pStyle w:val="Hesber"/>
        <w:rPr>
          <w:rtl/>
        </w:rPr>
      </w:pPr>
      <w:r>
        <w:rPr>
          <w:b/>
          <w:rtl/>
        </w:rPr>
        <w:t>הצע</w:t>
      </w:r>
      <w:r w:rsidR="00C931A2">
        <w:rPr>
          <w:rFonts w:hint="cs"/>
          <w:b/>
          <w:rtl/>
        </w:rPr>
        <w:t>ו</w:t>
      </w:r>
      <w:r>
        <w:rPr>
          <w:b/>
          <w:rtl/>
        </w:rPr>
        <w:t>ת חוק זה</w:t>
      </w:r>
      <w:r w:rsidR="00C931A2">
        <w:rPr>
          <w:rFonts w:hint="cs"/>
          <w:b/>
          <w:rtl/>
        </w:rPr>
        <w:t>ות</w:t>
      </w:r>
      <w:r>
        <w:rPr>
          <w:b/>
          <w:rtl/>
        </w:rPr>
        <w:t xml:space="preserve"> הונח</w:t>
      </w:r>
      <w:r w:rsidR="00C931A2">
        <w:rPr>
          <w:rFonts w:hint="cs"/>
          <w:b/>
          <w:rtl/>
        </w:rPr>
        <w:t>ו</w:t>
      </w:r>
      <w:r>
        <w:rPr>
          <w:b/>
          <w:rtl/>
        </w:rPr>
        <w:t xml:space="preserve"> על שולחן הכנסת התשע-עשרה על ידי חברת הכנסת עדי קול (</w:t>
      </w:r>
      <w:r>
        <w:rPr>
          <w:sz w:val="26"/>
          <w:rtl/>
        </w:rPr>
        <w:t>פ/2532/19</w:t>
      </w:r>
      <w:r>
        <w:rPr>
          <w:b/>
          <w:rtl/>
        </w:rPr>
        <w:t>)</w:t>
      </w:r>
      <w:r>
        <w:rPr>
          <w:rFonts w:hint="cs"/>
          <w:b/>
          <w:rtl/>
        </w:rPr>
        <w:t xml:space="preserve"> ועל שולחן הכנסת העשרים על ידי חברת הכנסת מרב מיכאלי (</w:t>
      </w:r>
      <w:r>
        <w:rPr>
          <w:rtl/>
        </w:rPr>
        <w:t>פ/613/20</w:t>
      </w:r>
      <w:r>
        <w:rPr>
          <w:rFonts w:hint="cs"/>
          <w:rtl/>
        </w:rPr>
        <w:t>).</w:t>
      </w:r>
    </w:p>
    <w:p w14:paraId="10CE0641" w14:textId="77777777" w:rsidR="00942956" w:rsidRDefault="00942956" w:rsidP="000E7D76">
      <w:pPr>
        <w:pStyle w:val="Hesber"/>
        <w:rPr>
          <w:rtl/>
        </w:rPr>
      </w:pPr>
    </w:p>
    <w:p w14:paraId="0DFFDD97" w14:textId="77777777" w:rsidR="00942956" w:rsidRPr="00D73212" w:rsidRDefault="00942956" w:rsidP="00942956">
      <w:pPr>
        <w:pStyle w:val="Hesber"/>
        <w:ind w:firstLine="0"/>
        <w:rPr>
          <w:rtl/>
        </w:rPr>
      </w:pPr>
      <w:r w:rsidRPr="00D73212">
        <w:rPr>
          <w:rtl/>
        </w:rPr>
        <w:t>---------------------------------</w:t>
      </w:r>
    </w:p>
    <w:p w14:paraId="2BE4A2F4" w14:textId="77777777" w:rsidR="00942956" w:rsidRPr="00D73212" w:rsidRDefault="00942956" w:rsidP="00942956">
      <w:pPr>
        <w:pStyle w:val="Hesber"/>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7D4C2DD9" w14:textId="77777777" w:rsidR="00942956" w:rsidRPr="00D73212" w:rsidRDefault="00942956" w:rsidP="00942956">
      <w:pPr>
        <w:pStyle w:val="Hesber"/>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6E87DB69" w14:textId="77777777" w:rsidR="00942956" w:rsidRPr="005E6543" w:rsidRDefault="00942956" w:rsidP="00942956">
      <w:pPr>
        <w:pStyle w:val="Hesber"/>
        <w:ind w:firstLine="0"/>
        <w:rPr>
          <w:rtl/>
        </w:rPr>
      </w:pPr>
      <w:r>
        <w:rPr>
          <w:rFonts w:hint="cs"/>
          <w:rtl/>
        </w:rPr>
        <w:t xml:space="preserve">י"א בכסלו </w:t>
      </w:r>
      <w:proofErr w:type="spellStart"/>
      <w:r w:rsidRPr="00D73212">
        <w:rPr>
          <w:rFonts w:hint="cs"/>
          <w:rtl/>
        </w:rPr>
        <w:t>התש</w:t>
      </w:r>
      <w:r>
        <w:rPr>
          <w:rFonts w:hint="cs"/>
          <w:rtl/>
        </w:rPr>
        <w:t>"ף</w:t>
      </w:r>
      <w:proofErr w:type="spellEnd"/>
      <w:r>
        <w:rPr>
          <w:rFonts w:hint="cs"/>
          <w:rtl/>
        </w:rPr>
        <w:t xml:space="preserve"> </w:t>
      </w:r>
      <w:r w:rsidRPr="00D73212">
        <w:rPr>
          <w:rtl/>
        </w:rPr>
        <w:t>–</w:t>
      </w:r>
      <w:r>
        <w:rPr>
          <w:rFonts w:hint="cs"/>
          <w:rtl/>
        </w:rPr>
        <w:t xml:space="preserve"> 9.12</w:t>
      </w:r>
      <w:r w:rsidRPr="00D73212">
        <w:rPr>
          <w:rtl/>
        </w:rPr>
        <w:t>.</w:t>
      </w:r>
      <w:r>
        <w:rPr>
          <w:rFonts w:hint="cs"/>
          <w:rtl/>
        </w:rPr>
        <w:t>19</w:t>
      </w:r>
    </w:p>
    <w:p w14:paraId="4AD2A48F" w14:textId="77777777" w:rsidR="00942956" w:rsidRPr="000E7D76" w:rsidRDefault="00942956" w:rsidP="000E7D76">
      <w:pPr>
        <w:pStyle w:val="Hesber"/>
        <w:rPr>
          <w:rtl/>
        </w:rPr>
      </w:pPr>
      <w:bookmarkStart w:id="8" w:name="_GoBack"/>
      <w:bookmarkEnd w:id="8"/>
    </w:p>
    <w:sectPr w:rsidR="00942956" w:rsidRPr="000E7D76" w:rsidSect="0094295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2F2A066"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42956">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94295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CEFB461" w14:textId="77777777" w:rsidR="000E7D76" w:rsidRDefault="000E7D76" w:rsidP="000E7D76">
      <w:pPr>
        <w:pStyle w:val="a4"/>
      </w:pPr>
      <w:r>
        <w:rPr>
          <w:rStyle w:val="a6"/>
        </w:rPr>
        <w:footnoteRef/>
      </w:r>
      <w:r>
        <w:rPr>
          <w:rtl/>
        </w:rPr>
        <w:t xml:space="preserve"> ס"ח </w:t>
      </w:r>
      <w:proofErr w:type="spellStart"/>
      <w:r>
        <w:rPr>
          <w:rtl/>
        </w:rPr>
        <w:t>התשנ"א</w:t>
      </w:r>
      <w:proofErr w:type="spellEnd"/>
      <w:r>
        <w:rPr>
          <w:rtl/>
        </w:rPr>
        <w:t>, עמ'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E7D76"/>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580D"/>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2956"/>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37FC"/>
    <w:rsid w:val="00B975AD"/>
    <w:rsid w:val="00BC45FB"/>
    <w:rsid w:val="00BF148D"/>
    <w:rsid w:val="00BF1751"/>
    <w:rsid w:val="00C23B1A"/>
    <w:rsid w:val="00C310EB"/>
    <w:rsid w:val="00C9176A"/>
    <w:rsid w:val="00C931A2"/>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E09E4A3-42D3-4CA6-89E2-1465078A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95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94295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94295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94295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942956"/>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942956"/>
    <w:pPr>
      <w:spacing w:line="259" w:lineRule="auto"/>
      <w:outlineLvl w:val="4"/>
    </w:pPr>
    <w:rPr>
      <w:color w:val="000000" w:themeColor="text1"/>
    </w:rPr>
  </w:style>
  <w:style w:type="character" w:default="1" w:styleId="a0">
    <w:name w:val="Default Paragraph Font"/>
    <w:uiPriority w:val="1"/>
    <w:semiHidden/>
    <w:unhideWhenUsed/>
    <w:rsid w:val="0094295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42956"/>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4295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942956"/>
    <w:rPr>
      <w:sz w:val="36"/>
      <w:szCs w:val="52"/>
    </w:rPr>
  </w:style>
  <w:style w:type="paragraph" w:customStyle="1" w:styleId="Cover3-Haknesset">
    <w:name w:val="Cover 3-Haknesset"/>
    <w:basedOn w:val="Cover1-Reshumot"/>
    <w:rsid w:val="00942956"/>
    <w:rPr>
      <w:b/>
      <w:bCs/>
      <w:spacing w:val="60"/>
    </w:rPr>
  </w:style>
  <w:style w:type="paragraph" w:customStyle="1" w:styleId="Cover4-Date">
    <w:name w:val="Cover 4-Date"/>
    <w:basedOn w:val="a"/>
    <w:rsid w:val="0094295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4295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94295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942956"/>
    <w:pPr>
      <w:spacing w:before="120" w:after="120"/>
    </w:pPr>
    <w:rPr>
      <w:color w:val="FF0000"/>
      <w:w w:val="80"/>
    </w:rPr>
  </w:style>
  <w:style w:type="paragraph" w:styleId="a3">
    <w:name w:val="endnote text"/>
    <w:basedOn w:val="a"/>
    <w:semiHidden/>
    <w:rsid w:val="00942956"/>
    <w:pPr>
      <w:ind w:left="227" w:hanging="227"/>
    </w:pPr>
    <w:rPr>
      <w:sz w:val="14"/>
      <w:szCs w:val="22"/>
    </w:rPr>
  </w:style>
  <w:style w:type="paragraph" w:customStyle="1" w:styleId="TableText">
    <w:name w:val="Table Text"/>
    <w:basedOn w:val="a"/>
    <w:rsid w:val="0094295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942956"/>
    <w:pPr>
      <w:outlineLvl w:val="2"/>
    </w:pPr>
  </w:style>
  <w:style w:type="paragraph" w:customStyle="1" w:styleId="TableBlock">
    <w:name w:val="Table Block"/>
    <w:basedOn w:val="TableText"/>
    <w:rsid w:val="00942956"/>
    <w:pPr>
      <w:jc w:val="both"/>
    </w:pPr>
  </w:style>
  <w:style w:type="paragraph" w:customStyle="1" w:styleId="TableHead">
    <w:name w:val="Table Head"/>
    <w:basedOn w:val="TableText"/>
    <w:rsid w:val="0094295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2956"/>
    <w:pPr>
      <w:outlineLvl w:val="9"/>
    </w:pPr>
  </w:style>
  <w:style w:type="paragraph" w:customStyle="1" w:styleId="Hesber">
    <w:name w:val="Hesber"/>
    <w:basedOn w:val="a"/>
    <w:rsid w:val="00942956"/>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942956"/>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942956"/>
    <w:rPr>
      <w:vertAlign w:val="superscript"/>
    </w:rPr>
  </w:style>
  <w:style w:type="paragraph" w:customStyle="1" w:styleId="HesberHeading">
    <w:name w:val="Hesber Heading"/>
    <w:basedOn w:val="Hesber"/>
    <w:rsid w:val="00942956"/>
    <w:pPr>
      <w:tabs>
        <w:tab w:val="left" w:pos="624"/>
        <w:tab w:val="left" w:pos="1247"/>
      </w:tabs>
    </w:pPr>
    <w:rPr>
      <w:b/>
      <w:bCs/>
    </w:rPr>
  </w:style>
  <w:style w:type="paragraph" w:customStyle="1" w:styleId="HesberWriters">
    <w:name w:val="Hesber Writers"/>
    <w:basedOn w:val="Hesber"/>
    <w:rsid w:val="00942956"/>
    <w:pPr>
      <w:spacing w:before="120" w:after="120"/>
      <w:ind w:left="1418"/>
      <w:jc w:val="right"/>
    </w:pPr>
    <w:rPr>
      <w:b/>
      <w:bCs/>
    </w:rPr>
  </w:style>
  <w:style w:type="paragraph" w:customStyle="1" w:styleId="Hesber1st">
    <w:name w:val="Hesber 1st"/>
    <w:basedOn w:val="Hesber"/>
    <w:rsid w:val="00942956"/>
    <w:pPr>
      <w:tabs>
        <w:tab w:val="left" w:pos="680"/>
        <w:tab w:val="left" w:pos="1020"/>
      </w:tabs>
      <w:ind w:firstLine="0"/>
    </w:pPr>
  </w:style>
  <w:style w:type="character" w:styleId="a7">
    <w:name w:val="endnote reference"/>
    <w:basedOn w:val="a0"/>
    <w:semiHidden/>
    <w:rsid w:val="00942956"/>
    <w:rPr>
      <w:vertAlign w:val="superscript"/>
    </w:rPr>
  </w:style>
  <w:style w:type="paragraph" w:customStyle="1" w:styleId="TableBlockOutdent">
    <w:name w:val="Table BlockOutdent"/>
    <w:basedOn w:val="TableBlock"/>
    <w:rsid w:val="00942956"/>
    <w:pPr>
      <w:ind w:left="624" w:hanging="624"/>
    </w:pPr>
  </w:style>
  <w:style w:type="paragraph" w:styleId="a8">
    <w:name w:val="header"/>
    <w:basedOn w:val="a"/>
    <w:rsid w:val="00942956"/>
    <w:pPr>
      <w:tabs>
        <w:tab w:val="center" w:pos="4153"/>
        <w:tab w:val="right" w:pos="8306"/>
      </w:tabs>
    </w:pPr>
  </w:style>
  <w:style w:type="paragraph" w:styleId="a9">
    <w:name w:val="footer"/>
    <w:basedOn w:val="a"/>
    <w:rsid w:val="00942956"/>
    <w:pPr>
      <w:tabs>
        <w:tab w:val="center" w:pos="4153"/>
        <w:tab w:val="right" w:pos="8306"/>
      </w:tabs>
    </w:pPr>
  </w:style>
  <w:style w:type="paragraph" w:customStyle="1" w:styleId="HeadDivreiHesber">
    <w:name w:val="Head DivreiHesber"/>
    <w:basedOn w:val="a"/>
    <w:rsid w:val="0094295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942956"/>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94295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E7D76"/>
    <w:rPr>
      <w:rFonts w:ascii="Arial" w:eastAsia="Arial Unicode MS" w:hAnsi="Arial" w:cs="David"/>
      <w:snapToGrid w:val="0"/>
      <w:sz w:val="14"/>
    </w:rPr>
  </w:style>
  <w:style w:type="character" w:customStyle="1" w:styleId="10">
    <w:name w:val="כותרת 1 תו"/>
    <w:basedOn w:val="a0"/>
    <w:link w:val="1"/>
    <w:uiPriority w:val="9"/>
    <w:rsid w:val="00942956"/>
    <w:rPr>
      <w:rFonts w:asciiTheme="majorHAnsi" w:eastAsiaTheme="majorEastAsia" w:hAnsiTheme="majorHAnsi" w:cs="David"/>
      <w:bCs/>
      <w:sz w:val="32"/>
      <w:szCs w:val="36"/>
    </w:rPr>
  </w:style>
  <w:style w:type="character" w:customStyle="1" w:styleId="20">
    <w:name w:val="כותרת 2 תו"/>
    <w:basedOn w:val="a0"/>
    <w:link w:val="2"/>
    <w:rsid w:val="00942956"/>
    <w:rPr>
      <w:rFonts w:asciiTheme="majorHAnsi" w:eastAsiaTheme="majorEastAsia" w:hAnsiTheme="majorHAnsi" w:cs="David"/>
      <w:bCs/>
      <w:sz w:val="26"/>
      <w:szCs w:val="36"/>
      <w:u w:val="single"/>
    </w:rPr>
  </w:style>
  <w:style w:type="character" w:customStyle="1" w:styleId="30">
    <w:name w:val="כותרת 3 תו"/>
    <w:basedOn w:val="a0"/>
    <w:link w:val="3"/>
    <w:rsid w:val="00942956"/>
    <w:rPr>
      <w:rFonts w:asciiTheme="majorHAnsi" w:eastAsiaTheme="majorEastAsia" w:hAnsiTheme="majorHAnsi" w:cs="David"/>
      <w:sz w:val="24"/>
      <w:szCs w:val="28"/>
      <w:u w:val="double"/>
    </w:rPr>
  </w:style>
  <w:style w:type="character" w:customStyle="1" w:styleId="40">
    <w:name w:val="כותרת 4 תו"/>
    <w:basedOn w:val="a0"/>
    <w:link w:val="4"/>
    <w:uiPriority w:val="9"/>
    <w:rsid w:val="0094295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942956"/>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942956"/>
    <w:pPr>
      <w:widowControl/>
      <w:spacing w:before="120" w:after="120"/>
      <w:outlineLvl w:val="9"/>
    </w:pPr>
    <w:rPr>
      <w:rtl/>
      <w:cs/>
    </w:rPr>
  </w:style>
  <w:style w:type="paragraph" w:styleId="TOC1">
    <w:name w:val="toc 1"/>
    <w:basedOn w:val="a"/>
    <w:next w:val="a"/>
    <w:autoRedefine/>
    <w:uiPriority w:val="39"/>
    <w:unhideWhenUsed/>
    <w:rsid w:val="00942956"/>
    <w:pPr>
      <w:tabs>
        <w:tab w:val="right" w:leader="dot" w:pos="9629"/>
      </w:tabs>
      <w:spacing w:after="100"/>
    </w:pPr>
    <w:rPr>
      <w:bCs/>
      <w:szCs w:val="22"/>
    </w:rPr>
  </w:style>
  <w:style w:type="paragraph" w:styleId="TOC2">
    <w:name w:val="toc 2"/>
    <w:basedOn w:val="a"/>
    <w:next w:val="a"/>
    <w:uiPriority w:val="39"/>
    <w:unhideWhenUsed/>
    <w:rsid w:val="00942956"/>
    <w:pPr>
      <w:tabs>
        <w:tab w:val="right" w:leader="dot" w:pos="9628"/>
      </w:tabs>
      <w:spacing w:after="100"/>
    </w:pPr>
    <w:rPr>
      <w:szCs w:val="22"/>
    </w:rPr>
  </w:style>
  <w:style w:type="character" w:styleId="Hyperlink">
    <w:name w:val="Hyperlink"/>
    <w:basedOn w:val="a0"/>
    <w:uiPriority w:val="99"/>
    <w:unhideWhenUsed/>
    <w:rsid w:val="00942956"/>
    <w:rPr>
      <w:color w:val="0000FF" w:themeColor="hyperlink"/>
      <w:u w:val="single"/>
    </w:rPr>
  </w:style>
  <w:style w:type="paragraph" w:styleId="TOC3">
    <w:name w:val="toc 3"/>
    <w:basedOn w:val="a"/>
    <w:next w:val="a"/>
    <w:uiPriority w:val="39"/>
    <w:unhideWhenUsed/>
    <w:rsid w:val="00942956"/>
    <w:pPr>
      <w:tabs>
        <w:tab w:val="right" w:leader="dot" w:pos="9629"/>
      </w:tabs>
      <w:spacing w:after="100"/>
      <w:ind w:left="567"/>
    </w:pPr>
    <w:rPr>
      <w:szCs w:val="22"/>
    </w:rPr>
  </w:style>
  <w:style w:type="paragraph" w:styleId="TOC4">
    <w:name w:val="toc 4"/>
    <w:basedOn w:val="a"/>
    <w:next w:val="a"/>
    <w:autoRedefine/>
    <w:unhideWhenUsed/>
    <w:qFormat/>
    <w:rsid w:val="0094295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942956"/>
    <w:pPr>
      <w:tabs>
        <w:tab w:val="right" w:leader="dot" w:pos="9628"/>
      </w:tabs>
      <w:spacing w:after="100"/>
      <w:ind w:left="567"/>
    </w:pPr>
    <w:rPr>
      <w:szCs w:val="22"/>
    </w:rPr>
  </w:style>
  <w:style w:type="paragraph" w:styleId="TOC6">
    <w:name w:val="toc 6"/>
    <w:basedOn w:val="a"/>
    <w:next w:val="a"/>
    <w:autoRedefine/>
    <w:semiHidden/>
    <w:unhideWhenUsed/>
    <w:rsid w:val="00942956"/>
    <w:pPr>
      <w:spacing w:after="100"/>
      <w:ind w:left="850"/>
    </w:pPr>
  </w:style>
  <w:style w:type="paragraph" w:styleId="TOC7">
    <w:name w:val="toc 7"/>
    <w:basedOn w:val="a"/>
    <w:next w:val="a"/>
    <w:autoRedefine/>
    <w:semiHidden/>
    <w:unhideWhenUsed/>
    <w:rsid w:val="00942956"/>
    <w:pPr>
      <w:spacing w:after="100"/>
      <w:ind w:left="1020"/>
    </w:pPr>
  </w:style>
  <w:style w:type="paragraph" w:styleId="TOC8">
    <w:name w:val="toc 8"/>
    <w:basedOn w:val="a"/>
    <w:next w:val="a"/>
    <w:autoRedefine/>
    <w:semiHidden/>
    <w:unhideWhenUsed/>
    <w:rsid w:val="00942956"/>
    <w:pPr>
      <w:spacing w:after="100"/>
      <w:ind w:left="1190"/>
    </w:pPr>
  </w:style>
  <w:style w:type="paragraph" w:styleId="TOC9">
    <w:name w:val="toc 9"/>
    <w:basedOn w:val="a"/>
    <w:next w:val="a"/>
    <w:autoRedefine/>
    <w:semiHidden/>
    <w:unhideWhenUsed/>
    <w:rsid w:val="00942956"/>
    <w:pPr>
      <w:spacing w:after="100"/>
      <w:ind w:left="1360"/>
    </w:pPr>
  </w:style>
  <w:style w:type="paragraph" w:customStyle="1" w:styleId="TableHead2">
    <w:name w:val="Table Head2"/>
    <w:basedOn w:val="TableHead"/>
    <w:qFormat/>
    <w:rsid w:val="00942956"/>
    <w:pPr>
      <w:outlineLvl w:val="9"/>
    </w:pPr>
  </w:style>
  <w:style w:type="paragraph" w:customStyle="1" w:styleId="TableSideHeading2">
    <w:name w:val="Table SideHeading2"/>
    <w:basedOn w:val="TableSideHeading"/>
    <w:autoRedefine/>
    <w:qFormat/>
    <w:rsid w:val="00942956"/>
    <w:pPr>
      <w:keepLines w:val="0"/>
      <w:outlineLvl w:val="9"/>
    </w:pPr>
  </w:style>
  <w:style w:type="paragraph" w:customStyle="1" w:styleId="0">
    <w:name w:val="סגנון שורה ראשונה:  0  ס''מ"/>
    <w:basedOn w:val="2"/>
    <w:rsid w:val="00942956"/>
    <w:rPr>
      <w:rFonts w:eastAsia="Times New Roman"/>
    </w:rPr>
  </w:style>
  <w:style w:type="paragraph" w:styleId="af">
    <w:name w:val="List Paragraph"/>
    <w:basedOn w:val="a"/>
    <w:uiPriority w:val="34"/>
    <w:qFormat/>
    <w:rsid w:val="00942956"/>
    <w:pPr>
      <w:widowControl/>
      <w:spacing w:line="259" w:lineRule="auto"/>
    </w:pPr>
    <w:rPr>
      <w:rFonts w:asciiTheme="minorHAnsi" w:hAnsiTheme="minorHAnsi"/>
      <w:sz w:val="22"/>
    </w:rPr>
  </w:style>
  <w:style w:type="table" w:styleId="af0">
    <w:name w:val="Table Grid"/>
    <w:basedOn w:val="a1"/>
    <w:rsid w:val="009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9429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9429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94295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942956"/>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72832">
      <w:bodyDiv w:val="1"/>
      <w:marLeft w:val="0"/>
      <w:marRight w:val="0"/>
      <w:marTop w:val="0"/>
      <w:marBottom w:val="0"/>
      <w:divBdr>
        <w:top w:val="none" w:sz="0" w:space="0" w:color="auto"/>
        <w:left w:val="none" w:sz="0" w:space="0" w:color="auto"/>
        <w:bottom w:val="none" w:sz="0" w:space="0" w:color="auto"/>
        <w:right w:val="none" w:sz="0" w:space="0" w:color="auto"/>
      </w:divBdr>
    </w:div>
    <w:div w:id="2025134344">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A9EFA2C-D133-40F7-BF34-FF59ACDE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3A81EF-79A8-4A29-A0C2-FE6D8782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378</Words>
  <Characters>2155</Characters>
  <Application>Microsoft Office Word</Application>
  <DocSecurity>0</DocSecurity>
  <Lines>17</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9</cp:revision>
  <cp:lastPrinted>2019-12-01T11:15:00Z</cp:lastPrinted>
  <dcterms:created xsi:type="dcterms:W3CDTF">2015-04-20T09:58:00Z</dcterms:created>
  <dcterms:modified xsi:type="dcterms:W3CDTF">2019-12-04T12:08:00Z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2082790</vt:r8>
  </property>
</Properties>
</file>