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2082672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מרב מיכאלי</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אלון שוסטר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פ/1317/22</w:t>
      </w:r>
      <w:bookmarkEnd w:id="6"/>
    </w:p>
    <w:p w14:paraId="7F6961AC" w14:textId="77777777" w:rsidR="00E13C27" w:rsidRDefault="00E13C27" w:rsidP="00E13C27">
      <w:pPr>
        <w:spacing w:before="0" w:line="360" w:lineRule="auto"/>
        <w:ind w:left="2880" w:firstLine="720"/>
        <w:rPr>
          <w:rFonts w:cs="David"/>
          <w:sz w:val="26"/>
          <w:szCs w:val="26"/>
          <w:rtl/>
        </w:rPr>
      </w:pPr>
    </w:p>
    <w:p w14:paraId="586B22C3" w14:textId="587D92DC" w:rsidR="00624852" w:rsidRPr="00F67051" w:rsidRDefault="00A443CF" w:rsidP="0082670B">
      <w:pPr>
        <w:pStyle w:val="HeadHatzaotHok"/>
        <w:rPr>
          <w:rtl/>
        </w:rPr>
      </w:pPr>
      <w:bookmarkStart w:id="7" w:name="LGS_Subject"/>
      <w:r>
        <w:rPr>
          <w:rFonts w:hint="cs"/>
          <w:rtl/>
        </w:rPr>
        <w:t>הצעת חוק הפסקת היריון, התש"ף–2019</w:t>
      </w:r>
      <w:bookmarkEnd w:id="7"/>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526"/>
      </w:tblGrid>
      <w:tr w:rsidR="00B40D75" w14:paraId="3783241F" w14:textId="77777777" w:rsidTr="00B40D75">
        <w:trPr>
          <w:cantSplit/>
        </w:trPr>
        <w:tc>
          <w:tcPr>
            <w:tcW w:w="1872" w:type="dxa"/>
            <w:hideMark/>
          </w:tcPr>
          <w:p w14:paraId="79C3E88B" w14:textId="77777777" w:rsidR="00B40D75" w:rsidRPr="00C541FB" w:rsidRDefault="00B40D75" w:rsidP="00C541FB">
            <w:pPr>
              <w:pStyle w:val="TableSideHeading"/>
              <w:ind w:right="0"/>
            </w:pPr>
            <w:r w:rsidRPr="00C541FB">
              <w:rPr>
                <w:rtl/>
              </w:rPr>
              <w:t>מטרה</w:t>
            </w:r>
          </w:p>
        </w:tc>
        <w:tc>
          <w:tcPr>
            <w:tcW w:w="624" w:type="dxa"/>
            <w:hideMark/>
          </w:tcPr>
          <w:p w14:paraId="6BBD0864" w14:textId="77777777" w:rsidR="00B40D75" w:rsidRPr="004A5EF5" w:rsidRDefault="00B40D75" w:rsidP="004A5EF5">
            <w:pPr>
              <w:pStyle w:val="TableText"/>
              <w:ind w:right="0"/>
              <w:jc w:val="both"/>
              <w:rPr>
                <w:rtl/>
              </w:rPr>
            </w:pPr>
            <w:r w:rsidRPr="004A5EF5">
              <w:rPr>
                <w:rtl/>
              </w:rPr>
              <w:t>1.</w:t>
            </w:r>
          </w:p>
        </w:tc>
        <w:tc>
          <w:tcPr>
            <w:tcW w:w="7150" w:type="dxa"/>
            <w:gridSpan w:val="2"/>
            <w:hideMark/>
          </w:tcPr>
          <w:p w14:paraId="4DF7D3BF" w14:textId="77777777" w:rsidR="00B40D75" w:rsidRPr="004A5EF5" w:rsidRDefault="00B40D75" w:rsidP="004A5EF5">
            <w:pPr>
              <w:pStyle w:val="TableBlock"/>
              <w:rPr>
                <w:rtl/>
              </w:rPr>
            </w:pPr>
            <w:r w:rsidRPr="004A5EF5">
              <w:rPr>
                <w:rtl/>
              </w:rPr>
              <w:t>מטרתו של חוק זה היא להסדיר את הטיפול בהפסקת היריון בישראל, באופן שיקדם את השוויון בין המינים ויבטיח את זכותה של אישה על גופה, זכותה לבריאות, לחירות ולהגנה על כבודה כאדם, תוך הכרה בפוטנציאל החיות של העובר ובשים לב לגיל ההיריון.</w:t>
            </w:r>
          </w:p>
        </w:tc>
      </w:tr>
      <w:tr w:rsidR="00B40D75" w14:paraId="2144B33D" w14:textId="77777777" w:rsidTr="00B40D75">
        <w:trPr>
          <w:cantSplit/>
        </w:trPr>
        <w:tc>
          <w:tcPr>
            <w:tcW w:w="1872" w:type="dxa"/>
            <w:hideMark/>
          </w:tcPr>
          <w:p w14:paraId="3D0D9C05" w14:textId="77777777" w:rsidR="00B40D75" w:rsidRPr="00C541FB" w:rsidRDefault="00B40D75" w:rsidP="00C541FB">
            <w:pPr>
              <w:pStyle w:val="TableSideHeading"/>
              <w:rPr>
                <w:rtl/>
              </w:rPr>
            </w:pPr>
            <w:r w:rsidRPr="00C541FB">
              <w:rPr>
                <w:rtl/>
              </w:rPr>
              <w:t>הגדרות</w:t>
            </w:r>
          </w:p>
        </w:tc>
        <w:tc>
          <w:tcPr>
            <w:tcW w:w="624" w:type="dxa"/>
            <w:hideMark/>
          </w:tcPr>
          <w:p w14:paraId="4E272EBA" w14:textId="77777777" w:rsidR="00B40D75" w:rsidRPr="004A5EF5" w:rsidRDefault="00B40D75" w:rsidP="004A5EF5">
            <w:pPr>
              <w:pStyle w:val="TableText"/>
            </w:pPr>
            <w:r w:rsidRPr="004A5EF5">
              <w:rPr>
                <w:rtl/>
              </w:rPr>
              <w:t>2.</w:t>
            </w:r>
          </w:p>
        </w:tc>
        <w:tc>
          <w:tcPr>
            <w:tcW w:w="7150" w:type="dxa"/>
            <w:gridSpan w:val="2"/>
            <w:hideMark/>
          </w:tcPr>
          <w:p w14:paraId="50387747" w14:textId="77777777" w:rsidR="00B40D75" w:rsidRPr="004A5EF5" w:rsidRDefault="00B40D75" w:rsidP="004A5EF5">
            <w:pPr>
              <w:pStyle w:val="TableBlock"/>
            </w:pPr>
            <w:r w:rsidRPr="004A5EF5">
              <w:rPr>
                <w:rtl/>
              </w:rPr>
              <w:t>בחוק זה –</w:t>
            </w:r>
          </w:p>
        </w:tc>
      </w:tr>
      <w:tr w:rsidR="00B40D75" w14:paraId="27BBA664" w14:textId="77777777" w:rsidTr="00B40D75">
        <w:trPr>
          <w:cantSplit/>
        </w:trPr>
        <w:tc>
          <w:tcPr>
            <w:tcW w:w="1872" w:type="dxa"/>
          </w:tcPr>
          <w:p w14:paraId="639CF9D5" w14:textId="77777777" w:rsidR="00B40D75" w:rsidRPr="00C541FB" w:rsidRDefault="00B40D75" w:rsidP="00C541FB">
            <w:pPr>
              <w:pStyle w:val="TableSideHeading"/>
              <w:rPr>
                <w:rtl/>
              </w:rPr>
            </w:pPr>
          </w:p>
        </w:tc>
        <w:tc>
          <w:tcPr>
            <w:tcW w:w="624" w:type="dxa"/>
          </w:tcPr>
          <w:p w14:paraId="182955F2" w14:textId="77777777" w:rsidR="00B40D75" w:rsidRPr="004A5EF5" w:rsidRDefault="00B40D75" w:rsidP="004A5EF5">
            <w:pPr>
              <w:pStyle w:val="TableText"/>
              <w:rPr>
                <w:rtl/>
              </w:rPr>
            </w:pPr>
          </w:p>
        </w:tc>
        <w:tc>
          <w:tcPr>
            <w:tcW w:w="7150" w:type="dxa"/>
            <w:gridSpan w:val="2"/>
            <w:hideMark/>
          </w:tcPr>
          <w:p w14:paraId="04D2D82B" w14:textId="77777777" w:rsidR="00B40D75" w:rsidRPr="004A5EF5" w:rsidRDefault="00B40D75" w:rsidP="004A5EF5">
            <w:pPr>
              <w:pStyle w:val="TableBlock"/>
              <w:rPr>
                <w:rtl/>
              </w:rPr>
            </w:pPr>
            <w:r w:rsidRPr="004A5EF5">
              <w:rPr>
                <w:rtl/>
              </w:rPr>
              <w:t>"גיל ההיריון" – גיל ההיריון כפי שנקבע לפי בדיקת הדמיה (אולטרסאונד);</w:t>
            </w:r>
          </w:p>
        </w:tc>
      </w:tr>
      <w:tr w:rsidR="00B40D75" w14:paraId="4A3CF0DD" w14:textId="77777777" w:rsidTr="00B40D75">
        <w:trPr>
          <w:cantSplit/>
        </w:trPr>
        <w:tc>
          <w:tcPr>
            <w:tcW w:w="1872" w:type="dxa"/>
          </w:tcPr>
          <w:p w14:paraId="64EB09B7" w14:textId="77777777" w:rsidR="00B40D75" w:rsidRPr="00C541FB" w:rsidRDefault="00B40D75" w:rsidP="00C541FB">
            <w:pPr>
              <w:pStyle w:val="TableSideHeading"/>
              <w:rPr>
                <w:rtl/>
              </w:rPr>
            </w:pPr>
          </w:p>
        </w:tc>
        <w:tc>
          <w:tcPr>
            <w:tcW w:w="624" w:type="dxa"/>
          </w:tcPr>
          <w:p w14:paraId="27E0A4F2" w14:textId="77777777" w:rsidR="00B40D75" w:rsidRPr="004A5EF5" w:rsidRDefault="00B40D75" w:rsidP="004A5EF5">
            <w:pPr>
              <w:pStyle w:val="TableText"/>
              <w:rPr>
                <w:rtl/>
              </w:rPr>
            </w:pPr>
          </w:p>
        </w:tc>
        <w:tc>
          <w:tcPr>
            <w:tcW w:w="7150" w:type="dxa"/>
            <w:gridSpan w:val="2"/>
            <w:hideMark/>
          </w:tcPr>
          <w:p w14:paraId="7024AE3B" w14:textId="77777777" w:rsidR="00B40D75" w:rsidRPr="004A5EF5" w:rsidRDefault="00B40D75" w:rsidP="004A5EF5">
            <w:pPr>
              <w:pStyle w:val="TableBlock"/>
              <w:rPr>
                <w:rtl/>
              </w:rPr>
            </w:pPr>
            <w:r w:rsidRPr="004A5EF5">
              <w:rPr>
                <w:rtl/>
              </w:rPr>
              <w:t>"ועדה להפסקת היריון" – ועדה שמונתה לפי סעיף 7;</w:t>
            </w:r>
          </w:p>
        </w:tc>
      </w:tr>
      <w:tr w:rsidR="00B40D75" w14:paraId="2C924848" w14:textId="77777777" w:rsidTr="00B40D75">
        <w:trPr>
          <w:cantSplit/>
        </w:trPr>
        <w:tc>
          <w:tcPr>
            <w:tcW w:w="1872" w:type="dxa"/>
          </w:tcPr>
          <w:p w14:paraId="1EF129A0" w14:textId="77777777" w:rsidR="00B40D75" w:rsidRPr="00C541FB" w:rsidRDefault="00B40D75" w:rsidP="00C541FB">
            <w:pPr>
              <w:pStyle w:val="TableSideHeading"/>
              <w:rPr>
                <w:rtl/>
              </w:rPr>
            </w:pPr>
          </w:p>
        </w:tc>
        <w:tc>
          <w:tcPr>
            <w:tcW w:w="624" w:type="dxa"/>
          </w:tcPr>
          <w:p w14:paraId="24D6A2B6" w14:textId="77777777" w:rsidR="00B40D75" w:rsidRPr="004A5EF5" w:rsidRDefault="00B40D75" w:rsidP="004A5EF5">
            <w:pPr>
              <w:pStyle w:val="TableText"/>
              <w:rPr>
                <w:rtl/>
              </w:rPr>
            </w:pPr>
          </w:p>
        </w:tc>
        <w:tc>
          <w:tcPr>
            <w:tcW w:w="7150" w:type="dxa"/>
            <w:gridSpan w:val="2"/>
            <w:hideMark/>
          </w:tcPr>
          <w:p w14:paraId="592CF3D0" w14:textId="77777777" w:rsidR="00B40D75" w:rsidRPr="004A5EF5" w:rsidRDefault="00B40D75" w:rsidP="004A5EF5">
            <w:pPr>
              <w:pStyle w:val="TableBlock"/>
              <w:rPr>
                <w:rtl/>
              </w:rPr>
            </w:pPr>
            <w:r w:rsidRPr="004A5EF5">
              <w:rPr>
                <w:rtl/>
              </w:rPr>
              <w:t xml:space="preserve">"מוסד רפואי מוכר" – בית חולים או מרפאה ששר הבריאות הכיר בהם, בהודעה ברשומות, כמוסד רפואי לעניין חוק זה; </w:t>
            </w:r>
          </w:p>
        </w:tc>
      </w:tr>
      <w:tr w:rsidR="00B40D75" w14:paraId="5C53F17F" w14:textId="77777777" w:rsidTr="00B40D75">
        <w:trPr>
          <w:cantSplit/>
        </w:trPr>
        <w:tc>
          <w:tcPr>
            <w:tcW w:w="1872" w:type="dxa"/>
          </w:tcPr>
          <w:p w14:paraId="02EBC435" w14:textId="77777777" w:rsidR="00B40D75" w:rsidRPr="00C541FB" w:rsidRDefault="00B40D75" w:rsidP="00C541FB">
            <w:pPr>
              <w:pStyle w:val="TableSideHeading"/>
              <w:rPr>
                <w:rtl/>
              </w:rPr>
            </w:pPr>
          </w:p>
        </w:tc>
        <w:tc>
          <w:tcPr>
            <w:tcW w:w="624" w:type="dxa"/>
          </w:tcPr>
          <w:p w14:paraId="29D2D4C3" w14:textId="77777777" w:rsidR="00B40D75" w:rsidRPr="004A5EF5" w:rsidRDefault="00B40D75" w:rsidP="004A5EF5">
            <w:pPr>
              <w:pStyle w:val="TableText"/>
              <w:rPr>
                <w:rtl/>
              </w:rPr>
            </w:pPr>
          </w:p>
        </w:tc>
        <w:tc>
          <w:tcPr>
            <w:tcW w:w="7150" w:type="dxa"/>
            <w:gridSpan w:val="2"/>
            <w:hideMark/>
          </w:tcPr>
          <w:p w14:paraId="1838F677" w14:textId="77777777" w:rsidR="00B40D75" w:rsidRPr="004A5EF5" w:rsidRDefault="00B40D75" w:rsidP="004A5EF5">
            <w:pPr>
              <w:pStyle w:val="TableBlock"/>
              <w:rPr>
                <w:rtl/>
              </w:rPr>
            </w:pPr>
            <w:r w:rsidRPr="004A5EF5">
              <w:rPr>
                <w:rtl/>
              </w:rPr>
              <w:t>"עובד סוציאלי" – כהגדרתו בחוק העובדים הסוציאליים, התשנ"ו</w:t>
            </w:r>
            <w:r w:rsidRPr="004A5EF5">
              <w:t>–</w:t>
            </w:r>
            <w:r w:rsidRPr="004A5EF5">
              <w:rPr>
                <w:rtl/>
              </w:rPr>
              <w:t>1996</w:t>
            </w:r>
            <w:r w:rsidRPr="004A5EF5">
              <w:rPr>
                <w:vertAlign w:val="superscript"/>
                <w:rtl/>
              </w:rPr>
              <w:footnoteReference w:id="2"/>
            </w:r>
            <w:r w:rsidRPr="004A5EF5">
              <w:rPr>
                <w:rtl/>
              </w:rPr>
              <w:t>;</w:t>
            </w:r>
          </w:p>
        </w:tc>
      </w:tr>
      <w:tr w:rsidR="00B40D75" w14:paraId="263FA09B" w14:textId="77777777" w:rsidTr="00B40D75">
        <w:trPr>
          <w:cantSplit/>
        </w:trPr>
        <w:tc>
          <w:tcPr>
            <w:tcW w:w="1872" w:type="dxa"/>
          </w:tcPr>
          <w:p w14:paraId="1B646CCE" w14:textId="77777777" w:rsidR="00B40D75" w:rsidRPr="00C541FB" w:rsidRDefault="00B40D75" w:rsidP="00C541FB">
            <w:pPr>
              <w:pStyle w:val="TableSideHeading"/>
              <w:rPr>
                <w:rtl/>
              </w:rPr>
            </w:pPr>
          </w:p>
        </w:tc>
        <w:tc>
          <w:tcPr>
            <w:tcW w:w="624" w:type="dxa"/>
          </w:tcPr>
          <w:p w14:paraId="76AEE23D" w14:textId="77777777" w:rsidR="00B40D75" w:rsidRPr="004A5EF5" w:rsidRDefault="00B40D75" w:rsidP="004A5EF5">
            <w:pPr>
              <w:pStyle w:val="TableText"/>
              <w:rPr>
                <w:rtl/>
              </w:rPr>
            </w:pPr>
          </w:p>
        </w:tc>
        <w:tc>
          <w:tcPr>
            <w:tcW w:w="7150" w:type="dxa"/>
            <w:gridSpan w:val="2"/>
            <w:hideMark/>
          </w:tcPr>
          <w:p w14:paraId="2E2A4256" w14:textId="77777777" w:rsidR="00B40D75" w:rsidRPr="004A5EF5" w:rsidRDefault="00B40D75" w:rsidP="004A5EF5">
            <w:pPr>
              <w:pStyle w:val="TableBlock"/>
              <w:rPr>
                <w:rtl/>
              </w:rPr>
            </w:pPr>
            <w:r w:rsidRPr="004A5EF5">
              <w:rPr>
                <w:rtl/>
              </w:rPr>
              <w:t>"רופא נשים" – רופא מומחה ביילוד ובגניקולוגיה או רופא המתמחה, לשם קבלת אותו תואר, במוסד רפואי מוכר בפיקוח של רופא מומחה כאמור;</w:t>
            </w:r>
          </w:p>
        </w:tc>
      </w:tr>
      <w:tr w:rsidR="00B40D75" w14:paraId="1DA8B704" w14:textId="77777777" w:rsidTr="00B40D75">
        <w:trPr>
          <w:cantSplit/>
        </w:trPr>
        <w:tc>
          <w:tcPr>
            <w:tcW w:w="1872" w:type="dxa"/>
          </w:tcPr>
          <w:p w14:paraId="72011919" w14:textId="77777777" w:rsidR="00B40D75" w:rsidRPr="00C541FB" w:rsidRDefault="00B40D75" w:rsidP="00C541FB">
            <w:pPr>
              <w:pStyle w:val="TableSideHeading"/>
              <w:rPr>
                <w:highlight w:val="yellow"/>
                <w:rtl/>
              </w:rPr>
            </w:pPr>
          </w:p>
        </w:tc>
        <w:tc>
          <w:tcPr>
            <w:tcW w:w="624" w:type="dxa"/>
          </w:tcPr>
          <w:p w14:paraId="2F2CB62A" w14:textId="77777777" w:rsidR="00B40D75" w:rsidRPr="004A5EF5" w:rsidRDefault="00B40D75" w:rsidP="004A5EF5">
            <w:pPr>
              <w:pStyle w:val="TableText"/>
              <w:rPr>
                <w:rtl/>
              </w:rPr>
            </w:pPr>
          </w:p>
        </w:tc>
        <w:tc>
          <w:tcPr>
            <w:tcW w:w="7150" w:type="dxa"/>
            <w:gridSpan w:val="2"/>
            <w:hideMark/>
          </w:tcPr>
          <w:p w14:paraId="61553A41" w14:textId="77777777" w:rsidR="00B40D75" w:rsidRPr="004A5EF5" w:rsidRDefault="00B40D75" w:rsidP="004A5EF5">
            <w:pPr>
              <w:pStyle w:val="TableBlock"/>
              <w:rPr>
                <w:rtl/>
              </w:rPr>
            </w:pPr>
            <w:r w:rsidRPr="004A5EF5">
              <w:rPr>
                <w:rtl/>
              </w:rPr>
              <w:t>"תקופה ראשונה" – התקופה שמתחילת ההיריון ועד לסוף השבוע ה-13 להיריון;</w:t>
            </w:r>
          </w:p>
        </w:tc>
      </w:tr>
      <w:tr w:rsidR="00B40D75" w14:paraId="2B7257EF" w14:textId="77777777" w:rsidTr="00B40D75">
        <w:trPr>
          <w:cantSplit/>
        </w:trPr>
        <w:tc>
          <w:tcPr>
            <w:tcW w:w="1872" w:type="dxa"/>
          </w:tcPr>
          <w:p w14:paraId="6C81E167" w14:textId="77777777" w:rsidR="00B40D75" w:rsidRPr="00C541FB" w:rsidRDefault="00B40D75" w:rsidP="00C541FB">
            <w:pPr>
              <w:pStyle w:val="TableSideHeading"/>
              <w:rPr>
                <w:highlight w:val="yellow"/>
                <w:rtl/>
              </w:rPr>
            </w:pPr>
          </w:p>
        </w:tc>
        <w:tc>
          <w:tcPr>
            <w:tcW w:w="624" w:type="dxa"/>
          </w:tcPr>
          <w:p w14:paraId="4DB11B29" w14:textId="77777777" w:rsidR="00B40D75" w:rsidRPr="004A5EF5" w:rsidRDefault="00B40D75" w:rsidP="004A5EF5">
            <w:pPr>
              <w:pStyle w:val="TableText"/>
              <w:rPr>
                <w:rtl/>
              </w:rPr>
            </w:pPr>
          </w:p>
        </w:tc>
        <w:tc>
          <w:tcPr>
            <w:tcW w:w="7150" w:type="dxa"/>
            <w:gridSpan w:val="2"/>
            <w:hideMark/>
          </w:tcPr>
          <w:p w14:paraId="1E6BDFB8" w14:textId="77777777" w:rsidR="00B40D75" w:rsidRPr="004A5EF5" w:rsidRDefault="00B40D75" w:rsidP="004A5EF5">
            <w:pPr>
              <w:pStyle w:val="TableBlock"/>
              <w:rPr>
                <w:rtl/>
              </w:rPr>
            </w:pPr>
            <w:r w:rsidRPr="004A5EF5">
              <w:rPr>
                <w:rtl/>
              </w:rPr>
              <w:t>"תקופה שנייה" – התקופה שבין תחילת השבוע ה-14 להיריון ועד לסוף השבוע ה-24 להיריון;</w:t>
            </w:r>
          </w:p>
        </w:tc>
      </w:tr>
      <w:tr w:rsidR="00B40D75" w14:paraId="23E63599" w14:textId="77777777" w:rsidTr="00B40D75">
        <w:trPr>
          <w:cantSplit/>
        </w:trPr>
        <w:tc>
          <w:tcPr>
            <w:tcW w:w="1872" w:type="dxa"/>
          </w:tcPr>
          <w:p w14:paraId="5CA4273E" w14:textId="77777777" w:rsidR="00B40D75" w:rsidRPr="00C541FB" w:rsidRDefault="00B40D75" w:rsidP="00C541FB">
            <w:pPr>
              <w:pStyle w:val="TableSideHeading"/>
              <w:rPr>
                <w:highlight w:val="yellow"/>
                <w:rtl/>
              </w:rPr>
            </w:pPr>
          </w:p>
        </w:tc>
        <w:tc>
          <w:tcPr>
            <w:tcW w:w="624" w:type="dxa"/>
          </w:tcPr>
          <w:p w14:paraId="208250F0" w14:textId="77777777" w:rsidR="00B40D75" w:rsidRPr="004A5EF5" w:rsidRDefault="00B40D75" w:rsidP="004A5EF5">
            <w:pPr>
              <w:pStyle w:val="TableText"/>
              <w:rPr>
                <w:rtl/>
              </w:rPr>
            </w:pPr>
          </w:p>
        </w:tc>
        <w:tc>
          <w:tcPr>
            <w:tcW w:w="7150" w:type="dxa"/>
            <w:gridSpan w:val="2"/>
            <w:hideMark/>
          </w:tcPr>
          <w:p w14:paraId="4267D1BE" w14:textId="77777777" w:rsidR="00B40D75" w:rsidRPr="004A5EF5" w:rsidRDefault="00B40D75" w:rsidP="004A5EF5">
            <w:pPr>
              <w:pStyle w:val="TableBlock"/>
              <w:rPr>
                <w:rtl/>
              </w:rPr>
            </w:pPr>
            <w:r w:rsidRPr="004A5EF5">
              <w:rPr>
                <w:rtl/>
              </w:rPr>
              <w:t>"תקופה שלישית" – התקופה שבין תחילת השבוע ה-25 להיריון ועד סיום ההיריון;</w:t>
            </w:r>
          </w:p>
        </w:tc>
      </w:tr>
      <w:tr w:rsidR="00B40D75" w14:paraId="290D1BA6" w14:textId="77777777" w:rsidTr="00B40D75">
        <w:trPr>
          <w:cantSplit/>
        </w:trPr>
        <w:tc>
          <w:tcPr>
            <w:tcW w:w="1872" w:type="dxa"/>
          </w:tcPr>
          <w:p w14:paraId="51A304AD" w14:textId="77777777" w:rsidR="00B40D75" w:rsidRPr="00C541FB" w:rsidRDefault="00B40D75" w:rsidP="00C541FB">
            <w:pPr>
              <w:pStyle w:val="TableSideHeading"/>
              <w:rPr>
                <w:highlight w:val="yellow"/>
                <w:rtl/>
              </w:rPr>
            </w:pPr>
          </w:p>
        </w:tc>
        <w:tc>
          <w:tcPr>
            <w:tcW w:w="624" w:type="dxa"/>
          </w:tcPr>
          <w:p w14:paraId="75F72F5F" w14:textId="77777777" w:rsidR="00B40D75" w:rsidRPr="004A5EF5" w:rsidRDefault="00B40D75" w:rsidP="004A5EF5">
            <w:pPr>
              <w:pStyle w:val="TableText"/>
              <w:rPr>
                <w:rtl/>
              </w:rPr>
            </w:pPr>
          </w:p>
        </w:tc>
        <w:tc>
          <w:tcPr>
            <w:tcW w:w="7150" w:type="dxa"/>
            <w:gridSpan w:val="2"/>
            <w:hideMark/>
          </w:tcPr>
          <w:p w14:paraId="26E13724" w14:textId="77777777" w:rsidR="00B40D75" w:rsidRPr="004A5EF5" w:rsidRDefault="00B40D75" w:rsidP="004A5EF5">
            <w:pPr>
              <w:pStyle w:val="TableBlock"/>
              <w:rPr>
                <w:rtl/>
              </w:rPr>
            </w:pPr>
            <w:r w:rsidRPr="004A5EF5">
              <w:rPr>
                <w:rtl/>
              </w:rPr>
              <w:t>"השר"  – שר הבריאות.</w:t>
            </w:r>
          </w:p>
        </w:tc>
      </w:tr>
      <w:tr w:rsidR="00B40D75" w14:paraId="3B7D235A" w14:textId="77777777" w:rsidTr="00B40D75">
        <w:trPr>
          <w:cantSplit/>
        </w:trPr>
        <w:tc>
          <w:tcPr>
            <w:tcW w:w="1872" w:type="dxa"/>
            <w:hideMark/>
          </w:tcPr>
          <w:p w14:paraId="76EA724A" w14:textId="77777777" w:rsidR="00B40D75" w:rsidRPr="00C541FB" w:rsidRDefault="00B40D75" w:rsidP="00C541FB">
            <w:pPr>
              <w:pStyle w:val="TableSideHeading"/>
              <w:rPr>
                <w:highlight w:val="yellow"/>
                <w:rtl/>
              </w:rPr>
            </w:pPr>
            <w:r w:rsidRPr="00C541FB">
              <w:rPr>
                <w:rtl/>
              </w:rPr>
              <w:t>מוסד רפואי מוכר</w:t>
            </w:r>
          </w:p>
        </w:tc>
        <w:tc>
          <w:tcPr>
            <w:tcW w:w="624" w:type="dxa"/>
            <w:hideMark/>
          </w:tcPr>
          <w:p w14:paraId="1B2F698F" w14:textId="77777777" w:rsidR="00B40D75" w:rsidRPr="004A5EF5" w:rsidRDefault="00B40D75" w:rsidP="004A5EF5">
            <w:pPr>
              <w:pStyle w:val="TableText"/>
              <w:rPr>
                <w:rtl/>
              </w:rPr>
            </w:pPr>
            <w:r w:rsidRPr="004A5EF5">
              <w:rPr>
                <w:rtl/>
              </w:rPr>
              <w:t>3.</w:t>
            </w:r>
          </w:p>
        </w:tc>
        <w:tc>
          <w:tcPr>
            <w:tcW w:w="7150" w:type="dxa"/>
            <w:gridSpan w:val="2"/>
            <w:hideMark/>
          </w:tcPr>
          <w:p w14:paraId="04F1635A" w14:textId="77777777" w:rsidR="00B40D75" w:rsidRPr="004A5EF5" w:rsidRDefault="00B40D75" w:rsidP="004A5EF5">
            <w:pPr>
              <w:pStyle w:val="TableBlock"/>
              <w:rPr>
                <w:rtl/>
              </w:rPr>
            </w:pPr>
            <w:r w:rsidRPr="004A5EF5">
              <w:rPr>
                <w:rtl/>
              </w:rPr>
              <w:t>לא תבוצע הפסקת היריון אלא במוסד רפואי מוכר.</w:t>
            </w:r>
          </w:p>
        </w:tc>
      </w:tr>
      <w:tr w:rsidR="00B40D75" w14:paraId="55B915CD" w14:textId="77777777" w:rsidTr="00B40D75">
        <w:trPr>
          <w:cantSplit/>
        </w:trPr>
        <w:tc>
          <w:tcPr>
            <w:tcW w:w="1872" w:type="dxa"/>
            <w:hideMark/>
          </w:tcPr>
          <w:p w14:paraId="4AC1FB40" w14:textId="77777777" w:rsidR="00B40D75" w:rsidRPr="00C541FB" w:rsidRDefault="00B40D75" w:rsidP="00C541FB">
            <w:pPr>
              <w:pStyle w:val="TableSideHeading"/>
              <w:rPr>
                <w:rtl/>
              </w:rPr>
            </w:pPr>
            <w:r w:rsidRPr="00C541FB">
              <w:rPr>
                <w:rtl/>
              </w:rPr>
              <w:lastRenderedPageBreak/>
              <w:t>הסכמה מדעת, ייעוץ ותמיכה</w:t>
            </w:r>
          </w:p>
        </w:tc>
        <w:tc>
          <w:tcPr>
            <w:tcW w:w="624" w:type="dxa"/>
            <w:hideMark/>
          </w:tcPr>
          <w:p w14:paraId="0ED0B200" w14:textId="77777777" w:rsidR="00B40D75" w:rsidRPr="004A5EF5" w:rsidRDefault="00B40D75" w:rsidP="004A5EF5">
            <w:pPr>
              <w:pStyle w:val="TableText"/>
              <w:rPr>
                <w:rtl/>
              </w:rPr>
            </w:pPr>
            <w:r w:rsidRPr="004A5EF5">
              <w:rPr>
                <w:rtl/>
              </w:rPr>
              <w:t>4.</w:t>
            </w:r>
          </w:p>
        </w:tc>
        <w:tc>
          <w:tcPr>
            <w:tcW w:w="7150" w:type="dxa"/>
            <w:gridSpan w:val="2"/>
            <w:hideMark/>
          </w:tcPr>
          <w:p w14:paraId="7749651E" w14:textId="77777777" w:rsidR="00B40D75" w:rsidRPr="004A5EF5" w:rsidRDefault="00B40D75" w:rsidP="004A5EF5">
            <w:pPr>
              <w:pStyle w:val="TableBlock"/>
              <w:rPr>
                <w:rtl/>
              </w:rPr>
            </w:pPr>
            <w:r w:rsidRPr="004A5EF5">
              <w:rPr>
                <w:rtl/>
              </w:rPr>
              <w:t>(א)</w:t>
            </w:r>
            <w:r w:rsidRPr="004A5EF5">
              <w:rPr>
                <w:rtl/>
              </w:rPr>
              <w:tab/>
              <w:t>לא תבוצע הפסקת היריון אלא לפי בקשתה של הפונה להפסקת ההיריון (בחוק זה – הפונה), ולאחר שניתנה הסכמתה מדעת לפי הוראות סעיף קטן (ב).</w:t>
            </w:r>
          </w:p>
        </w:tc>
      </w:tr>
      <w:tr w:rsidR="00B40D75" w14:paraId="0897BF69" w14:textId="77777777" w:rsidTr="00B40D75">
        <w:trPr>
          <w:cantSplit/>
        </w:trPr>
        <w:tc>
          <w:tcPr>
            <w:tcW w:w="1872" w:type="dxa"/>
          </w:tcPr>
          <w:p w14:paraId="38863483" w14:textId="77777777" w:rsidR="00B40D75" w:rsidRPr="00C541FB" w:rsidRDefault="00B40D75" w:rsidP="00C541FB">
            <w:pPr>
              <w:pStyle w:val="TableSideHeading"/>
              <w:rPr>
                <w:highlight w:val="yellow"/>
                <w:rtl/>
              </w:rPr>
            </w:pPr>
          </w:p>
        </w:tc>
        <w:tc>
          <w:tcPr>
            <w:tcW w:w="624" w:type="dxa"/>
          </w:tcPr>
          <w:p w14:paraId="0F9953AB" w14:textId="77777777" w:rsidR="00B40D75" w:rsidRPr="004A5EF5" w:rsidRDefault="00B40D75" w:rsidP="004A5EF5">
            <w:pPr>
              <w:pStyle w:val="TableText"/>
              <w:rPr>
                <w:rtl/>
              </w:rPr>
            </w:pPr>
          </w:p>
        </w:tc>
        <w:tc>
          <w:tcPr>
            <w:tcW w:w="7150" w:type="dxa"/>
            <w:gridSpan w:val="2"/>
            <w:hideMark/>
          </w:tcPr>
          <w:p w14:paraId="082B84F1" w14:textId="77777777" w:rsidR="00B40D75" w:rsidRPr="004A5EF5" w:rsidRDefault="00B40D75" w:rsidP="004A5EF5">
            <w:pPr>
              <w:pStyle w:val="TableBlock"/>
              <w:rPr>
                <w:highlight w:val="yellow"/>
                <w:rtl/>
              </w:rPr>
            </w:pPr>
            <w:r w:rsidRPr="004A5EF5">
              <w:rPr>
                <w:rtl/>
              </w:rPr>
              <w:t>(ב)</w:t>
            </w:r>
            <w:r w:rsidRPr="004A5EF5">
              <w:rPr>
                <w:rtl/>
              </w:rPr>
              <w:tab/>
              <w:t xml:space="preserve">לשם מתן הסכמתה מדעת של הפונה, יימסר לפונה על ידי עובד סוציאלי, אחות או רופא נשים, מידע אודות פרטי ההליך הרפואי העתיד להתבצע, והסיכונים הגופניים והנפשיים הכרוכים בו; הסכמה מדעת להפסקת ההיריון תינתן במסמך בכתב, בנוסח שיקבע השר, שיכלול את תמצית ההסבר שניתן לפונה. </w:t>
            </w:r>
          </w:p>
        </w:tc>
      </w:tr>
      <w:tr w:rsidR="00B40D75" w14:paraId="0FC2E1D1" w14:textId="77777777" w:rsidTr="00B40D75">
        <w:trPr>
          <w:cantSplit/>
        </w:trPr>
        <w:tc>
          <w:tcPr>
            <w:tcW w:w="1872" w:type="dxa"/>
          </w:tcPr>
          <w:p w14:paraId="4096D8EA" w14:textId="77777777" w:rsidR="00B40D75" w:rsidRPr="00C541FB" w:rsidRDefault="00B40D75" w:rsidP="00C541FB">
            <w:pPr>
              <w:pStyle w:val="TableSideHeading"/>
              <w:rPr>
                <w:rtl/>
              </w:rPr>
            </w:pPr>
          </w:p>
        </w:tc>
        <w:tc>
          <w:tcPr>
            <w:tcW w:w="624" w:type="dxa"/>
          </w:tcPr>
          <w:p w14:paraId="760C6491" w14:textId="77777777" w:rsidR="00B40D75" w:rsidRPr="004A5EF5" w:rsidRDefault="00B40D75" w:rsidP="004A5EF5">
            <w:pPr>
              <w:pStyle w:val="TableText"/>
              <w:rPr>
                <w:rtl/>
              </w:rPr>
            </w:pPr>
          </w:p>
        </w:tc>
        <w:tc>
          <w:tcPr>
            <w:tcW w:w="7150" w:type="dxa"/>
            <w:gridSpan w:val="2"/>
            <w:hideMark/>
          </w:tcPr>
          <w:p w14:paraId="547B0D87" w14:textId="77777777" w:rsidR="00B40D75" w:rsidRPr="004A5EF5" w:rsidRDefault="00B40D75" w:rsidP="004A5EF5">
            <w:pPr>
              <w:pStyle w:val="TableBlock"/>
              <w:rPr>
                <w:rtl/>
              </w:rPr>
            </w:pPr>
            <w:r w:rsidRPr="004A5EF5">
              <w:rPr>
                <w:rtl/>
              </w:rPr>
              <w:t>(ג)</w:t>
            </w:r>
            <w:r w:rsidRPr="004A5EF5">
              <w:rPr>
                <w:rtl/>
              </w:rPr>
              <w:tab/>
              <w:t>הסכמה מדעת של פונה שהיא קטינה להפסקת היריון אינה טעונה אישור אפוטרופוסה.</w:t>
            </w:r>
          </w:p>
        </w:tc>
      </w:tr>
      <w:tr w:rsidR="00B40D75" w14:paraId="1F941A5C" w14:textId="77777777" w:rsidTr="00B40D75">
        <w:trPr>
          <w:cantSplit/>
        </w:trPr>
        <w:tc>
          <w:tcPr>
            <w:tcW w:w="1872" w:type="dxa"/>
          </w:tcPr>
          <w:p w14:paraId="425DC65F" w14:textId="77777777" w:rsidR="00B40D75" w:rsidRPr="00C541FB" w:rsidRDefault="00B40D75" w:rsidP="00C541FB">
            <w:pPr>
              <w:pStyle w:val="TableSideHeading"/>
              <w:rPr>
                <w:highlight w:val="yellow"/>
                <w:rtl/>
              </w:rPr>
            </w:pPr>
          </w:p>
        </w:tc>
        <w:tc>
          <w:tcPr>
            <w:tcW w:w="624" w:type="dxa"/>
          </w:tcPr>
          <w:p w14:paraId="2290143D" w14:textId="77777777" w:rsidR="00B40D75" w:rsidRPr="004A5EF5" w:rsidRDefault="00B40D75" w:rsidP="004A5EF5">
            <w:pPr>
              <w:pStyle w:val="TableText"/>
              <w:rPr>
                <w:highlight w:val="yellow"/>
                <w:rtl/>
              </w:rPr>
            </w:pPr>
          </w:p>
        </w:tc>
        <w:tc>
          <w:tcPr>
            <w:tcW w:w="7150" w:type="dxa"/>
            <w:gridSpan w:val="2"/>
            <w:hideMark/>
          </w:tcPr>
          <w:p w14:paraId="0C6526F4" w14:textId="77777777" w:rsidR="00B40D75" w:rsidRPr="004A5EF5" w:rsidRDefault="00B40D75" w:rsidP="004A5EF5">
            <w:pPr>
              <w:pStyle w:val="TableBlock"/>
              <w:rPr>
                <w:highlight w:val="yellow"/>
                <w:rtl/>
              </w:rPr>
            </w:pPr>
            <w:r w:rsidRPr="004A5EF5">
              <w:rPr>
                <w:rtl/>
              </w:rPr>
              <w:t>(ד)</w:t>
            </w:r>
            <w:r w:rsidRPr="004A5EF5">
              <w:rPr>
                <w:rtl/>
              </w:rPr>
              <w:tab/>
              <w:t>בכל מוסד רפואי מוכר המבצע הפסקת היריון, יוקם צוות מייעץ של אחות, עובד סוציאלי ורופא נשים; הצוות המייעץ ייפגש עם הפונה לפי בקשתה וילווה אותה בתמיכה וייעוץ לפני הליך הפסקת ההיריון ולאחריו.</w:t>
            </w:r>
          </w:p>
        </w:tc>
      </w:tr>
      <w:tr w:rsidR="00B40D75" w14:paraId="775DB5ED" w14:textId="77777777" w:rsidTr="00B40D75">
        <w:trPr>
          <w:cantSplit/>
        </w:trPr>
        <w:tc>
          <w:tcPr>
            <w:tcW w:w="1872" w:type="dxa"/>
            <w:hideMark/>
          </w:tcPr>
          <w:p w14:paraId="0FC40C59" w14:textId="77777777" w:rsidR="00B40D75" w:rsidRPr="00C541FB" w:rsidRDefault="00B40D75" w:rsidP="00C541FB">
            <w:pPr>
              <w:pStyle w:val="TableSideHeading"/>
              <w:rPr>
                <w:highlight w:val="yellow"/>
                <w:rtl/>
              </w:rPr>
            </w:pPr>
            <w:r w:rsidRPr="00C541FB">
              <w:rPr>
                <w:rtl/>
              </w:rPr>
              <w:t>הפסקת היריון במהלך התקופה הראשונה</w:t>
            </w:r>
          </w:p>
        </w:tc>
        <w:tc>
          <w:tcPr>
            <w:tcW w:w="624" w:type="dxa"/>
            <w:hideMark/>
          </w:tcPr>
          <w:p w14:paraId="6F1A6C66" w14:textId="77777777" w:rsidR="00B40D75" w:rsidRPr="004A5EF5" w:rsidRDefault="00B40D75" w:rsidP="004A5EF5">
            <w:pPr>
              <w:pStyle w:val="TableText"/>
              <w:rPr>
                <w:rtl/>
              </w:rPr>
            </w:pPr>
            <w:r w:rsidRPr="004A5EF5">
              <w:rPr>
                <w:rtl/>
              </w:rPr>
              <w:t>5.</w:t>
            </w:r>
          </w:p>
        </w:tc>
        <w:tc>
          <w:tcPr>
            <w:tcW w:w="7150" w:type="dxa"/>
            <w:gridSpan w:val="2"/>
            <w:hideMark/>
          </w:tcPr>
          <w:p w14:paraId="63BD7C7D" w14:textId="77777777" w:rsidR="00B40D75" w:rsidRPr="004A5EF5" w:rsidRDefault="00B40D75" w:rsidP="004A5EF5">
            <w:pPr>
              <w:pStyle w:val="TableBlock"/>
              <w:rPr>
                <w:rtl/>
              </w:rPr>
            </w:pPr>
            <w:r w:rsidRPr="004A5EF5">
              <w:rPr>
                <w:rtl/>
              </w:rPr>
              <w:t>(א)</w:t>
            </w:r>
            <w:r w:rsidRPr="004A5EF5">
              <w:rPr>
                <w:rtl/>
              </w:rPr>
              <w:tab/>
              <w:t>הפסקת היריון לפי בקשה של פונה שהוגשה לפני תום התקופה הראשונה תבוצע בתוך 14 ימים מהמועד שהפונה נתנה את הסכמתה מדעת לפי סעיף 6 וככל הניתן לפני תום השבוע ה-13 להיריון; הוגשה בקשה להפסקת היריון לפני תום התקופה הראשונה, ניתן לבצע את הפסקת ההיריון לפי הוראות סעיף זה גם אם המועד שנקבע להפסקת ההיריון חל לאחר תום התקופה הראשונה, בשל נסיבות שאינן תלויות בפונה.</w:t>
            </w:r>
          </w:p>
        </w:tc>
      </w:tr>
      <w:tr w:rsidR="00B40D75" w14:paraId="099AB993" w14:textId="77777777" w:rsidTr="00B40D75">
        <w:trPr>
          <w:cantSplit/>
        </w:trPr>
        <w:tc>
          <w:tcPr>
            <w:tcW w:w="1872" w:type="dxa"/>
          </w:tcPr>
          <w:p w14:paraId="6119423A" w14:textId="77777777" w:rsidR="00B40D75" w:rsidRPr="00C541FB" w:rsidRDefault="00B40D75" w:rsidP="00C541FB">
            <w:pPr>
              <w:pStyle w:val="TableSideHeading"/>
              <w:rPr>
                <w:highlight w:val="yellow"/>
                <w:rtl/>
              </w:rPr>
            </w:pPr>
          </w:p>
        </w:tc>
        <w:tc>
          <w:tcPr>
            <w:tcW w:w="624" w:type="dxa"/>
          </w:tcPr>
          <w:p w14:paraId="210E9219" w14:textId="77777777" w:rsidR="00B40D75" w:rsidRPr="004A5EF5" w:rsidRDefault="00B40D75" w:rsidP="004A5EF5">
            <w:pPr>
              <w:pStyle w:val="TableText"/>
              <w:rPr>
                <w:rtl/>
              </w:rPr>
            </w:pPr>
          </w:p>
        </w:tc>
        <w:tc>
          <w:tcPr>
            <w:tcW w:w="7150" w:type="dxa"/>
            <w:gridSpan w:val="2"/>
            <w:hideMark/>
          </w:tcPr>
          <w:p w14:paraId="4707998E" w14:textId="77777777" w:rsidR="00B40D75" w:rsidRPr="004A5EF5" w:rsidRDefault="00B40D75" w:rsidP="004A5EF5">
            <w:pPr>
              <w:pStyle w:val="TableBlock"/>
              <w:rPr>
                <w:rtl/>
              </w:rPr>
            </w:pPr>
            <w:r w:rsidRPr="004A5EF5">
              <w:rPr>
                <w:rtl/>
              </w:rPr>
              <w:t>(ב)</w:t>
            </w:r>
            <w:r w:rsidRPr="004A5EF5">
              <w:rPr>
                <w:rtl/>
              </w:rPr>
              <w:tab/>
              <w:t>עלה חשש ממשי כי בשים לב לגיל ההיריון ולמצבה הבריאותי של הפונה, הפסקת ההיריון לפי סעיף זה כרוכה בסכנה חמורה וממשית לחיי הפונה או לבריאותה, לא תיערך הפסקת היריון אלא באישור ועדה להפסקת היריון.</w:t>
            </w:r>
          </w:p>
        </w:tc>
      </w:tr>
      <w:tr w:rsidR="00B40D75" w14:paraId="098C6E56" w14:textId="77777777" w:rsidTr="00B40D75">
        <w:trPr>
          <w:cantSplit/>
          <w:trHeight w:val="60"/>
        </w:trPr>
        <w:tc>
          <w:tcPr>
            <w:tcW w:w="1872" w:type="dxa"/>
            <w:hideMark/>
          </w:tcPr>
          <w:p w14:paraId="0FCDFFD7" w14:textId="77777777" w:rsidR="00B40D75" w:rsidRPr="00C541FB" w:rsidRDefault="00B40D75" w:rsidP="00C541FB">
            <w:pPr>
              <w:pStyle w:val="TableSideHeading"/>
              <w:rPr>
                <w:rtl/>
              </w:rPr>
            </w:pPr>
            <w:r w:rsidRPr="00C541FB">
              <w:rPr>
                <w:rtl/>
              </w:rPr>
              <w:t>הפסקת היריון במהלך התקופה השנייה</w:t>
            </w:r>
          </w:p>
        </w:tc>
        <w:tc>
          <w:tcPr>
            <w:tcW w:w="624" w:type="dxa"/>
            <w:hideMark/>
          </w:tcPr>
          <w:p w14:paraId="6CDCA0DC" w14:textId="77777777" w:rsidR="00B40D75" w:rsidRPr="004A5EF5" w:rsidRDefault="00B40D75" w:rsidP="004A5EF5">
            <w:pPr>
              <w:pStyle w:val="TableText"/>
            </w:pPr>
            <w:r w:rsidRPr="004A5EF5">
              <w:rPr>
                <w:rtl/>
              </w:rPr>
              <w:t>6.</w:t>
            </w:r>
          </w:p>
        </w:tc>
        <w:tc>
          <w:tcPr>
            <w:tcW w:w="7150" w:type="dxa"/>
            <w:gridSpan w:val="2"/>
            <w:hideMark/>
          </w:tcPr>
          <w:p w14:paraId="67141C3E" w14:textId="77777777" w:rsidR="00B40D75" w:rsidRPr="004A5EF5" w:rsidRDefault="00B40D75" w:rsidP="004A5EF5">
            <w:pPr>
              <w:pStyle w:val="TableBlock"/>
            </w:pPr>
            <w:r w:rsidRPr="004A5EF5">
              <w:rPr>
                <w:rtl/>
              </w:rPr>
              <w:t>לא תיערך הפסקת היריון במהלך התקופה השנייה להיריון, אלא באישורה של ועדה להפסקת היריון (בחוק זה – ועדה להפסקת היריון).</w:t>
            </w:r>
          </w:p>
        </w:tc>
      </w:tr>
      <w:tr w:rsidR="00B40D75" w14:paraId="2DAAB918" w14:textId="77777777" w:rsidTr="00B40D75">
        <w:trPr>
          <w:cantSplit/>
          <w:trHeight w:val="60"/>
        </w:trPr>
        <w:tc>
          <w:tcPr>
            <w:tcW w:w="1872" w:type="dxa"/>
            <w:hideMark/>
          </w:tcPr>
          <w:p w14:paraId="6B719DB9" w14:textId="77777777" w:rsidR="00B40D75" w:rsidRPr="00C541FB" w:rsidRDefault="00B40D75" w:rsidP="00C541FB">
            <w:pPr>
              <w:pStyle w:val="TableSideHeading"/>
            </w:pPr>
            <w:r w:rsidRPr="00C541FB">
              <w:rPr>
                <w:rtl/>
              </w:rPr>
              <w:t>הרכב ועדה להפסקת היריון</w:t>
            </w:r>
          </w:p>
        </w:tc>
        <w:tc>
          <w:tcPr>
            <w:tcW w:w="624" w:type="dxa"/>
            <w:hideMark/>
          </w:tcPr>
          <w:p w14:paraId="00BCC32A" w14:textId="77777777" w:rsidR="00B40D75" w:rsidRPr="004A5EF5" w:rsidRDefault="00B40D75" w:rsidP="004A5EF5">
            <w:pPr>
              <w:pStyle w:val="TableText"/>
            </w:pPr>
            <w:r w:rsidRPr="004A5EF5">
              <w:rPr>
                <w:rtl/>
              </w:rPr>
              <w:t>7.</w:t>
            </w:r>
          </w:p>
        </w:tc>
        <w:tc>
          <w:tcPr>
            <w:tcW w:w="7150" w:type="dxa"/>
            <w:gridSpan w:val="2"/>
            <w:hideMark/>
          </w:tcPr>
          <w:p w14:paraId="6497C699" w14:textId="77777777" w:rsidR="00B40D75" w:rsidRPr="004A5EF5" w:rsidRDefault="00B40D75" w:rsidP="004A5EF5">
            <w:pPr>
              <w:pStyle w:val="TableBlock"/>
              <w:rPr>
                <w:rtl/>
              </w:rPr>
            </w:pPr>
            <w:r w:rsidRPr="004A5EF5">
              <w:rPr>
                <w:rtl/>
              </w:rPr>
              <w:t xml:space="preserve">השר או מי שהוא הסמיך לכך ימנה בכל מוסד רפואי מוכר ועדה להפסקת היריון בת שלושה חברים, שלפחות אחד מהם הוא אישה, והם: </w:t>
            </w:r>
          </w:p>
        </w:tc>
      </w:tr>
      <w:tr w:rsidR="00B40D75" w14:paraId="589607F9" w14:textId="77777777" w:rsidTr="00B40D75">
        <w:trPr>
          <w:cantSplit/>
          <w:trHeight w:val="60"/>
        </w:trPr>
        <w:tc>
          <w:tcPr>
            <w:tcW w:w="1872" w:type="dxa"/>
          </w:tcPr>
          <w:p w14:paraId="098BA709" w14:textId="77777777" w:rsidR="00B40D75" w:rsidRPr="00C541FB" w:rsidRDefault="00B40D75" w:rsidP="00C541FB">
            <w:pPr>
              <w:pStyle w:val="TableSideHeading"/>
            </w:pPr>
          </w:p>
        </w:tc>
        <w:tc>
          <w:tcPr>
            <w:tcW w:w="624" w:type="dxa"/>
          </w:tcPr>
          <w:p w14:paraId="4D93CB87" w14:textId="77777777" w:rsidR="00B40D75" w:rsidRPr="004A5EF5" w:rsidRDefault="00B40D75" w:rsidP="004A5EF5">
            <w:pPr>
              <w:pStyle w:val="TableText"/>
              <w:rPr>
                <w:rtl/>
              </w:rPr>
            </w:pPr>
          </w:p>
        </w:tc>
        <w:tc>
          <w:tcPr>
            <w:tcW w:w="7150" w:type="dxa"/>
            <w:gridSpan w:val="2"/>
            <w:hideMark/>
          </w:tcPr>
          <w:p w14:paraId="39F3C9EB" w14:textId="77777777" w:rsidR="00B40D75" w:rsidRPr="004A5EF5" w:rsidRDefault="00B40D75" w:rsidP="004A5EF5">
            <w:pPr>
              <w:pStyle w:val="TableBlock"/>
              <w:rPr>
                <w:rtl/>
              </w:rPr>
            </w:pPr>
            <w:r w:rsidRPr="004A5EF5">
              <w:rPr>
                <w:rtl/>
              </w:rPr>
              <w:t>(1)</w:t>
            </w:r>
            <w:r w:rsidRPr="004A5EF5">
              <w:rPr>
                <w:rtl/>
              </w:rPr>
              <w:tab/>
              <w:t xml:space="preserve">רופא מומחה ביילוד וגניקולוגיה; </w:t>
            </w:r>
          </w:p>
        </w:tc>
      </w:tr>
      <w:tr w:rsidR="00B40D75" w14:paraId="5C2C52D3" w14:textId="77777777" w:rsidTr="00B40D75">
        <w:trPr>
          <w:cantSplit/>
          <w:trHeight w:val="60"/>
        </w:trPr>
        <w:tc>
          <w:tcPr>
            <w:tcW w:w="1872" w:type="dxa"/>
          </w:tcPr>
          <w:p w14:paraId="0EBCBFDD" w14:textId="77777777" w:rsidR="00B40D75" w:rsidRPr="00C541FB" w:rsidRDefault="00B40D75" w:rsidP="00C541FB">
            <w:pPr>
              <w:pStyle w:val="TableSideHeading"/>
              <w:rPr>
                <w:rtl/>
              </w:rPr>
            </w:pPr>
          </w:p>
        </w:tc>
        <w:tc>
          <w:tcPr>
            <w:tcW w:w="624" w:type="dxa"/>
          </w:tcPr>
          <w:p w14:paraId="7A19440B" w14:textId="77777777" w:rsidR="00B40D75" w:rsidRPr="004A5EF5" w:rsidRDefault="00B40D75" w:rsidP="004A5EF5">
            <w:pPr>
              <w:pStyle w:val="TableText"/>
              <w:rPr>
                <w:rtl/>
              </w:rPr>
            </w:pPr>
          </w:p>
        </w:tc>
        <w:tc>
          <w:tcPr>
            <w:tcW w:w="7150" w:type="dxa"/>
            <w:gridSpan w:val="2"/>
            <w:hideMark/>
          </w:tcPr>
          <w:p w14:paraId="36545421" w14:textId="77777777" w:rsidR="00B40D75" w:rsidRPr="004A5EF5" w:rsidRDefault="00B40D75" w:rsidP="004A5EF5">
            <w:pPr>
              <w:pStyle w:val="TableBlock"/>
              <w:rPr>
                <w:rtl/>
              </w:rPr>
            </w:pPr>
            <w:r w:rsidRPr="004A5EF5">
              <w:rPr>
                <w:rtl/>
              </w:rPr>
              <w:t>(2)</w:t>
            </w:r>
            <w:r w:rsidRPr="004A5EF5">
              <w:rPr>
                <w:rtl/>
              </w:rPr>
              <w:tab/>
              <w:t>רופא מומחה ביילוד וגניקולוגיה, רפואה פנימית, פסיכיאטריה, רפואת משפחה או בריאות הציבור;</w:t>
            </w:r>
          </w:p>
        </w:tc>
      </w:tr>
      <w:tr w:rsidR="00B40D75" w14:paraId="02416D8A" w14:textId="77777777" w:rsidTr="00B40D75">
        <w:trPr>
          <w:cantSplit/>
          <w:trHeight w:val="60"/>
        </w:trPr>
        <w:tc>
          <w:tcPr>
            <w:tcW w:w="1872" w:type="dxa"/>
          </w:tcPr>
          <w:p w14:paraId="2B724484" w14:textId="77777777" w:rsidR="00B40D75" w:rsidRPr="00C541FB" w:rsidRDefault="00B40D75" w:rsidP="00C541FB">
            <w:pPr>
              <w:pStyle w:val="TableSideHeading"/>
              <w:rPr>
                <w:rtl/>
              </w:rPr>
            </w:pPr>
          </w:p>
        </w:tc>
        <w:tc>
          <w:tcPr>
            <w:tcW w:w="624" w:type="dxa"/>
          </w:tcPr>
          <w:p w14:paraId="59BB49F4" w14:textId="77777777" w:rsidR="00B40D75" w:rsidRPr="004A5EF5" w:rsidRDefault="00B40D75" w:rsidP="004A5EF5">
            <w:pPr>
              <w:pStyle w:val="TableText"/>
              <w:rPr>
                <w:rtl/>
              </w:rPr>
            </w:pPr>
          </w:p>
        </w:tc>
        <w:tc>
          <w:tcPr>
            <w:tcW w:w="7150" w:type="dxa"/>
            <w:gridSpan w:val="2"/>
            <w:hideMark/>
          </w:tcPr>
          <w:p w14:paraId="0110F2DB" w14:textId="77777777" w:rsidR="00B40D75" w:rsidRPr="004A5EF5" w:rsidRDefault="00B40D75" w:rsidP="004A5EF5">
            <w:pPr>
              <w:pStyle w:val="TableBlock"/>
              <w:rPr>
                <w:rtl/>
              </w:rPr>
            </w:pPr>
            <w:r w:rsidRPr="004A5EF5">
              <w:rPr>
                <w:rtl/>
              </w:rPr>
              <w:t>(3)</w:t>
            </w:r>
            <w:r w:rsidRPr="004A5EF5">
              <w:rPr>
                <w:rtl/>
              </w:rPr>
              <w:tab/>
              <w:t xml:space="preserve">עובד סוציאלי. </w:t>
            </w:r>
          </w:p>
        </w:tc>
      </w:tr>
      <w:tr w:rsidR="00B40D75" w14:paraId="2041C6A0" w14:textId="77777777" w:rsidTr="00B40D75">
        <w:trPr>
          <w:cantSplit/>
          <w:trHeight w:val="60"/>
        </w:trPr>
        <w:tc>
          <w:tcPr>
            <w:tcW w:w="1872" w:type="dxa"/>
            <w:hideMark/>
          </w:tcPr>
          <w:p w14:paraId="23140088" w14:textId="77777777" w:rsidR="00B40D75" w:rsidRPr="00C541FB" w:rsidRDefault="00B40D75" w:rsidP="00C541FB">
            <w:pPr>
              <w:pStyle w:val="TableSideHeading"/>
              <w:rPr>
                <w:rtl/>
              </w:rPr>
            </w:pPr>
            <w:r w:rsidRPr="00C541FB">
              <w:rPr>
                <w:rtl/>
              </w:rPr>
              <w:t>החלטת ועדה להפסקת היריון</w:t>
            </w:r>
          </w:p>
        </w:tc>
        <w:tc>
          <w:tcPr>
            <w:tcW w:w="624" w:type="dxa"/>
            <w:hideMark/>
          </w:tcPr>
          <w:p w14:paraId="516525A0" w14:textId="77777777" w:rsidR="00B40D75" w:rsidRPr="004A5EF5" w:rsidRDefault="00B40D75" w:rsidP="004A5EF5">
            <w:pPr>
              <w:pStyle w:val="TableText"/>
            </w:pPr>
            <w:r w:rsidRPr="004A5EF5">
              <w:rPr>
                <w:rtl/>
              </w:rPr>
              <w:t>8.</w:t>
            </w:r>
          </w:p>
        </w:tc>
        <w:tc>
          <w:tcPr>
            <w:tcW w:w="7150" w:type="dxa"/>
            <w:gridSpan w:val="2"/>
            <w:hideMark/>
          </w:tcPr>
          <w:p w14:paraId="30614FDE" w14:textId="77777777" w:rsidR="00B40D75" w:rsidRPr="004A5EF5" w:rsidRDefault="00B40D75" w:rsidP="004A5EF5">
            <w:pPr>
              <w:pStyle w:val="TableBlock"/>
            </w:pPr>
            <w:r w:rsidRPr="004A5EF5">
              <w:rPr>
                <w:rtl/>
              </w:rPr>
              <w:t>(א)</w:t>
            </w:r>
            <w:r w:rsidRPr="004A5EF5">
              <w:rPr>
                <w:rtl/>
              </w:rPr>
              <w:tab/>
              <w:t>הוועדה להפסקת היריון רשאית לאשר, ברוב דעות של חברי הוועדה, הליך לפי סעיף 6 או 5(ב), בהתחשב בשיקולים אלה:</w:t>
            </w:r>
          </w:p>
        </w:tc>
      </w:tr>
      <w:tr w:rsidR="00B40D75" w14:paraId="2E2CCC4B" w14:textId="77777777" w:rsidTr="00B40D75">
        <w:trPr>
          <w:cantSplit/>
          <w:trHeight w:val="60"/>
        </w:trPr>
        <w:tc>
          <w:tcPr>
            <w:tcW w:w="1872" w:type="dxa"/>
          </w:tcPr>
          <w:p w14:paraId="166DACD6" w14:textId="77777777" w:rsidR="00B40D75" w:rsidRPr="00C541FB" w:rsidRDefault="00B40D75" w:rsidP="00C541FB">
            <w:pPr>
              <w:pStyle w:val="TableSideHeading"/>
            </w:pPr>
          </w:p>
        </w:tc>
        <w:tc>
          <w:tcPr>
            <w:tcW w:w="624" w:type="dxa"/>
          </w:tcPr>
          <w:p w14:paraId="088C56E0" w14:textId="77777777" w:rsidR="00B40D75" w:rsidRPr="004A5EF5" w:rsidRDefault="00B40D75" w:rsidP="004A5EF5">
            <w:pPr>
              <w:pStyle w:val="TableText"/>
            </w:pPr>
          </w:p>
        </w:tc>
        <w:tc>
          <w:tcPr>
            <w:tcW w:w="624" w:type="dxa"/>
          </w:tcPr>
          <w:p w14:paraId="0AED8DA5" w14:textId="77777777" w:rsidR="00B40D75" w:rsidRPr="004A5EF5" w:rsidRDefault="00B40D75" w:rsidP="004A5EF5">
            <w:pPr>
              <w:pStyle w:val="TableBlock"/>
            </w:pPr>
          </w:p>
        </w:tc>
        <w:tc>
          <w:tcPr>
            <w:tcW w:w="6526" w:type="dxa"/>
            <w:hideMark/>
          </w:tcPr>
          <w:p w14:paraId="565FA43E" w14:textId="77777777" w:rsidR="00B40D75" w:rsidRPr="004A5EF5" w:rsidRDefault="00B40D75" w:rsidP="004A5EF5">
            <w:pPr>
              <w:pStyle w:val="TableBlock"/>
            </w:pPr>
            <w:r w:rsidRPr="004A5EF5">
              <w:rPr>
                <w:rtl/>
              </w:rPr>
              <w:t>(1)</w:t>
            </w:r>
            <w:r w:rsidRPr="004A5EF5">
              <w:rPr>
                <w:rtl/>
              </w:rPr>
              <w:tab/>
              <w:t>רצון הפונה והסיבות לבקשתה להפסקת ההיריון;</w:t>
            </w:r>
          </w:p>
        </w:tc>
      </w:tr>
      <w:tr w:rsidR="00B40D75" w14:paraId="1A9E744B" w14:textId="77777777" w:rsidTr="00B40D75">
        <w:trPr>
          <w:cantSplit/>
          <w:trHeight w:val="60"/>
        </w:trPr>
        <w:tc>
          <w:tcPr>
            <w:tcW w:w="1872" w:type="dxa"/>
          </w:tcPr>
          <w:p w14:paraId="07A6370F" w14:textId="77777777" w:rsidR="00B40D75" w:rsidRPr="00C541FB" w:rsidRDefault="00B40D75" w:rsidP="00C541FB">
            <w:pPr>
              <w:pStyle w:val="TableSideHeading"/>
            </w:pPr>
          </w:p>
        </w:tc>
        <w:tc>
          <w:tcPr>
            <w:tcW w:w="624" w:type="dxa"/>
          </w:tcPr>
          <w:p w14:paraId="0E9AFDD0" w14:textId="77777777" w:rsidR="00B40D75" w:rsidRPr="004A5EF5" w:rsidRDefault="00B40D75" w:rsidP="004A5EF5">
            <w:pPr>
              <w:pStyle w:val="TableText"/>
              <w:rPr>
                <w:rtl/>
              </w:rPr>
            </w:pPr>
          </w:p>
        </w:tc>
        <w:tc>
          <w:tcPr>
            <w:tcW w:w="624" w:type="dxa"/>
          </w:tcPr>
          <w:p w14:paraId="6B07D35A" w14:textId="77777777" w:rsidR="00B40D75" w:rsidRPr="004A5EF5" w:rsidRDefault="00B40D75" w:rsidP="004A5EF5">
            <w:pPr>
              <w:pStyle w:val="TableBlock"/>
            </w:pPr>
          </w:p>
        </w:tc>
        <w:tc>
          <w:tcPr>
            <w:tcW w:w="6526" w:type="dxa"/>
            <w:hideMark/>
          </w:tcPr>
          <w:p w14:paraId="264405C7" w14:textId="77777777" w:rsidR="00B40D75" w:rsidRPr="004A5EF5" w:rsidRDefault="00B40D75" w:rsidP="004A5EF5">
            <w:pPr>
              <w:pStyle w:val="TableBlock"/>
            </w:pPr>
            <w:r w:rsidRPr="004A5EF5">
              <w:rPr>
                <w:rtl/>
              </w:rPr>
              <w:t>(2)</w:t>
            </w:r>
            <w:r w:rsidRPr="004A5EF5">
              <w:rPr>
                <w:rtl/>
              </w:rPr>
              <w:tab/>
              <w:t>גיל ההיריון;</w:t>
            </w:r>
          </w:p>
        </w:tc>
      </w:tr>
      <w:tr w:rsidR="00B40D75" w14:paraId="35F9AE43" w14:textId="77777777" w:rsidTr="00B40D75">
        <w:trPr>
          <w:cantSplit/>
          <w:trHeight w:val="60"/>
        </w:trPr>
        <w:tc>
          <w:tcPr>
            <w:tcW w:w="1872" w:type="dxa"/>
          </w:tcPr>
          <w:p w14:paraId="4BE02249" w14:textId="77777777" w:rsidR="00B40D75" w:rsidRPr="00C541FB" w:rsidRDefault="00B40D75" w:rsidP="00C541FB">
            <w:pPr>
              <w:pStyle w:val="TableSideHeading"/>
              <w:rPr>
                <w:rtl/>
              </w:rPr>
            </w:pPr>
          </w:p>
        </w:tc>
        <w:tc>
          <w:tcPr>
            <w:tcW w:w="624" w:type="dxa"/>
          </w:tcPr>
          <w:p w14:paraId="70901778" w14:textId="77777777" w:rsidR="00B40D75" w:rsidRPr="004A5EF5" w:rsidRDefault="00B40D75" w:rsidP="004A5EF5">
            <w:pPr>
              <w:pStyle w:val="TableText"/>
              <w:rPr>
                <w:rtl/>
              </w:rPr>
            </w:pPr>
          </w:p>
        </w:tc>
        <w:tc>
          <w:tcPr>
            <w:tcW w:w="624" w:type="dxa"/>
          </w:tcPr>
          <w:p w14:paraId="62E14556" w14:textId="77777777" w:rsidR="00B40D75" w:rsidRPr="004A5EF5" w:rsidRDefault="00B40D75" w:rsidP="004A5EF5">
            <w:pPr>
              <w:pStyle w:val="TableBlock"/>
            </w:pPr>
          </w:p>
        </w:tc>
        <w:tc>
          <w:tcPr>
            <w:tcW w:w="6526" w:type="dxa"/>
            <w:hideMark/>
          </w:tcPr>
          <w:p w14:paraId="772DE010" w14:textId="77777777" w:rsidR="00B40D75" w:rsidRPr="004A5EF5" w:rsidRDefault="00B40D75" w:rsidP="004A5EF5">
            <w:pPr>
              <w:pStyle w:val="TableBlock"/>
            </w:pPr>
            <w:r w:rsidRPr="004A5EF5">
              <w:rPr>
                <w:rtl/>
              </w:rPr>
              <w:t>(3)</w:t>
            </w:r>
            <w:r w:rsidRPr="004A5EF5">
              <w:rPr>
                <w:rtl/>
              </w:rPr>
              <w:tab/>
              <w:t>גילה של הפונה;</w:t>
            </w:r>
          </w:p>
        </w:tc>
      </w:tr>
      <w:tr w:rsidR="00B40D75" w14:paraId="445C0C1B" w14:textId="77777777" w:rsidTr="00B40D75">
        <w:trPr>
          <w:cantSplit/>
          <w:trHeight w:val="60"/>
        </w:trPr>
        <w:tc>
          <w:tcPr>
            <w:tcW w:w="1872" w:type="dxa"/>
          </w:tcPr>
          <w:p w14:paraId="469F2245" w14:textId="77777777" w:rsidR="00B40D75" w:rsidRPr="00C541FB" w:rsidRDefault="00B40D75" w:rsidP="00C541FB">
            <w:pPr>
              <w:pStyle w:val="TableSideHeading"/>
              <w:rPr>
                <w:rtl/>
              </w:rPr>
            </w:pPr>
          </w:p>
        </w:tc>
        <w:tc>
          <w:tcPr>
            <w:tcW w:w="624" w:type="dxa"/>
          </w:tcPr>
          <w:p w14:paraId="61F29A6A" w14:textId="77777777" w:rsidR="00B40D75" w:rsidRPr="004A5EF5" w:rsidRDefault="00B40D75" w:rsidP="004A5EF5">
            <w:pPr>
              <w:pStyle w:val="TableText"/>
              <w:rPr>
                <w:rtl/>
              </w:rPr>
            </w:pPr>
          </w:p>
        </w:tc>
        <w:tc>
          <w:tcPr>
            <w:tcW w:w="624" w:type="dxa"/>
          </w:tcPr>
          <w:p w14:paraId="331ABD2F" w14:textId="77777777" w:rsidR="00B40D75" w:rsidRPr="004A5EF5" w:rsidRDefault="00B40D75" w:rsidP="004A5EF5">
            <w:pPr>
              <w:pStyle w:val="TableBlock"/>
            </w:pPr>
          </w:p>
        </w:tc>
        <w:tc>
          <w:tcPr>
            <w:tcW w:w="6526" w:type="dxa"/>
            <w:hideMark/>
          </w:tcPr>
          <w:p w14:paraId="23D88466" w14:textId="77777777" w:rsidR="00B40D75" w:rsidRPr="004A5EF5" w:rsidRDefault="00B40D75" w:rsidP="004A5EF5">
            <w:pPr>
              <w:pStyle w:val="TableBlock"/>
            </w:pPr>
            <w:r w:rsidRPr="004A5EF5">
              <w:rPr>
                <w:rtl/>
              </w:rPr>
              <w:t>(4)</w:t>
            </w:r>
            <w:r w:rsidRPr="004A5EF5">
              <w:rPr>
                <w:rtl/>
              </w:rPr>
              <w:tab/>
              <w:t>השלכות המשך ההיריון על מצבה הפיזי והנפשי של הפונה;</w:t>
            </w:r>
          </w:p>
        </w:tc>
      </w:tr>
      <w:tr w:rsidR="00B40D75" w14:paraId="428DB07B" w14:textId="77777777" w:rsidTr="00B40D75">
        <w:trPr>
          <w:cantSplit/>
          <w:trHeight w:val="60"/>
        </w:trPr>
        <w:tc>
          <w:tcPr>
            <w:tcW w:w="1872" w:type="dxa"/>
          </w:tcPr>
          <w:p w14:paraId="1A49337D" w14:textId="77777777" w:rsidR="00B40D75" w:rsidRPr="00C541FB" w:rsidRDefault="00B40D75" w:rsidP="00C541FB">
            <w:pPr>
              <w:pStyle w:val="TableSideHeading"/>
              <w:rPr>
                <w:rtl/>
              </w:rPr>
            </w:pPr>
          </w:p>
        </w:tc>
        <w:tc>
          <w:tcPr>
            <w:tcW w:w="624" w:type="dxa"/>
          </w:tcPr>
          <w:p w14:paraId="0549076C" w14:textId="77777777" w:rsidR="00B40D75" w:rsidRPr="004A5EF5" w:rsidRDefault="00B40D75" w:rsidP="004A5EF5">
            <w:pPr>
              <w:pStyle w:val="TableText"/>
              <w:rPr>
                <w:rtl/>
              </w:rPr>
            </w:pPr>
          </w:p>
        </w:tc>
        <w:tc>
          <w:tcPr>
            <w:tcW w:w="624" w:type="dxa"/>
          </w:tcPr>
          <w:p w14:paraId="5DAE78DF" w14:textId="77777777" w:rsidR="00B40D75" w:rsidRPr="004A5EF5" w:rsidRDefault="00B40D75" w:rsidP="004A5EF5">
            <w:pPr>
              <w:pStyle w:val="TableBlock"/>
            </w:pPr>
          </w:p>
        </w:tc>
        <w:tc>
          <w:tcPr>
            <w:tcW w:w="6526" w:type="dxa"/>
            <w:hideMark/>
          </w:tcPr>
          <w:p w14:paraId="095FFD86" w14:textId="77777777" w:rsidR="00B40D75" w:rsidRPr="004A5EF5" w:rsidRDefault="00B40D75" w:rsidP="004A5EF5">
            <w:pPr>
              <w:pStyle w:val="TableBlock"/>
            </w:pPr>
            <w:r w:rsidRPr="004A5EF5">
              <w:rPr>
                <w:rtl/>
              </w:rPr>
              <w:t>(5)</w:t>
            </w:r>
            <w:r w:rsidRPr="004A5EF5">
              <w:rPr>
                <w:rtl/>
              </w:rPr>
              <w:tab/>
              <w:t>מצבו הבריאותי של העובר;</w:t>
            </w:r>
          </w:p>
        </w:tc>
      </w:tr>
      <w:tr w:rsidR="00B40D75" w14:paraId="0E39FCE2" w14:textId="77777777" w:rsidTr="00B40D75">
        <w:trPr>
          <w:cantSplit/>
          <w:trHeight w:val="60"/>
        </w:trPr>
        <w:tc>
          <w:tcPr>
            <w:tcW w:w="1872" w:type="dxa"/>
          </w:tcPr>
          <w:p w14:paraId="50B83E5E" w14:textId="77777777" w:rsidR="00B40D75" w:rsidRPr="00C541FB" w:rsidRDefault="00B40D75" w:rsidP="00C541FB">
            <w:pPr>
              <w:pStyle w:val="TableSideHeading"/>
              <w:rPr>
                <w:rtl/>
              </w:rPr>
            </w:pPr>
          </w:p>
        </w:tc>
        <w:tc>
          <w:tcPr>
            <w:tcW w:w="624" w:type="dxa"/>
          </w:tcPr>
          <w:p w14:paraId="473D7444" w14:textId="77777777" w:rsidR="00B40D75" w:rsidRPr="004A5EF5" w:rsidRDefault="00B40D75" w:rsidP="004A5EF5">
            <w:pPr>
              <w:pStyle w:val="TableText"/>
              <w:rPr>
                <w:rtl/>
              </w:rPr>
            </w:pPr>
          </w:p>
        </w:tc>
        <w:tc>
          <w:tcPr>
            <w:tcW w:w="624" w:type="dxa"/>
          </w:tcPr>
          <w:p w14:paraId="1BA21F8F" w14:textId="77777777" w:rsidR="00B40D75" w:rsidRPr="004A5EF5" w:rsidRDefault="00B40D75" w:rsidP="004A5EF5">
            <w:pPr>
              <w:pStyle w:val="TableBlock"/>
            </w:pPr>
          </w:p>
        </w:tc>
        <w:tc>
          <w:tcPr>
            <w:tcW w:w="6526" w:type="dxa"/>
            <w:hideMark/>
          </w:tcPr>
          <w:p w14:paraId="35A17609" w14:textId="77777777" w:rsidR="00B40D75" w:rsidRPr="004A5EF5" w:rsidRDefault="00B40D75" w:rsidP="004A5EF5">
            <w:pPr>
              <w:pStyle w:val="TableBlock"/>
            </w:pPr>
            <w:r w:rsidRPr="004A5EF5">
              <w:rPr>
                <w:rtl/>
              </w:rPr>
              <w:t>(6)</w:t>
            </w:r>
            <w:r w:rsidRPr="004A5EF5">
              <w:rPr>
                <w:rtl/>
              </w:rPr>
              <w:tab/>
              <w:t>מצבה המשפחתי, החברתי והכלכלי של הפונה;</w:t>
            </w:r>
          </w:p>
        </w:tc>
      </w:tr>
      <w:tr w:rsidR="00B40D75" w14:paraId="0EDBCB31" w14:textId="77777777" w:rsidTr="00B40D75">
        <w:trPr>
          <w:cantSplit/>
          <w:trHeight w:val="60"/>
        </w:trPr>
        <w:tc>
          <w:tcPr>
            <w:tcW w:w="1872" w:type="dxa"/>
          </w:tcPr>
          <w:p w14:paraId="61A713C3" w14:textId="77777777" w:rsidR="00B40D75" w:rsidRPr="00C541FB" w:rsidRDefault="00B40D75" w:rsidP="00C541FB">
            <w:pPr>
              <w:pStyle w:val="TableSideHeading"/>
              <w:rPr>
                <w:rtl/>
              </w:rPr>
            </w:pPr>
          </w:p>
        </w:tc>
        <w:tc>
          <w:tcPr>
            <w:tcW w:w="624" w:type="dxa"/>
          </w:tcPr>
          <w:p w14:paraId="61ADF961" w14:textId="77777777" w:rsidR="00B40D75" w:rsidRPr="004A5EF5" w:rsidRDefault="00B40D75" w:rsidP="004A5EF5">
            <w:pPr>
              <w:pStyle w:val="TableText"/>
              <w:rPr>
                <w:rtl/>
              </w:rPr>
            </w:pPr>
          </w:p>
        </w:tc>
        <w:tc>
          <w:tcPr>
            <w:tcW w:w="624" w:type="dxa"/>
          </w:tcPr>
          <w:p w14:paraId="6A44DA66" w14:textId="77777777" w:rsidR="00B40D75" w:rsidRPr="004A5EF5" w:rsidRDefault="00B40D75" w:rsidP="004A5EF5">
            <w:pPr>
              <w:pStyle w:val="TableBlock"/>
            </w:pPr>
          </w:p>
        </w:tc>
        <w:tc>
          <w:tcPr>
            <w:tcW w:w="6526" w:type="dxa"/>
            <w:hideMark/>
          </w:tcPr>
          <w:p w14:paraId="6E7B64ED" w14:textId="77777777" w:rsidR="00B40D75" w:rsidRPr="004A5EF5" w:rsidRDefault="00B40D75" w:rsidP="004A5EF5">
            <w:pPr>
              <w:pStyle w:val="TableBlock"/>
            </w:pPr>
            <w:r w:rsidRPr="004A5EF5">
              <w:rPr>
                <w:rtl/>
              </w:rPr>
              <w:t>(7)</w:t>
            </w:r>
            <w:r w:rsidRPr="004A5EF5">
              <w:rPr>
                <w:rtl/>
              </w:rPr>
              <w:tab/>
              <w:t>אופי היחסים שמהם נבע ההיריון.</w:t>
            </w:r>
          </w:p>
        </w:tc>
      </w:tr>
      <w:tr w:rsidR="00B40D75" w14:paraId="1603A6FD" w14:textId="77777777" w:rsidTr="00B40D75">
        <w:trPr>
          <w:cantSplit/>
          <w:trHeight w:val="60"/>
        </w:trPr>
        <w:tc>
          <w:tcPr>
            <w:tcW w:w="1872" w:type="dxa"/>
          </w:tcPr>
          <w:p w14:paraId="210ECA47" w14:textId="77777777" w:rsidR="00B40D75" w:rsidRPr="00C541FB" w:rsidRDefault="00B40D75" w:rsidP="00C541FB">
            <w:pPr>
              <w:pStyle w:val="TableSideHeading"/>
              <w:rPr>
                <w:rtl/>
              </w:rPr>
            </w:pPr>
          </w:p>
        </w:tc>
        <w:tc>
          <w:tcPr>
            <w:tcW w:w="624" w:type="dxa"/>
          </w:tcPr>
          <w:p w14:paraId="4F72D777" w14:textId="77777777" w:rsidR="00B40D75" w:rsidRPr="004A5EF5" w:rsidRDefault="00B40D75" w:rsidP="004A5EF5">
            <w:pPr>
              <w:pStyle w:val="TableText"/>
            </w:pPr>
          </w:p>
        </w:tc>
        <w:tc>
          <w:tcPr>
            <w:tcW w:w="7150" w:type="dxa"/>
            <w:gridSpan w:val="2"/>
            <w:hideMark/>
          </w:tcPr>
          <w:p w14:paraId="03C0C9A0" w14:textId="77777777" w:rsidR="00B40D75" w:rsidRPr="004A5EF5" w:rsidRDefault="00B40D75" w:rsidP="004A5EF5">
            <w:pPr>
              <w:pStyle w:val="TableBlock"/>
            </w:pPr>
            <w:r w:rsidRPr="004A5EF5">
              <w:rPr>
                <w:rtl/>
              </w:rPr>
              <w:t>(ב)</w:t>
            </w:r>
            <w:r w:rsidRPr="004A5EF5">
              <w:rPr>
                <w:rtl/>
              </w:rPr>
              <w:tab/>
              <w:t>לא תסרב הוועדה לאשר הפסקת היריון בטרם נתנה לפונה הזדמנות להופיע בפניה ולהשמיע את טיעוניה.</w:t>
            </w:r>
          </w:p>
        </w:tc>
      </w:tr>
      <w:tr w:rsidR="00B40D75" w14:paraId="2312AE3B" w14:textId="77777777" w:rsidTr="00B40D75">
        <w:trPr>
          <w:cantSplit/>
          <w:trHeight w:val="60"/>
        </w:trPr>
        <w:tc>
          <w:tcPr>
            <w:tcW w:w="1872" w:type="dxa"/>
          </w:tcPr>
          <w:p w14:paraId="252A03AA" w14:textId="77777777" w:rsidR="00B40D75" w:rsidRPr="00C541FB" w:rsidRDefault="00B40D75" w:rsidP="00C541FB">
            <w:pPr>
              <w:pStyle w:val="TableSideHeading"/>
            </w:pPr>
          </w:p>
        </w:tc>
        <w:tc>
          <w:tcPr>
            <w:tcW w:w="624" w:type="dxa"/>
          </w:tcPr>
          <w:p w14:paraId="57DB5CBC" w14:textId="77777777" w:rsidR="00B40D75" w:rsidRPr="004A5EF5" w:rsidRDefault="00B40D75" w:rsidP="004A5EF5">
            <w:pPr>
              <w:pStyle w:val="TableText"/>
            </w:pPr>
          </w:p>
        </w:tc>
        <w:tc>
          <w:tcPr>
            <w:tcW w:w="7150" w:type="dxa"/>
            <w:gridSpan w:val="2"/>
            <w:hideMark/>
          </w:tcPr>
          <w:p w14:paraId="1581792F" w14:textId="77777777" w:rsidR="00B40D75" w:rsidRPr="004A5EF5" w:rsidRDefault="00B40D75" w:rsidP="004A5EF5">
            <w:pPr>
              <w:pStyle w:val="TableBlock"/>
            </w:pPr>
            <w:r w:rsidRPr="004A5EF5">
              <w:rPr>
                <w:rtl/>
              </w:rPr>
              <w:t>(ג)</w:t>
            </w:r>
            <w:r w:rsidRPr="004A5EF5">
              <w:rPr>
                <w:rtl/>
              </w:rPr>
              <w:tab/>
              <w:t>החלטתה המנומקת של הוועדה תימסר בכתב לפונה מיד עם קבלת ההחלטה.</w:t>
            </w:r>
          </w:p>
        </w:tc>
      </w:tr>
      <w:tr w:rsidR="00B40D75" w14:paraId="625AE49C" w14:textId="77777777" w:rsidTr="00B40D75">
        <w:trPr>
          <w:cantSplit/>
          <w:trHeight w:val="60"/>
        </w:trPr>
        <w:tc>
          <w:tcPr>
            <w:tcW w:w="1872" w:type="dxa"/>
            <w:hideMark/>
          </w:tcPr>
          <w:p w14:paraId="1EB2E314" w14:textId="77777777" w:rsidR="00B40D75" w:rsidRPr="00C541FB" w:rsidRDefault="00B40D75" w:rsidP="00C541FB">
            <w:pPr>
              <w:pStyle w:val="TableSideHeading"/>
            </w:pPr>
            <w:r w:rsidRPr="00C541FB">
              <w:rPr>
                <w:rtl/>
              </w:rPr>
              <w:t>הפסקת היריון במהלך התקופה השלישית</w:t>
            </w:r>
          </w:p>
        </w:tc>
        <w:tc>
          <w:tcPr>
            <w:tcW w:w="624" w:type="dxa"/>
            <w:hideMark/>
          </w:tcPr>
          <w:p w14:paraId="4FBE4158" w14:textId="77777777" w:rsidR="00B40D75" w:rsidRPr="004A5EF5" w:rsidRDefault="00B40D75" w:rsidP="004A5EF5">
            <w:pPr>
              <w:pStyle w:val="TableText"/>
            </w:pPr>
            <w:r w:rsidRPr="004A5EF5">
              <w:rPr>
                <w:rtl/>
              </w:rPr>
              <w:t>9.</w:t>
            </w:r>
          </w:p>
        </w:tc>
        <w:tc>
          <w:tcPr>
            <w:tcW w:w="7150" w:type="dxa"/>
            <w:gridSpan w:val="2"/>
            <w:hideMark/>
          </w:tcPr>
          <w:p w14:paraId="50DDA6F5" w14:textId="4C37D16D" w:rsidR="00B40D75" w:rsidRPr="004A5EF5" w:rsidRDefault="00754029" w:rsidP="004A5EF5">
            <w:pPr>
              <w:pStyle w:val="TableBlock"/>
            </w:pPr>
            <w:r w:rsidRPr="004A5EF5">
              <w:rPr>
                <w:rtl/>
              </w:rPr>
              <w:t xml:space="preserve"> </w:t>
            </w:r>
            <w:r w:rsidR="00B40D75" w:rsidRPr="004A5EF5">
              <w:rPr>
                <w:rtl/>
              </w:rPr>
              <w:t>(א)</w:t>
            </w:r>
            <w:r w:rsidR="00B40D75" w:rsidRPr="004A5EF5">
              <w:rPr>
                <w:rtl/>
              </w:rPr>
              <w:tab/>
              <w:t>לא תיערך הפסקת היריון במהלך התקופה השלישית להיריון, אלא באישורה של ועדה מיוחדת להפסקת היריון (בחוק זה – הוועדה המיוחדת).</w:t>
            </w:r>
          </w:p>
        </w:tc>
      </w:tr>
      <w:tr w:rsidR="00B40D75" w14:paraId="018DEC75" w14:textId="77777777" w:rsidTr="00B40D75">
        <w:trPr>
          <w:cantSplit/>
          <w:trHeight w:val="60"/>
        </w:trPr>
        <w:tc>
          <w:tcPr>
            <w:tcW w:w="1872" w:type="dxa"/>
          </w:tcPr>
          <w:p w14:paraId="54012C2E" w14:textId="77777777" w:rsidR="00B40D75" w:rsidRPr="00C541FB" w:rsidRDefault="00B40D75" w:rsidP="00C541FB">
            <w:pPr>
              <w:pStyle w:val="TableSideHeading"/>
            </w:pPr>
          </w:p>
        </w:tc>
        <w:tc>
          <w:tcPr>
            <w:tcW w:w="624" w:type="dxa"/>
          </w:tcPr>
          <w:p w14:paraId="4C08D60C" w14:textId="77777777" w:rsidR="00B40D75" w:rsidRPr="004A5EF5" w:rsidRDefault="00B40D75" w:rsidP="004A5EF5">
            <w:pPr>
              <w:pStyle w:val="TableText"/>
            </w:pPr>
          </w:p>
        </w:tc>
        <w:tc>
          <w:tcPr>
            <w:tcW w:w="7150" w:type="dxa"/>
            <w:gridSpan w:val="2"/>
            <w:hideMark/>
          </w:tcPr>
          <w:p w14:paraId="0A08756F" w14:textId="77777777" w:rsidR="00B40D75" w:rsidRPr="004A5EF5" w:rsidRDefault="00B40D75" w:rsidP="004A5EF5">
            <w:pPr>
              <w:pStyle w:val="TableBlock"/>
            </w:pPr>
            <w:r w:rsidRPr="004A5EF5">
              <w:rPr>
                <w:rtl/>
              </w:rPr>
              <w:t>(ב)</w:t>
            </w:r>
            <w:r w:rsidRPr="004A5EF5">
              <w:rPr>
                <w:rtl/>
              </w:rPr>
              <w:tab/>
              <w:t>הוועדה המיוחדת רשאית לאשר הפסקת היריון, ברוב דעות של חברי הוועדה, רק אם סברה כי על אף פוטנציאל החיות של העובר, לפי גיל ההיריון, קיימים טעמים מיוחדים הקשורים לגילה של הפונה, מצבה הפיזי והנפשי, מצבו הבריאותי של העובר ואופי היחסים מהם נבע ההיריון, המצדיקים מתן אישור כאמור.</w:t>
            </w:r>
          </w:p>
        </w:tc>
      </w:tr>
      <w:tr w:rsidR="00B40D75" w14:paraId="6BF814E9" w14:textId="77777777" w:rsidTr="00B40D75">
        <w:trPr>
          <w:cantSplit/>
          <w:trHeight w:val="60"/>
        </w:trPr>
        <w:tc>
          <w:tcPr>
            <w:tcW w:w="1872" w:type="dxa"/>
          </w:tcPr>
          <w:p w14:paraId="3CB502C5" w14:textId="77777777" w:rsidR="00B40D75" w:rsidRPr="00C541FB" w:rsidRDefault="00B40D75" w:rsidP="00C541FB">
            <w:pPr>
              <w:pStyle w:val="TableSideHeading"/>
            </w:pPr>
          </w:p>
        </w:tc>
        <w:tc>
          <w:tcPr>
            <w:tcW w:w="624" w:type="dxa"/>
          </w:tcPr>
          <w:p w14:paraId="0738173D" w14:textId="77777777" w:rsidR="00B40D75" w:rsidRPr="004A5EF5" w:rsidRDefault="00B40D75" w:rsidP="004A5EF5">
            <w:pPr>
              <w:pStyle w:val="TableText"/>
            </w:pPr>
          </w:p>
        </w:tc>
        <w:tc>
          <w:tcPr>
            <w:tcW w:w="7150" w:type="dxa"/>
            <w:gridSpan w:val="2"/>
            <w:hideMark/>
          </w:tcPr>
          <w:p w14:paraId="0DE02BAC" w14:textId="77777777" w:rsidR="00B40D75" w:rsidRPr="004A5EF5" w:rsidRDefault="00B40D75" w:rsidP="004A5EF5">
            <w:pPr>
              <w:pStyle w:val="TableBlock"/>
            </w:pPr>
            <w:r w:rsidRPr="004A5EF5">
              <w:rPr>
                <w:rtl/>
              </w:rPr>
              <w:t>(ג)</w:t>
            </w:r>
            <w:r w:rsidRPr="004A5EF5">
              <w:rPr>
                <w:rtl/>
              </w:rPr>
              <w:tab/>
              <w:t>לא תסרב הוועדה המיוחדת לתת אישור להפסקת היריון בטרם נתנה לפונה הזדמנות להופיע בפניה ולהשמיע את טיעוניה.</w:t>
            </w:r>
          </w:p>
        </w:tc>
      </w:tr>
      <w:tr w:rsidR="00B40D75" w14:paraId="5BBE3BC2" w14:textId="77777777" w:rsidTr="00B40D75">
        <w:trPr>
          <w:cantSplit/>
          <w:trHeight w:val="60"/>
        </w:trPr>
        <w:tc>
          <w:tcPr>
            <w:tcW w:w="1872" w:type="dxa"/>
          </w:tcPr>
          <w:p w14:paraId="27472E06" w14:textId="77777777" w:rsidR="00B40D75" w:rsidRPr="00C541FB" w:rsidRDefault="00B40D75" w:rsidP="00C541FB">
            <w:pPr>
              <w:pStyle w:val="TableSideHeading"/>
            </w:pPr>
          </w:p>
        </w:tc>
        <w:tc>
          <w:tcPr>
            <w:tcW w:w="624" w:type="dxa"/>
          </w:tcPr>
          <w:p w14:paraId="70BD6DEC" w14:textId="77777777" w:rsidR="00B40D75" w:rsidRPr="004A5EF5" w:rsidRDefault="00B40D75" w:rsidP="004A5EF5">
            <w:pPr>
              <w:pStyle w:val="TableText"/>
            </w:pPr>
          </w:p>
        </w:tc>
        <w:tc>
          <w:tcPr>
            <w:tcW w:w="7150" w:type="dxa"/>
            <w:gridSpan w:val="2"/>
            <w:hideMark/>
          </w:tcPr>
          <w:p w14:paraId="2E2EFD75" w14:textId="77777777" w:rsidR="00B40D75" w:rsidRPr="004A5EF5" w:rsidRDefault="00B40D75" w:rsidP="004A5EF5">
            <w:pPr>
              <w:pStyle w:val="TableBlock"/>
            </w:pPr>
            <w:r w:rsidRPr="004A5EF5">
              <w:rPr>
                <w:rtl/>
              </w:rPr>
              <w:t>(ד)</w:t>
            </w:r>
            <w:r w:rsidRPr="004A5EF5">
              <w:rPr>
                <w:rtl/>
              </w:rPr>
              <w:tab/>
              <w:t>החלטתה המנומקת של הוועדה המיוחדת תימסר בכתב לפונה מיד עם קבלת ההחלטה.</w:t>
            </w:r>
          </w:p>
        </w:tc>
      </w:tr>
      <w:tr w:rsidR="00B40D75" w14:paraId="0B513CCB" w14:textId="77777777" w:rsidTr="00B40D75">
        <w:trPr>
          <w:cantSplit/>
          <w:trHeight w:val="60"/>
        </w:trPr>
        <w:tc>
          <w:tcPr>
            <w:tcW w:w="1872" w:type="dxa"/>
            <w:hideMark/>
          </w:tcPr>
          <w:p w14:paraId="2C075B8B" w14:textId="77777777" w:rsidR="00B40D75" w:rsidRPr="00C541FB" w:rsidRDefault="00B40D75" w:rsidP="00C541FB">
            <w:pPr>
              <w:pStyle w:val="TableSideHeading"/>
            </w:pPr>
            <w:r w:rsidRPr="00C541FB">
              <w:rPr>
                <w:rtl/>
              </w:rPr>
              <w:t>הרכב הוועדה המיוחדת לאישור הפסקת היריון</w:t>
            </w:r>
          </w:p>
        </w:tc>
        <w:tc>
          <w:tcPr>
            <w:tcW w:w="624" w:type="dxa"/>
            <w:hideMark/>
          </w:tcPr>
          <w:p w14:paraId="314FA3B6" w14:textId="77777777" w:rsidR="00B40D75" w:rsidRPr="004A5EF5" w:rsidRDefault="00B40D75" w:rsidP="004A5EF5">
            <w:pPr>
              <w:pStyle w:val="TableText"/>
            </w:pPr>
            <w:r w:rsidRPr="004A5EF5">
              <w:rPr>
                <w:rtl/>
              </w:rPr>
              <w:t>10.</w:t>
            </w:r>
          </w:p>
        </w:tc>
        <w:tc>
          <w:tcPr>
            <w:tcW w:w="7150" w:type="dxa"/>
            <w:gridSpan w:val="2"/>
            <w:hideMark/>
          </w:tcPr>
          <w:p w14:paraId="57484A24" w14:textId="77777777" w:rsidR="00B40D75" w:rsidRPr="004A5EF5" w:rsidRDefault="00B40D75" w:rsidP="004A5EF5">
            <w:pPr>
              <w:pStyle w:val="TableBlock"/>
            </w:pPr>
            <w:r w:rsidRPr="004A5EF5">
              <w:rPr>
                <w:rtl/>
              </w:rPr>
              <w:t>(א)</w:t>
            </w:r>
            <w:r w:rsidRPr="004A5EF5">
              <w:rPr>
                <w:rtl/>
              </w:rPr>
              <w:tab/>
              <w:t xml:space="preserve">השר או מי שהוא הסמיך לכך, ימנה בכל מוסד רפואי מוכר ועדה מיוחדת להפסקות היריון שתפעל לפי סעיף 9, ובה חמישה חברים שהם: </w:t>
            </w:r>
          </w:p>
        </w:tc>
      </w:tr>
      <w:tr w:rsidR="00B40D75" w14:paraId="2AF752C4" w14:textId="77777777" w:rsidTr="00B40D75">
        <w:trPr>
          <w:cantSplit/>
          <w:trHeight w:val="60"/>
        </w:trPr>
        <w:tc>
          <w:tcPr>
            <w:tcW w:w="1872" w:type="dxa"/>
          </w:tcPr>
          <w:p w14:paraId="4695F8EF" w14:textId="77777777" w:rsidR="00B40D75" w:rsidRPr="00C541FB" w:rsidRDefault="00B40D75" w:rsidP="00C541FB">
            <w:pPr>
              <w:pStyle w:val="TableSideHeading"/>
            </w:pPr>
          </w:p>
        </w:tc>
        <w:tc>
          <w:tcPr>
            <w:tcW w:w="624" w:type="dxa"/>
          </w:tcPr>
          <w:p w14:paraId="027BC3B7" w14:textId="77777777" w:rsidR="00B40D75" w:rsidRPr="004A5EF5" w:rsidRDefault="00B40D75" w:rsidP="004A5EF5">
            <w:pPr>
              <w:pStyle w:val="TableText"/>
            </w:pPr>
          </w:p>
        </w:tc>
        <w:tc>
          <w:tcPr>
            <w:tcW w:w="624" w:type="dxa"/>
          </w:tcPr>
          <w:p w14:paraId="6110039E" w14:textId="77777777" w:rsidR="00B40D75" w:rsidRPr="004A5EF5" w:rsidRDefault="00B40D75" w:rsidP="004A5EF5">
            <w:pPr>
              <w:pStyle w:val="TableBlock"/>
            </w:pPr>
          </w:p>
        </w:tc>
        <w:tc>
          <w:tcPr>
            <w:tcW w:w="6526" w:type="dxa"/>
            <w:hideMark/>
          </w:tcPr>
          <w:p w14:paraId="3E67B0D3" w14:textId="77777777" w:rsidR="00B40D75" w:rsidRPr="004A5EF5" w:rsidRDefault="00B40D75" w:rsidP="004A5EF5">
            <w:pPr>
              <w:pStyle w:val="TableBlock"/>
            </w:pPr>
            <w:r w:rsidRPr="004A5EF5">
              <w:rPr>
                <w:rtl/>
              </w:rPr>
              <w:t xml:space="preserve">(1) </w:t>
            </w:r>
            <w:r w:rsidRPr="004A5EF5">
              <w:rPr>
                <w:rtl/>
              </w:rPr>
              <w:tab/>
              <w:t xml:space="preserve">מנהל המוסד הרפואי המוכר, ואם התמחותו של המנהל אינה בתחום יילוד וגניקולגיה, רפואה פנימית, פסיכיאטריה, רפואת המשפחה, או בריאות הציבור </w:t>
            </w:r>
            <w:r w:rsidRPr="004A5EF5">
              <w:t>–</w:t>
            </w:r>
            <w:r w:rsidRPr="004A5EF5">
              <w:rPr>
                <w:rtl/>
              </w:rPr>
              <w:t xml:space="preserve"> </w:t>
            </w:r>
            <w:r w:rsidRPr="004A5EF5">
              <w:rPr>
                <w:rFonts w:hint="cs"/>
                <w:rtl/>
              </w:rPr>
              <w:t xml:space="preserve">רופא מומחה באחד התחומים האמורים שהוא בעל ותק של 10 שנים כמומחה ובעל תפקיד בכיר במוסד הרפואי המוכר, שעליו המליץ מנהל המוסד המוכר; </w:t>
            </w:r>
          </w:p>
        </w:tc>
      </w:tr>
      <w:tr w:rsidR="00B40D75" w14:paraId="4336D8AD" w14:textId="77777777" w:rsidTr="00B40D75">
        <w:trPr>
          <w:cantSplit/>
          <w:trHeight w:val="60"/>
        </w:trPr>
        <w:tc>
          <w:tcPr>
            <w:tcW w:w="1872" w:type="dxa"/>
          </w:tcPr>
          <w:p w14:paraId="6D2EE0F3" w14:textId="77777777" w:rsidR="00B40D75" w:rsidRPr="00C541FB" w:rsidRDefault="00B40D75" w:rsidP="00C541FB">
            <w:pPr>
              <w:pStyle w:val="TableSideHeading"/>
            </w:pPr>
          </w:p>
        </w:tc>
        <w:tc>
          <w:tcPr>
            <w:tcW w:w="624" w:type="dxa"/>
          </w:tcPr>
          <w:p w14:paraId="3A78A983" w14:textId="77777777" w:rsidR="00B40D75" w:rsidRPr="004A5EF5" w:rsidRDefault="00B40D75" w:rsidP="004A5EF5">
            <w:pPr>
              <w:pStyle w:val="TableText"/>
              <w:rPr>
                <w:rtl/>
              </w:rPr>
            </w:pPr>
          </w:p>
        </w:tc>
        <w:tc>
          <w:tcPr>
            <w:tcW w:w="624" w:type="dxa"/>
          </w:tcPr>
          <w:p w14:paraId="420BDB55" w14:textId="77777777" w:rsidR="00B40D75" w:rsidRPr="004A5EF5" w:rsidRDefault="00B40D75" w:rsidP="004A5EF5">
            <w:pPr>
              <w:pStyle w:val="TableBlock"/>
            </w:pPr>
          </w:p>
        </w:tc>
        <w:tc>
          <w:tcPr>
            <w:tcW w:w="6526" w:type="dxa"/>
            <w:hideMark/>
          </w:tcPr>
          <w:p w14:paraId="5BEA366D" w14:textId="77777777" w:rsidR="00B40D75" w:rsidRPr="004A5EF5" w:rsidRDefault="00B40D75" w:rsidP="004A5EF5">
            <w:pPr>
              <w:pStyle w:val="TableBlock"/>
            </w:pPr>
            <w:r w:rsidRPr="004A5EF5">
              <w:rPr>
                <w:rtl/>
              </w:rPr>
              <w:t xml:space="preserve">(2) </w:t>
            </w:r>
            <w:r w:rsidRPr="004A5EF5">
              <w:rPr>
                <w:rtl/>
              </w:rPr>
              <w:tab/>
              <w:t>מנהל מחלקת נשים ויולדות, שהוא מומחה ביילוד וגניקולוגיה;</w:t>
            </w:r>
          </w:p>
        </w:tc>
      </w:tr>
      <w:tr w:rsidR="00B40D75" w14:paraId="540199BB" w14:textId="77777777" w:rsidTr="00B40D75">
        <w:trPr>
          <w:cantSplit/>
          <w:trHeight w:val="60"/>
        </w:trPr>
        <w:tc>
          <w:tcPr>
            <w:tcW w:w="1872" w:type="dxa"/>
          </w:tcPr>
          <w:p w14:paraId="2A233FF6" w14:textId="77777777" w:rsidR="00B40D75" w:rsidRPr="00C541FB" w:rsidRDefault="00B40D75" w:rsidP="00C541FB">
            <w:pPr>
              <w:pStyle w:val="TableSideHeading"/>
              <w:rPr>
                <w:rtl/>
              </w:rPr>
            </w:pPr>
          </w:p>
        </w:tc>
        <w:tc>
          <w:tcPr>
            <w:tcW w:w="624" w:type="dxa"/>
          </w:tcPr>
          <w:p w14:paraId="2559956A" w14:textId="77777777" w:rsidR="00B40D75" w:rsidRPr="004A5EF5" w:rsidRDefault="00B40D75" w:rsidP="004A5EF5">
            <w:pPr>
              <w:pStyle w:val="TableText"/>
              <w:rPr>
                <w:rtl/>
              </w:rPr>
            </w:pPr>
          </w:p>
        </w:tc>
        <w:tc>
          <w:tcPr>
            <w:tcW w:w="624" w:type="dxa"/>
          </w:tcPr>
          <w:p w14:paraId="78C5BD33" w14:textId="77777777" w:rsidR="00B40D75" w:rsidRPr="004A5EF5" w:rsidRDefault="00B40D75" w:rsidP="004A5EF5">
            <w:pPr>
              <w:pStyle w:val="TableBlock"/>
            </w:pPr>
          </w:p>
        </w:tc>
        <w:tc>
          <w:tcPr>
            <w:tcW w:w="6526" w:type="dxa"/>
            <w:hideMark/>
          </w:tcPr>
          <w:p w14:paraId="54F8487C" w14:textId="77777777" w:rsidR="00B40D75" w:rsidRPr="004A5EF5" w:rsidRDefault="00B40D75" w:rsidP="004A5EF5">
            <w:pPr>
              <w:pStyle w:val="TableBlock"/>
            </w:pPr>
            <w:r w:rsidRPr="004A5EF5">
              <w:rPr>
                <w:rtl/>
              </w:rPr>
              <w:t>(3)</w:t>
            </w:r>
            <w:r w:rsidRPr="004A5EF5">
              <w:rPr>
                <w:rtl/>
              </w:rPr>
              <w:tab/>
              <w:t xml:space="preserve"> עובד סוציאלי;</w:t>
            </w:r>
          </w:p>
        </w:tc>
      </w:tr>
      <w:tr w:rsidR="00B40D75" w14:paraId="3E1B479A" w14:textId="77777777" w:rsidTr="00B40D75">
        <w:trPr>
          <w:cantSplit/>
          <w:trHeight w:val="60"/>
        </w:trPr>
        <w:tc>
          <w:tcPr>
            <w:tcW w:w="1872" w:type="dxa"/>
          </w:tcPr>
          <w:p w14:paraId="5C738F39" w14:textId="77777777" w:rsidR="00B40D75" w:rsidRPr="00C541FB" w:rsidRDefault="00B40D75" w:rsidP="00C541FB">
            <w:pPr>
              <w:pStyle w:val="TableSideHeading"/>
              <w:rPr>
                <w:rtl/>
              </w:rPr>
            </w:pPr>
          </w:p>
        </w:tc>
        <w:tc>
          <w:tcPr>
            <w:tcW w:w="624" w:type="dxa"/>
          </w:tcPr>
          <w:p w14:paraId="584A53F3" w14:textId="77777777" w:rsidR="00B40D75" w:rsidRPr="004A5EF5" w:rsidRDefault="00B40D75" w:rsidP="004A5EF5">
            <w:pPr>
              <w:pStyle w:val="TableText"/>
              <w:rPr>
                <w:rtl/>
              </w:rPr>
            </w:pPr>
          </w:p>
        </w:tc>
        <w:tc>
          <w:tcPr>
            <w:tcW w:w="624" w:type="dxa"/>
          </w:tcPr>
          <w:p w14:paraId="36836DBD" w14:textId="77777777" w:rsidR="00B40D75" w:rsidRPr="004A5EF5" w:rsidRDefault="00B40D75" w:rsidP="004A5EF5">
            <w:pPr>
              <w:pStyle w:val="TableBlock"/>
            </w:pPr>
          </w:p>
        </w:tc>
        <w:tc>
          <w:tcPr>
            <w:tcW w:w="6526" w:type="dxa"/>
            <w:hideMark/>
          </w:tcPr>
          <w:p w14:paraId="6B15CB0B" w14:textId="77777777" w:rsidR="00B40D75" w:rsidRPr="004A5EF5" w:rsidRDefault="00B40D75" w:rsidP="004A5EF5">
            <w:pPr>
              <w:pStyle w:val="TableBlock"/>
            </w:pPr>
            <w:r w:rsidRPr="004A5EF5">
              <w:rPr>
                <w:rtl/>
              </w:rPr>
              <w:t xml:space="preserve">(4) </w:t>
            </w:r>
            <w:r w:rsidRPr="004A5EF5">
              <w:rPr>
                <w:rtl/>
              </w:rPr>
              <w:tab/>
              <w:t>מנהל מחלקה ניאונטולוגית;</w:t>
            </w:r>
          </w:p>
        </w:tc>
      </w:tr>
      <w:tr w:rsidR="00B40D75" w14:paraId="00EADD2E" w14:textId="77777777" w:rsidTr="00B40D75">
        <w:trPr>
          <w:cantSplit/>
          <w:trHeight w:val="60"/>
        </w:trPr>
        <w:tc>
          <w:tcPr>
            <w:tcW w:w="1872" w:type="dxa"/>
          </w:tcPr>
          <w:p w14:paraId="3796BA49" w14:textId="77777777" w:rsidR="00B40D75" w:rsidRPr="00C541FB" w:rsidRDefault="00B40D75" w:rsidP="00C541FB">
            <w:pPr>
              <w:pStyle w:val="TableSideHeading"/>
              <w:rPr>
                <w:rtl/>
              </w:rPr>
            </w:pPr>
          </w:p>
        </w:tc>
        <w:tc>
          <w:tcPr>
            <w:tcW w:w="624" w:type="dxa"/>
          </w:tcPr>
          <w:p w14:paraId="2C75461B" w14:textId="77777777" w:rsidR="00B40D75" w:rsidRPr="004A5EF5" w:rsidRDefault="00B40D75" w:rsidP="004A5EF5">
            <w:pPr>
              <w:pStyle w:val="TableText"/>
              <w:rPr>
                <w:rtl/>
              </w:rPr>
            </w:pPr>
          </w:p>
        </w:tc>
        <w:tc>
          <w:tcPr>
            <w:tcW w:w="624" w:type="dxa"/>
          </w:tcPr>
          <w:p w14:paraId="2A0F4D81" w14:textId="77777777" w:rsidR="00B40D75" w:rsidRPr="004A5EF5" w:rsidRDefault="00B40D75" w:rsidP="004A5EF5">
            <w:pPr>
              <w:pStyle w:val="TableBlock"/>
            </w:pPr>
          </w:p>
        </w:tc>
        <w:tc>
          <w:tcPr>
            <w:tcW w:w="6526" w:type="dxa"/>
            <w:hideMark/>
          </w:tcPr>
          <w:p w14:paraId="281D2395" w14:textId="77777777" w:rsidR="00B40D75" w:rsidRPr="004A5EF5" w:rsidRDefault="00B40D75" w:rsidP="004A5EF5">
            <w:pPr>
              <w:pStyle w:val="TableBlock"/>
            </w:pPr>
            <w:r w:rsidRPr="004A5EF5">
              <w:rPr>
                <w:rtl/>
              </w:rPr>
              <w:t xml:space="preserve">(5) </w:t>
            </w:r>
            <w:r w:rsidRPr="004A5EF5">
              <w:rPr>
                <w:rtl/>
              </w:rPr>
              <w:tab/>
              <w:t>מנהל מכון גנטי.</w:t>
            </w:r>
          </w:p>
        </w:tc>
      </w:tr>
      <w:tr w:rsidR="00B40D75" w14:paraId="0D995302" w14:textId="77777777" w:rsidTr="00B40D75">
        <w:trPr>
          <w:cantSplit/>
          <w:trHeight w:val="60"/>
        </w:trPr>
        <w:tc>
          <w:tcPr>
            <w:tcW w:w="1872" w:type="dxa"/>
          </w:tcPr>
          <w:p w14:paraId="4D33DD37" w14:textId="77777777" w:rsidR="00B40D75" w:rsidRPr="00C541FB" w:rsidRDefault="00B40D75" w:rsidP="00C541FB">
            <w:pPr>
              <w:pStyle w:val="TableSideHeading"/>
              <w:rPr>
                <w:rtl/>
              </w:rPr>
            </w:pPr>
          </w:p>
        </w:tc>
        <w:tc>
          <w:tcPr>
            <w:tcW w:w="624" w:type="dxa"/>
          </w:tcPr>
          <w:p w14:paraId="59BA66F7" w14:textId="77777777" w:rsidR="00B40D75" w:rsidRPr="004A5EF5" w:rsidRDefault="00B40D75" w:rsidP="004A5EF5">
            <w:pPr>
              <w:pStyle w:val="TableText"/>
            </w:pPr>
          </w:p>
        </w:tc>
        <w:tc>
          <w:tcPr>
            <w:tcW w:w="7150" w:type="dxa"/>
            <w:gridSpan w:val="2"/>
            <w:hideMark/>
          </w:tcPr>
          <w:p w14:paraId="5F0CEAD2" w14:textId="77777777" w:rsidR="00B40D75" w:rsidRPr="004A5EF5" w:rsidRDefault="00B40D75" w:rsidP="004A5EF5">
            <w:pPr>
              <w:pStyle w:val="TableBlock"/>
            </w:pPr>
            <w:r w:rsidRPr="004A5EF5">
              <w:rPr>
                <w:rtl/>
              </w:rPr>
              <w:t>(ב)</w:t>
            </w:r>
            <w:r w:rsidRPr="004A5EF5">
              <w:rPr>
                <w:rtl/>
              </w:rPr>
              <w:tab/>
              <w:t>שניים לפחות מחברי הועדה המיוחדת יהיו נשים.</w:t>
            </w:r>
          </w:p>
        </w:tc>
      </w:tr>
      <w:tr w:rsidR="00B40D75" w14:paraId="348EA61B" w14:textId="77777777" w:rsidTr="00B40D75">
        <w:trPr>
          <w:cantSplit/>
          <w:trHeight w:val="1212"/>
        </w:trPr>
        <w:tc>
          <w:tcPr>
            <w:tcW w:w="1872" w:type="dxa"/>
            <w:hideMark/>
          </w:tcPr>
          <w:p w14:paraId="4E122999" w14:textId="77777777" w:rsidR="00B40D75" w:rsidRPr="00C541FB" w:rsidRDefault="00B40D75" w:rsidP="00C541FB">
            <w:pPr>
              <w:pStyle w:val="TableSideHeading"/>
            </w:pPr>
            <w:r w:rsidRPr="00C541FB">
              <w:rPr>
                <w:rtl/>
              </w:rPr>
              <w:t>הפסקת היריון במקרים מיוחדים</w:t>
            </w:r>
          </w:p>
        </w:tc>
        <w:tc>
          <w:tcPr>
            <w:tcW w:w="624" w:type="dxa"/>
            <w:hideMark/>
          </w:tcPr>
          <w:p w14:paraId="29D2C36D" w14:textId="77777777" w:rsidR="00B40D75" w:rsidRPr="004A5EF5" w:rsidRDefault="00B40D75" w:rsidP="004A5EF5">
            <w:pPr>
              <w:pStyle w:val="TableText"/>
            </w:pPr>
            <w:r w:rsidRPr="004A5EF5">
              <w:rPr>
                <w:rtl/>
              </w:rPr>
              <w:t>11.</w:t>
            </w:r>
          </w:p>
        </w:tc>
        <w:tc>
          <w:tcPr>
            <w:tcW w:w="7150" w:type="dxa"/>
            <w:gridSpan w:val="2"/>
            <w:hideMark/>
          </w:tcPr>
          <w:p w14:paraId="159FF535" w14:textId="77777777" w:rsidR="00B40D75" w:rsidRPr="004A5EF5" w:rsidRDefault="00B40D75" w:rsidP="004A5EF5">
            <w:pPr>
              <w:pStyle w:val="TableBlock"/>
            </w:pPr>
            <w:r w:rsidRPr="004A5EF5">
              <w:rPr>
                <w:rtl/>
              </w:rPr>
              <w:t>לא יישא רופא באחריות פלילית בשל הפסקת היריון שלא לפי הוראות חוק זה, אם נתקיימה אחת מאלה, ובלבד שניתנה למנהל הכללי של משרד הבריאות הודעה מנומקת בכתב על כך תוך חמישה ימים לאחר ביצוע הפסקת ההיריון:</w:t>
            </w:r>
          </w:p>
        </w:tc>
      </w:tr>
      <w:tr w:rsidR="00B40D75" w14:paraId="2B7C0E36" w14:textId="77777777" w:rsidTr="00B40D75">
        <w:trPr>
          <w:cantSplit/>
          <w:trHeight w:val="1212"/>
        </w:trPr>
        <w:tc>
          <w:tcPr>
            <w:tcW w:w="1872" w:type="dxa"/>
          </w:tcPr>
          <w:p w14:paraId="5F8727F5" w14:textId="77777777" w:rsidR="00B40D75" w:rsidRPr="00C541FB" w:rsidRDefault="00B40D75" w:rsidP="00C541FB">
            <w:pPr>
              <w:pStyle w:val="TableSideHeading"/>
            </w:pPr>
          </w:p>
        </w:tc>
        <w:tc>
          <w:tcPr>
            <w:tcW w:w="624" w:type="dxa"/>
          </w:tcPr>
          <w:p w14:paraId="5F14CD26" w14:textId="77777777" w:rsidR="00B40D75" w:rsidRPr="004A5EF5" w:rsidRDefault="00B40D75" w:rsidP="004A5EF5">
            <w:pPr>
              <w:pStyle w:val="TableText"/>
              <w:rPr>
                <w:rtl/>
              </w:rPr>
            </w:pPr>
          </w:p>
        </w:tc>
        <w:tc>
          <w:tcPr>
            <w:tcW w:w="7150" w:type="dxa"/>
            <w:gridSpan w:val="2"/>
            <w:hideMark/>
          </w:tcPr>
          <w:p w14:paraId="3C0F2144" w14:textId="77777777" w:rsidR="00B40D75" w:rsidRPr="004A5EF5" w:rsidRDefault="00B40D75" w:rsidP="004A5EF5">
            <w:pPr>
              <w:pStyle w:val="TableBlock"/>
              <w:rPr>
                <w:rtl/>
              </w:rPr>
            </w:pPr>
            <w:r w:rsidRPr="004A5EF5">
              <w:rPr>
                <w:rtl/>
              </w:rPr>
              <w:t>(1)</w:t>
            </w:r>
            <w:r w:rsidRPr="004A5EF5">
              <w:rPr>
                <w:rtl/>
              </w:rPr>
              <w:tab/>
              <w:t>הפסקת ההיריון באופן מיידי הייתה חיונית לשם הצלת חייה של האישה או לשם מניעת נזק חמור ובלתי הדיר לבריאותה;</w:t>
            </w:r>
          </w:p>
        </w:tc>
      </w:tr>
      <w:tr w:rsidR="00B40D75" w14:paraId="146A4406" w14:textId="77777777" w:rsidTr="00B40D75">
        <w:trPr>
          <w:cantSplit/>
          <w:trHeight w:val="1212"/>
        </w:trPr>
        <w:tc>
          <w:tcPr>
            <w:tcW w:w="1872" w:type="dxa"/>
          </w:tcPr>
          <w:p w14:paraId="513A05A8" w14:textId="77777777" w:rsidR="00B40D75" w:rsidRPr="00C541FB" w:rsidRDefault="00B40D75" w:rsidP="00C541FB">
            <w:pPr>
              <w:pStyle w:val="TableSideHeading"/>
              <w:rPr>
                <w:rtl/>
              </w:rPr>
            </w:pPr>
          </w:p>
        </w:tc>
        <w:tc>
          <w:tcPr>
            <w:tcW w:w="624" w:type="dxa"/>
          </w:tcPr>
          <w:p w14:paraId="39F7E848" w14:textId="77777777" w:rsidR="00B40D75" w:rsidRPr="004A5EF5" w:rsidRDefault="00B40D75" w:rsidP="004A5EF5">
            <w:pPr>
              <w:pStyle w:val="TableText"/>
              <w:rPr>
                <w:rtl/>
              </w:rPr>
            </w:pPr>
          </w:p>
        </w:tc>
        <w:tc>
          <w:tcPr>
            <w:tcW w:w="7150" w:type="dxa"/>
            <w:gridSpan w:val="2"/>
            <w:hideMark/>
          </w:tcPr>
          <w:p w14:paraId="7696DB5C" w14:textId="77777777" w:rsidR="00B40D75" w:rsidRPr="004A5EF5" w:rsidRDefault="00B40D75" w:rsidP="004A5EF5">
            <w:pPr>
              <w:pStyle w:val="TableBlock"/>
              <w:rPr>
                <w:rtl/>
              </w:rPr>
            </w:pPr>
            <w:r w:rsidRPr="004A5EF5">
              <w:rPr>
                <w:rtl/>
              </w:rPr>
              <w:t>(2)</w:t>
            </w:r>
            <w:r w:rsidRPr="004A5EF5">
              <w:rPr>
                <w:rtl/>
              </w:rPr>
              <w:tab/>
              <w:t>הפסקת ההיריון אירעה תוך כדי טיפול רפואי אחר בגופה של האישה, דבר ההיריון לא היה ידוע לרופא קודם לכן והפסקת ההיריון הייתה דרושה לאותו טיפול רפואי.</w:t>
            </w:r>
          </w:p>
        </w:tc>
      </w:tr>
      <w:tr w:rsidR="00B40D75" w14:paraId="5A07AED9" w14:textId="77777777" w:rsidTr="00B40D75">
        <w:trPr>
          <w:cantSplit/>
          <w:trHeight w:val="60"/>
        </w:trPr>
        <w:tc>
          <w:tcPr>
            <w:tcW w:w="1872" w:type="dxa"/>
            <w:hideMark/>
          </w:tcPr>
          <w:p w14:paraId="4BC0475C" w14:textId="77777777" w:rsidR="00B40D75" w:rsidRPr="00C541FB" w:rsidRDefault="00B40D75" w:rsidP="00C541FB">
            <w:pPr>
              <w:pStyle w:val="TableSideHeading"/>
              <w:rPr>
                <w:rtl/>
              </w:rPr>
            </w:pPr>
            <w:r w:rsidRPr="00C541FB">
              <w:rPr>
                <w:rtl/>
              </w:rPr>
              <w:t>עונשין</w:t>
            </w:r>
          </w:p>
        </w:tc>
        <w:tc>
          <w:tcPr>
            <w:tcW w:w="624" w:type="dxa"/>
            <w:hideMark/>
          </w:tcPr>
          <w:p w14:paraId="2A7E8291" w14:textId="77777777" w:rsidR="00B40D75" w:rsidRPr="004A5EF5" w:rsidRDefault="00B40D75" w:rsidP="004A5EF5">
            <w:pPr>
              <w:pStyle w:val="TableText"/>
            </w:pPr>
            <w:r w:rsidRPr="004A5EF5">
              <w:rPr>
                <w:rtl/>
              </w:rPr>
              <w:t>12.</w:t>
            </w:r>
          </w:p>
        </w:tc>
        <w:tc>
          <w:tcPr>
            <w:tcW w:w="7150" w:type="dxa"/>
            <w:gridSpan w:val="2"/>
            <w:hideMark/>
          </w:tcPr>
          <w:p w14:paraId="5263CEF7" w14:textId="77777777" w:rsidR="00B40D75" w:rsidRPr="004A5EF5" w:rsidRDefault="00B40D75" w:rsidP="004A5EF5">
            <w:pPr>
              <w:pStyle w:val="TableBlock"/>
            </w:pPr>
            <w:r w:rsidRPr="004A5EF5">
              <w:rPr>
                <w:rtl/>
              </w:rPr>
              <w:t>לא תיערך הפסקת היריון אלא לפי הוראות חוק זה; אדם המבצע ביודעין הפסקת היריון באשה שלא לפי חוק זה, בין בטיפול רפואי ובין בדרך אחרת, דינו – מאסר חמש שנים או הקנס הקבוע בסעיף 61(א)(4) לחוק העונשין, התשל"ז–1997</w:t>
            </w:r>
            <w:r w:rsidRPr="004A5EF5">
              <w:rPr>
                <w:vertAlign w:val="superscript"/>
                <w:rtl/>
              </w:rPr>
              <w:footnoteReference w:id="3"/>
            </w:r>
            <w:r w:rsidRPr="004A5EF5">
              <w:rPr>
                <w:rtl/>
              </w:rPr>
              <w:t>.</w:t>
            </w:r>
          </w:p>
        </w:tc>
      </w:tr>
      <w:tr w:rsidR="00B40D75" w14:paraId="038E6664" w14:textId="77777777" w:rsidTr="00B40D75">
        <w:trPr>
          <w:cantSplit/>
          <w:trHeight w:val="60"/>
        </w:trPr>
        <w:tc>
          <w:tcPr>
            <w:tcW w:w="1872" w:type="dxa"/>
            <w:hideMark/>
          </w:tcPr>
          <w:p w14:paraId="73CBA1DB" w14:textId="77777777" w:rsidR="00B40D75" w:rsidRPr="00C541FB" w:rsidRDefault="00B40D75" w:rsidP="0082670B">
            <w:pPr>
              <w:pStyle w:val="TableSideHeading"/>
              <w:ind w:right="0"/>
            </w:pPr>
            <w:r w:rsidRPr="00C541FB">
              <w:rPr>
                <w:rtl/>
              </w:rPr>
              <w:t>סייג לאחריות</w:t>
            </w:r>
          </w:p>
        </w:tc>
        <w:tc>
          <w:tcPr>
            <w:tcW w:w="624" w:type="dxa"/>
            <w:hideMark/>
          </w:tcPr>
          <w:p w14:paraId="660D4565" w14:textId="77777777" w:rsidR="00B40D75" w:rsidRPr="004A5EF5" w:rsidRDefault="00B40D75" w:rsidP="004A5EF5">
            <w:pPr>
              <w:pStyle w:val="TableText"/>
            </w:pPr>
            <w:r w:rsidRPr="004A5EF5">
              <w:rPr>
                <w:rtl/>
              </w:rPr>
              <w:t>13.</w:t>
            </w:r>
          </w:p>
        </w:tc>
        <w:tc>
          <w:tcPr>
            <w:tcW w:w="7150" w:type="dxa"/>
            <w:gridSpan w:val="2"/>
            <w:hideMark/>
          </w:tcPr>
          <w:p w14:paraId="262C10D4" w14:textId="77777777" w:rsidR="00B40D75" w:rsidRPr="004A5EF5" w:rsidRDefault="00B40D75" w:rsidP="004A5EF5">
            <w:pPr>
              <w:pStyle w:val="TableBlock"/>
            </w:pPr>
            <w:r w:rsidRPr="004A5EF5">
              <w:rPr>
                <w:rtl/>
              </w:rPr>
              <w:t>אישה שבוצעה בה עבירה בניגוד להוראות חוק זה לא תישא באחריות פלילית בקשר לעבירה זו.</w:t>
            </w:r>
          </w:p>
        </w:tc>
      </w:tr>
      <w:tr w:rsidR="00B40D75" w14:paraId="3A17DBCC" w14:textId="77777777" w:rsidTr="00B40D75">
        <w:trPr>
          <w:cantSplit/>
          <w:trHeight w:val="60"/>
        </w:trPr>
        <w:tc>
          <w:tcPr>
            <w:tcW w:w="1872" w:type="dxa"/>
            <w:hideMark/>
          </w:tcPr>
          <w:p w14:paraId="08FAC7D9" w14:textId="77777777" w:rsidR="00B40D75" w:rsidRPr="00C541FB" w:rsidRDefault="00B40D75" w:rsidP="0082670B">
            <w:pPr>
              <w:pStyle w:val="TableSideHeading"/>
            </w:pPr>
            <w:r w:rsidRPr="00C541FB">
              <w:rPr>
                <w:rtl/>
              </w:rPr>
              <w:t>תיקון חוק העונשין</w:t>
            </w:r>
          </w:p>
        </w:tc>
        <w:tc>
          <w:tcPr>
            <w:tcW w:w="624" w:type="dxa"/>
            <w:hideMark/>
          </w:tcPr>
          <w:p w14:paraId="17D1882E" w14:textId="77777777" w:rsidR="00B40D75" w:rsidRPr="004A5EF5" w:rsidRDefault="00B40D75" w:rsidP="004A5EF5">
            <w:pPr>
              <w:pStyle w:val="TableText"/>
            </w:pPr>
            <w:r w:rsidRPr="004A5EF5">
              <w:rPr>
                <w:rtl/>
              </w:rPr>
              <w:t>14.</w:t>
            </w:r>
          </w:p>
        </w:tc>
        <w:tc>
          <w:tcPr>
            <w:tcW w:w="7150" w:type="dxa"/>
            <w:gridSpan w:val="2"/>
            <w:hideMark/>
          </w:tcPr>
          <w:p w14:paraId="5C6216F7" w14:textId="77777777" w:rsidR="00B40D75" w:rsidRPr="004A5EF5" w:rsidRDefault="00B40D75" w:rsidP="004A5EF5">
            <w:pPr>
              <w:pStyle w:val="TableBlock"/>
            </w:pPr>
            <w:r w:rsidRPr="004A5EF5">
              <w:rPr>
                <w:rtl/>
              </w:rPr>
              <w:t>בחוק העונשין, התשל"ז–1977, בפרק ו', סימן ב' – בטל.</w:t>
            </w:r>
          </w:p>
        </w:tc>
      </w:tr>
      <w:tr w:rsidR="00B40D75" w14:paraId="2648D501" w14:textId="77777777" w:rsidTr="00B40D75">
        <w:trPr>
          <w:cantSplit/>
          <w:trHeight w:val="60"/>
        </w:trPr>
        <w:tc>
          <w:tcPr>
            <w:tcW w:w="1872" w:type="dxa"/>
            <w:hideMark/>
          </w:tcPr>
          <w:p w14:paraId="4057E153" w14:textId="77777777" w:rsidR="00B40D75" w:rsidRPr="00C541FB" w:rsidRDefault="00B40D75" w:rsidP="0082670B">
            <w:pPr>
              <w:pStyle w:val="TableSideHeading"/>
            </w:pPr>
            <w:r w:rsidRPr="00C541FB">
              <w:rPr>
                <w:rtl/>
              </w:rPr>
              <w:t>תיקון חוק ביטוח בריאות ממלכתי</w:t>
            </w:r>
          </w:p>
        </w:tc>
        <w:tc>
          <w:tcPr>
            <w:tcW w:w="624" w:type="dxa"/>
            <w:hideMark/>
          </w:tcPr>
          <w:p w14:paraId="066BFA2F" w14:textId="77777777" w:rsidR="00B40D75" w:rsidRPr="004A5EF5" w:rsidRDefault="00B40D75" w:rsidP="004A5EF5">
            <w:pPr>
              <w:pStyle w:val="TableText"/>
            </w:pPr>
            <w:r w:rsidRPr="004A5EF5">
              <w:rPr>
                <w:rtl/>
              </w:rPr>
              <w:t>15.</w:t>
            </w:r>
          </w:p>
        </w:tc>
        <w:tc>
          <w:tcPr>
            <w:tcW w:w="7150" w:type="dxa"/>
            <w:gridSpan w:val="2"/>
            <w:hideMark/>
          </w:tcPr>
          <w:p w14:paraId="7769860F" w14:textId="77777777" w:rsidR="00B40D75" w:rsidRPr="004A5EF5" w:rsidRDefault="00B40D75" w:rsidP="004A5EF5">
            <w:pPr>
              <w:pStyle w:val="TableBlock"/>
            </w:pPr>
            <w:r w:rsidRPr="004A5EF5">
              <w:rPr>
                <w:rtl/>
              </w:rPr>
              <w:t>בחוק ביטוח בריאות ממלכתי, התשנ"ד–1994</w:t>
            </w:r>
            <w:r w:rsidRPr="004A5EF5">
              <w:rPr>
                <w:vertAlign w:val="superscript"/>
                <w:rtl/>
              </w:rPr>
              <w:footnoteReference w:id="4"/>
            </w:r>
            <w:r w:rsidRPr="004A5EF5">
              <w:rPr>
                <w:rtl/>
              </w:rPr>
              <w:t>, בתוספת השנייה, בסעיף 7, במקום סעיפים קטנים (ג) ו-(ג1) יבוא:</w:t>
            </w:r>
          </w:p>
        </w:tc>
      </w:tr>
      <w:tr w:rsidR="00B40D75" w14:paraId="6BC05D0B" w14:textId="77777777" w:rsidTr="00B40D75">
        <w:trPr>
          <w:cantSplit/>
          <w:trHeight w:val="60"/>
        </w:trPr>
        <w:tc>
          <w:tcPr>
            <w:tcW w:w="1872" w:type="dxa"/>
          </w:tcPr>
          <w:p w14:paraId="53203C09" w14:textId="77777777" w:rsidR="00B40D75" w:rsidRPr="004A5EF5" w:rsidRDefault="00B40D75" w:rsidP="004A5EF5">
            <w:pPr>
              <w:pStyle w:val="TableSideHeading"/>
            </w:pPr>
          </w:p>
        </w:tc>
        <w:tc>
          <w:tcPr>
            <w:tcW w:w="624" w:type="dxa"/>
          </w:tcPr>
          <w:p w14:paraId="16AC19B6" w14:textId="77777777" w:rsidR="00B40D75" w:rsidRPr="004A5EF5" w:rsidRDefault="00B40D75" w:rsidP="004A5EF5">
            <w:pPr>
              <w:pStyle w:val="TableText"/>
              <w:rPr>
                <w:rtl/>
              </w:rPr>
            </w:pPr>
          </w:p>
        </w:tc>
        <w:tc>
          <w:tcPr>
            <w:tcW w:w="7150" w:type="dxa"/>
            <w:gridSpan w:val="2"/>
            <w:hideMark/>
          </w:tcPr>
          <w:p w14:paraId="636318EE" w14:textId="77777777" w:rsidR="00B40D75" w:rsidRPr="004A5EF5" w:rsidRDefault="00B40D75" w:rsidP="004A5EF5">
            <w:pPr>
              <w:pStyle w:val="TableBlock"/>
            </w:pPr>
            <w:r w:rsidRPr="004A5EF5">
              <w:rPr>
                <w:rtl/>
              </w:rPr>
              <w:t>"(ג)</w:t>
            </w:r>
            <w:r w:rsidRPr="004A5EF5">
              <w:rPr>
                <w:rtl/>
              </w:rPr>
              <w:tab/>
              <w:t>ביצוע הפסקת היריון לפי הוראות חוק הפסקת היריון, התשע"ח–2018".</w:t>
            </w:r>
          </w:p>
        </w:tc>
      </w:tr>
      <w:tr w:rsidR="00B40D75" w14:paraId="177E92B5" w14:textId="77777777" w:rsidTr="00B40D75">
        <w:trPr>
          <w:cantSplit/>
          <w:trHeight w:val="60"/>
        </w:trPr>
        <w:tc>
          <w:tcPr>
            <w:tcW w:w="1872" w:type="dxa"/>
            <w:hideMark/>
          </w:tcPr>
          <w:p w14:paraId="4DBE4F21" w14:textId="77777777" w:rsidR="00B40D75" w:rsidRPr="00C541FB" w:rsidRDefault="00B40D75" w:rsidP="0082670B">
            <w:pPr>
              <w:pStyle w:val="TableSideHeading"/>
              <w:ind w:right="0"/>
              <w:rPr>
                <w:rtl/>
              </w:rPr>
            </w:pPr>
            <w:r w:rsidRPr="00C541FB">
              <w:rPr>
                <w:rtl/>
              </w:rPr>
              <w:lastRenderedPageBreak/>
              <w:t>תיקון חוק הסכמים לנשיאת עוברים (אישור הסכם ומעמד היילוד)</w:t>
            </w:r>
          </w:p>
        </w:tc>
        <w:tc>
          <w:tcPr>
            <w:tcW w:w="624" w:type="dxa"/>
            <w:hideMark/>
          </w:tcPr>
          <w:p w14:paraId="18EE80A1" w14:textId="77777777" w:rsidR="00B40D75" w:rsidRPr="004A5EF5" w:rsidRDefault="00B40D75" w:rsidP="004A5EF5">
            <w:pPr>
              <w:pStyle w:val="TableText"/>
            </w:pPr>
            <w:r w:rsidRPr="004A5EF5">
              <w:rPr>
                <w:rtl/>
              </w:rPr>
              <w:t>16.</w:t>
            </w:r>
          </w:p>
        </w:tc>
        <w:tc>
          <w:tcPr>
            <w:tcW w:w="7150" w:type="dxa"/>
            <w:gridSpan w:val="2"/>
            <w:hideMark/>
          </w:tcPr>
          <w:p w14:paraId="10C95996" w14:textId="77777777" w:rsidR="00B40D75" w:rsidRPr="004A5EF5" w:rsidRDefault="00B40D75" w:rsidP="004A5EF5">
            <w:pPr>
              <w:pStyle w:val="TableBlock"/>
            </w:pPr>
            <w:r w:rsidRPr="004A5EF5">
              <w:rPr>
                <w:rtl/>
              </w:rPr>
              <w:t>בחוק הסכמים לנשיאת עוברים (אישור הסכם ומעמד היילוד), התשנ"ו–1996</w:t>
            </w:r>
            <w:r w:rsidRPr="004A5EF5">
              <w:rPr>
                <w:vertAlign w:val="superscript"/>
                <w:rtl/>
              </w:rPr>
              <w:footnoteReference w:id="5"/>
            </w:r>
            <w:r w:rsidRPr="004A5EF5">
              <w:rPr>
                <w:rtl/>
              </w:rPr>
              <w:t>, בסעיף 18, במקום הסיפה החל במילים "לפי סימן ב' בפרק י'" יבוא "לפי חוק הפסקת היריון, התשע"ח–2018".</w:t>
            </w:r>
          </w:p>
        </w:tc>
      </w:tr>
    </w:tbl>
    <w:p w14:paraId="7F6961CA" w14:textId="77777777" w:rsidR="002D1EE3" w:rsidRDefault="002D1EE3" w:rsidP="002D1EE3">
      <w:pPr>
        <w:pStyle w:val="HeadDivreiHesber"/>
        <w:rPr>
          <w:rtl/>
        </w:rPr>
      </w:pPr>
      <w:r w:rsidRPr="0027450A">
        <w:rPr>
          <w:rFonts w:hint="cs"/>
          <w:rtl/>
        </w:rPr>
        <w:t>דברי הסבר</w:t>
      </w:r>
    </w:p>
    <w:p w14:paraId="30021FD6" w14:textId="77777777" w:rsidR="00B40D75" w:rsidRPr="0082670B" w:rsidRDefault="00B40D75" w:rsidP="0082670B">
      <w:pPr>
        <w:pStyle w:val="Hesber"/>
      </w:pPr>
      <w:r w:rsidRPr="0082670B">
        <w:rPr>
          <w:rtl/>
        </w:rPr>
        <w:t>ההסדר החוקי כיום בעניין הפסקות היריון מעוגן בחוק העונשין, התשל"ז–1977 (להלן – החוק), ומטיל מגבלות מהותיות על האוטונומיה של נשים על גופן. הסדר זה מונע מאישה הרה שליטה ואחריות על גופה ועל פריונה ואינו נותן משקל לרצונה של האישה להפסיק את הריונה. מצב חוקי זה פוגע בזכותן של נשים לשוויון, לחירות, לכבוד ולבריאות ואינו תואם את המצב המשפטי הנוהג ברוב המדינות המפותחות.</w:t>
      </w:r>
    </w:p>
    <w:p w14:paraId="5C8C13E8" w14:textId="77777777" w:rsidR="00B40D75" w:rsidRPr="0082670B" w:rsidRDefault="00B40D75" w:rsidP="0082670B">
      <w:pPr>
        <w:pStyle w:val="Hesber"/>
        <w:rPr>
          <w:rtl/>
        </w:rPr>
      </w:pPr>
      <w:r w:rsidRPr="0082670B">
        <w:rPr>
          <w:rtl/>
        </w:rPr>
        <w:t xml:space="preserve">כיום, החוק קובע כי אישה הרה תלויה באישור הוועדה להפסקת היריון כדי להפסיק את ההיריון ואישור זה מותנה בהתקיימן של מספר עילות מצומצמות: טעמים רפואיים, גילה הצעיר או המבוגר של האישה, העובדה שההיריון נובע מיחסים אסורים בחוק או שהוא מחוץ לנישואין. משמעות הדבר היא שלנשים אין יכולת לקבל החלטה עצמאית ביחס להפסקתו של היריון בלתי רצוי. יתרה מזו, מצבים שכיחים רבים של היריון בלתי רצוי בשל נסיבות חברתיות, משפחתיות או כלכליות קשות אינם מהווים כלל עילה למתן אישור של הוועדה. </w:t>
      </w:r>
    </w:p>
    <w:p w14:paraId="04E489D8" w14:textId="77777777" w:rsidR="00B40D75" w:rsidRPr="0082670B" w:rsidRDefault="00B40D75" w:rsidP="0082670B">
      <w:pPr>
        <w:pStyle w:val="Hesber"/>
        <w:rPr>
          <w:rtl/>
        </w:rPr>
      </w:pPr>
      <w:r w:rsidRPr="0082670B">
        <w:rPr>
          <w:rtl/>
        </w:rPr>
        <w:t>הצעת החוק נועדה לתקן מצב זה ולהתאים את החוק הנוהג בעניין הפסקות היריון בישראל הן למצב הנוהג ברוב מדינות המפותחות, והן לשינויים חוקתיים שהתרחשו בישראל מאז נחקק ההסדר הקיים ובראשם חקיקת חוק-יסוד: כבוד האדם וחירותו, והתבססותה של מגילת זכויות היסוד של הפרט. התפיסה המקובלת ברוב המדינות המפותחות כיום היא כי זכותה של אישה להפסקת היריון היא זכות חוקתית הנגזרת מהזכות לחירות וקשורה קשר בל ינתק לזכות לשוויון ולכבוד האדם.</w:t>
      </w:r>
    </w:p>
    <w:p w14:paraId="4E88DFC9" w14:textId="77777777" w:rsidR="00B40D75" w:rsidRPr="0082670B" w:rsidRDefault="00B40D75" w:rsidP="0082670B">
      <w:pPr>
        <w:pStyle w:val="Hesber"/>
        <w:rPr>
          <w:rtl/>
        </w:rPr>
      </w:pPr>
      <w:r w:rsidRPr="0082670B">
        <w:rPr>
          <w:rtl/>
        </w:rPr>
        <w:t xml:space="preserve">מרבית המדינות המפותחות מאפשרות כיום ביצוע הפסקת היריון בחודשיו הראשונים לפי רצונה של האישה. לצד הגנה על חירותן וכבודן של נשים וקידום השוויון המגדרי, יש בכך גם הגנה ישירה על בריאותן של נשים, שכן קיים קשר סטטיסטי ישיר בין מדיניות המאפשרת הפסקת היריון לבין צמצום מספר הפסקות ההיריון המסוכנות, המבוצעת שלא על ידי רופא מוסמך או על ידי האישה עצמה. </w:t>
      </w:r>
    </w:p>
    <w:p w14:paraId="73FE0453" w14:textId="77777777" w:rsidR="00B40D75" w:rsidRPr="0082670B" w:rsidRDefault="00B40D75" w:rsidP="0082670B">
      <w:pPr>
        <w:pStyle w:val="Hesber"/>
        <w:rPr>
          <w:rtl/>
        </w:rPr>
      </w:pPr>
      <w:r w:rsidRPr="0082670B">
        <w:rPr>
          <w:rtl/>
        </w:rPr>
        <w:t>לצד הכרה ברצון האישה, מכיר ההסדר המוצע גם בפוטנציאל החיות של העובר ובסיכון ההולך וגובר לאשה מההליך, ככל שגיל ההיריון מתקדם יותר. בשל כך, הצעת החוק מחלקת את ההיריון לשלוש תקופות וקובעת הסדרים מיוחדים בהתאם לאופי הייחודי של כל תקופה.</w:t>
      </w:r>
    </w:p>
    <w:p w14:paraId="72F8C9FA" w14:textId="77777777" w:rsidR="00B40D75" w:rsidRPr="0082670B" w:rsidRDefault="00B40D75" w:rsidP="0082670B">
      <w:pPr>
        <w:pStyle w:val="Hesber"/>
        <w:rPr>
          <w:rtl/>
        </w:rPr>
      </w:pPr>
      <w:r w:rsidRPr="0082670B">
        <w:rPr>
          <w:rtl/>
        </w:rPr>
        <w:t>יצוין, כי לאור חשיבות תזמון ביצוע הפסקת ההיריון ובדומה לחוקים במדינות רבות אחרות, הצעת החוק אינה מתייחסת למנגנון ערר וכך מבקשת להותיר את המצב הקיים על כנו, מתוך הבנה כי במקרים חריגים ובמידת הצורך שמורה לפונה הזכות לפנות לבג"ץ בעתירה לסעד דחוף.</w:t>
      </w:r>
    </w:p>
    <w:p w14:paraId="4D697654" w14:textId="77777777" w:rsidR="00B40D75" w:rsidRPr="0082670B" w:rsidRDefault="00B40D75" w:rsidP="0082670B">
      <w:pPr>
        <w:pStyle w:val="Hesber"/>
        <w:rPr>
          <w:rtl/>
        </w:rPr>
      </w:pPr>
      <w:r w:rsidRPr="0082670B">
        <w:rPr>
          <w:rtl/>
        </w:rPr>
        <w:t xml:space="preserve">בסעיף 4 להצעת החוק, מוצע להקים מנגנון תמיכה וייעוץ לפני הפסקת ההיריון ולאחריה בכל מוסד מוכר לטובת פונה שרוצה בכך בלבד. מנגנון זה נועד לאפשר לפונה להפסקת היריון מקום בטוח, לא שיפוטי ומכבד להתלבט בנוגע להפסקת ההיריון, לקבל מידע מקיף על ההשלכות והאפשרויות הנוספות </w:t>
      </w:r>
      <w:r w:rsidRPr="0082670B">
        <w:rPr>
          <w:rtl/>
        </w:rPr>
        <w:lastRenderedPageBreak/>
        <w:t>להליך, לקבל מידע על אמצעי מניעה, להסתייע בתמיכה רגשית ראשונית לפני ההליך ולאחריו, ולקבל הכוונה לגבי מנגנוני תמיכה רגשית מוסדרים בקהילה.</w:t>
      </w:r>
    </w:p>
    <w:p w14:paraId="61ED4DC1" w14:textId="77777777" w:rsidR="00B40D75" w:rsidRPr="0082670B" w:rsidRDefault="00B40D75" w:rsidP="0082670B">
      <w:pPr>
        <w:pStyle w:val="Hesber"/>
        <w:rPr>
          <w:rtl/>
        </w:rPr>
      </w:pPr>
      <w:r w:rsidRPr="0082670B">
        <w:rPr>
          <w:rtl/>
        </w:rPr>
        <w:t>סעיף 5 מעגן את זכות האישה להחליט על הפסקת היריון בתקופה שעד סוף השבוע ה-13 להיריון ומבטא את הרפורמה החשובה ביותר בהצעת חוק זו. אורכה של התקופה הראשונה מתבסס על מודלים במדינות מפותחות אחרות ותכליתו להבטיח מרחב מקסימלי של בחירה לנשים תוך שמירה על בריאותן. מבחינה רפואית, עד השבוע ה-13 להיריון הפרוצדורה השכיחה להפסקת היריון פשוטה יחסית. עם זאת, הסעיף קובע כי כאשר נשקפת סכנה חמורה וממשית לחיי הפונה או לבריאותה, בשים לב לגיל ההיריון ומצבה הבריאותי של הפונה, יהיה צורך באישור הוועדה להפסקת ההיריון גם בשלב זה. הסדר זה מקרב את המצב המשפטי בישראל להסדרים ברוב המדינות המפותחות, שהגבול העליון באחדות מהן להפסקת היריון לפי רצון האישה הוא עד לשלב החיות של העובר, המוגדר בדרך כלל כשבוע 24 להיריון.</w:t>
      </w:r>
    </w:p>
    <w:p w14:paraId="67CCCBC3" w14:textId="6477DD1C" w:rsidR="00B40D75" w:rsidRPr="0082670B" w:rsidRDefault="00B40D75" w:rsidP="0082670B">
      <w:pPr>
        <w:pStyle w:val="Hesber"/>
        <w:rPr>
          <w:rtl/>
        </w:rPr>
      </w:pPr>
      <w:r w:rsidRPr="0082670B">
        <w:rPr>
          <w:rtl/>
        </w:rPr>
        <w:t xml:space="preserve">סעיף 6 בתקופה השנייה להיריון, החל מהשבוע ה-14 ועד לתחילת תקופת החיות של העובר, בשבוע ה-24, הפרוצדורה הרפואית הנדרשת להפסקת היריון מורכבת יותר, דורשת מיומנות רפואית רבה יותר ונושאת בחובה סיכון משמעותי יותר לבריאותה של האישה. בשל כך, משתנה נקודת האיזון בין חירותה של האישה, כבודה וזכותה לאוטונומיה על גופה לבין האינטרס הציבורי להגנה על בריאותה. בשל כך נדרש בשלב זה אישור של הוועדה לביצוע הפסקת ההיריון, שהרכבה נותר כשהיה בהסדר הקיים. </w:t>
      </w:r>
    </w:p>
    <w:p w14:paraId="36B1F233" w14:textId="656A572F" w:rsidR="00B40D75" w:rsidRPr="0082670B" w:rsidRDefault="00B40D75" w:rsidP="0082670B">
      <w:pPr>
        <w:pStyle w:val="Hesber"/>
        <w:rPr>
          <w:rtl/>
        </w:rPr>
      </w:pPr>
      <w:r w:rsidRPr="0082670B">
        <w:rPr>
          <w:rtl/>
        </w:rPr>
        <w:t xml:space="preserve">סעיף 8 בהתאם למקובל במדינות מערביות רבות ולנוכח המהפכה החוקתית, שהתרחשה בישראל מאז נחקק ההסדר הקיים, נערכה התאמה של העילות בגינן תהיה מוסמכת הוועדה לאשר הפסקת היריון בתקופה השנייה והתווספה להן בין היתר עילה הנוגעת למצבה המשפחתי והחברתי-כלכלי של האישה. עילה זו מוכרת ברובן המכריע של המדינות המערביות כעילה חוקית להפסקת היריון מזה מספר עשורים שכן ידוע שהיא העילה המרכזית בגינה מבקשות נשים להפסיק את הריונן. </w:t>
      </w:r>
    </w:p>
    <w:p w14:paraId="63A559C1" w14:textId="77777777" w:rsidR="00B40D75" w:rsidRPr="0082670B" w:rsidRDefault="00B40D75" w:rsidP="0082670B">
      <w:pPr>
        <w:pStyle w:val="Hesber"/>
        <w:rPr>
          <w:rtl/>
        </w:rPr>
      </w:pPr>
      <w:r w:rsidRPr="0082670B">
        <w:rPr>
          <w:rtl/>
        </w:rPr>
        <w:t>סעיף 9 מעגן בחוק את ההסדר המתקיים היום מכוחו של חוזר מנכ"ל 23/07 בנוגע להפסקות היריון בתקופה השלישית. כך נותנת הצעת החוק מענה לדילמות חוקתיות שמעוררת העובדה שההליך להפסקת היריון בתקופה השלישית מעוגן כיום בחוזר מנכ"ל משרד הבריאות ולא בחוק. לאחר שבוע 24 נחשב העובר מבחינה רפואית כבעל פוטנציאל חיות עצמאי, דבר המשפיע גם על מורכבות הפרוצדורה הרפואית הנדרשת לביצוע הפסקת היריון והשלכותיה. משכך, נקבע כי יש מקום לקבוע מגבלה המאפשרת לוועדה מיוחדת להתיר ביצוע הפסקת היריון רק בנסיבות מיוחדות הקשורות לגילה של הפונה, מצבה הפיזי והנפשי, מצבו הבריאותי של העובר ואופי היחסים מהם נבע ההיריון. ככלל, מספר הפסקות ההיריון המבוצעות בישראל, או במדינות המפותחות, בשלב זה קטן מאוד ונובע רובו ככולו מטעמים רפואיים. עם זאת, ישנם מצבים קיצוניים של מצוקה חריפה, הדורשים הותרת שיקול דעת בידי הוועדה גם לגבי שיקולים מיוחדים אחרים כפי שמקובל גם במדינות אחרות.</w:t>
      </w:r>
    </w:p>
    <w:p w14:paraId="582393F7" w14:textId="15AA5D15" w:rsidR="00B40D75" w:rsidRDefault="00B40D75" w:rsidP="0082670B">
      <w:pPr>
        <w:pStyle w:val="Hesber"/>
        <w:rPr>
          <w:rtl/>
        </w:rPr>
      </w:pPr>
      <w:r w:rsidRPr="0082670B">
        <w:rPr>
          <w:rtl/>
        </w:rPr>
        <w:t>הצעות חוק זהות הונחו על שולחן הכנסת העשרים על ידי חברת הכנסת זהבה גלאון וקבוצת חברי הכנסת (פ/2065/20; פ/3880/20)</w:t>
      </w:r>
      <w:r w:rsidRPr="0082670B">
        <w:rPr>
          <w:rFonts w:hint="cs"/>
          <w:rtl/>
        </w:rPr>
        <w:t xml:space="preserve"> ועל ידי חבר</w:t>
      </w:r>
      <w:r w:rsidR="00C541FB" w:rsidRPr="0082670B">
        <w:rPr>
          <w:rFonts w:hint="cs"/>
          <w:rtl/>
        </w:rPr>
        <w:t>ו</w:t>
      </w:r>
      <w:r w:rsidRPr="0082670B">
        <w:rPr>
          <w:rFonts w:hint="cs"/>
          <w:rtl/>
        </w:rPr>
        <w:t xml:space="preserve">ת הכנסת מרב מיכאלי </w:t>
      </w:r>
      <w:r w:rsidR="00C541FB" w:rsidRPr="0082670B">
        <w:rPr>
          <w:rFonts w:hint="cs"/>
          <w:rtl/>
        </w:rPr>
        <w:t xml:space="preserve"> ויוליה מלינובסקי </w:t>
      </w:r>
      <w:r w:rsidRPr="0082670B">
        <w:rPr>
          <w:rFonts w:hint="cs"/>
          <w:rtl/>
        </w:rPr>
        <w:t>(</w:t>
      </w:r>
      <w:r w:rsidRPr="0082670B">
        <w:rPr>
          <w:rtl/>
        </w:rPr>
        <w:t>פ/4980/20</w:t>
      </w:r>
      <w:r w:rsidRPr="0082670B">
        <w:rPr>
          <w:rFonts w:hint="cs"/>
          <w:rtl/>
        </w:rPr>
        <w:t>).</w:t>
      </w:r>
    </w:p>
    <w:p w14:paraId="61E21D72" w14:textId="77777777" w:rsidR="00754029" w:rsidRPr="00D73212" w:rsidRDefault="00754029" w:rsidP="00754029">
      <w:pPr>
        <w:pStyle w:val="Hesber"/>
        <w:ind w:firstLine="0"/>
        <w:rPr>
          <w:color w:val="auto"/>
          <w:rtl/>
          <w:lang w:eastAsia="en-US"/>
        </w:rPr>
      </w:pPr>
      <w:r w:rsidRPr="00D73212">
        <w:rPr>
          <w:color w:val="auto"/>
          <w:rtl/>
          <w:lang w:eastAsia="en-US"/>
        </w:rPr>
        <w:t>---------------------------------</w:t>
      </w:r>
    </w:p>
    <w:p w14:paraId="3A90788E" w14:textId="77777777" w:rsidR="00754029" w:rsidRPr="00D73212" w:rsidRDefault="00754029" w:rsidP="00754029">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36DA6C4" w14:textId="77777777" w:rsidR="00754029" w:rsidRPr="00D73212" w:rsidRDefault="00754029" w:rsidP="00754029">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0A39C79" w14:textId="77777777" w:rsidR="00754029" w:rsidRPr="005E6543" w:rsidRDefault="00754029" w:rsidP="00754029">
      <w:pPr>
        <w:pStyle w:val="Hesber"/>
        <w:ind w:firstLine="0"/>
        <w:rPr>
          <w:rtl/>
        </w:rPr>
      </w:pPr>
      <w:r>
        <w:rPr>
          <w:rFonts w:hint="cs"/>
          <w:color w:val="auto"/>
          <w:rtl/>
          <w:lang w:eastAsia="en-US"/>
        </w:rPr>
        <w:t xml:space="preserve">י"א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9.12</w:t>
      </w:r>
      <w:r w:rsidRPr="00D73212">
        <w:rPr>
          <w:color w:val="auto"/>
          <w:rtl/>
          <w:lang w:eastAsia="en-US"/>
        </w:rPr>
        <w:t>.</w:t>
      </w:r>
      <w:r>
        <w:rPr>
          <w:rFonts w:hint="cs"/>
          <w:color w:val="auto"/>
          <w:rtl/>
          <w:lang w:eastAsia="en-US"/>
        </w:rPr>
        <w:t>19</w:t>
      </w:r>
    </w:p>
    <w:p w14:paraId="4944C2E2" w14:textId="77777777" w:rsidR="00754029" w:rsidRPr="0082670B" w:rsidRDefault="00754029" w:rsidP="0082670B">
      <w:pPr>
        <w:pStyle w:val="Hesber"/>
        <w:rPr>
          <w:rtl/>
        </w:rPr>
      </w:pPr>
      <w:bookmarkStart w:id="8" w:name="_GoBack"/>
      <w:bookmarkEnd w:id="8"/>
    </w:p>
    <w:p w14:paraId="7F6961CB" w14:textId="77777777" w:rsidR="00E13C27" w:rsidRDefault="00E13C27" w:rsidP="00C541FB">
      <w:pPr>
        <w:pStyle w:val="Hesber"/>
        <w:ind w:firstLine="0"/>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545D4D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54029">
      <w:rPr>
        <w:rStyle w:val="ab"/>
        <w:noProof/>
        <w:rtl/>
      </w:rPr>
      <w:t>6</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DCEDA9B" w14:textId="77777777" w:rsidR="00B40D75" w:rsidRDefault="00B40D75" w:rsidP="00B40D75">
      <w:pPr>
        <w:pStyle w:val="a4"/>
      </w:pPr>
    </w:p>
  </w:footnote>
  <w:footnote w:id="3">
    <w:p w14:paraId="33A556A2" w14:textId="77777777" w:rsidR="00B40D75" w:rsidRDefault="00B40D75" w:rsidP="00B40D75">
      <w:pPr>
        <w:pStyle w:val="a4"/>
      </w:pPr>
      <w:r>
        <w:rPr>
          <w:rStyle w:val="a6"/>
        </w:rPr>
        <w:footnoteRef/>
      </w:r>
      <w:r>
        <w:rPr>
          <w:rtl/>
        </w:rPr>
        <w:t xml:space="preserve"> ס"ח התשל"ז, עמ' 226.</w:t>
      </w:r>
    </w:p>
  </w:footnote>
  <w:footnote w:id="4">
    <w:p w14:paraId="68F95519" w14:textId="77777777" w:rsidR="00B40D75" w:rsidRDefault="00B40D75" w:rsidP="00B40D75">
      <w:pPr>
        <w:pStyle w:val="a4"/>
      </w:pPr>
      <w:r>
        <w:rPr>
          <w:rStyle w:val="a6"/>
        </w:rPr>
        <w:footnoteRef/>
      </w:r>
      <w:r>
        <w:rPr>
          <w:rtl/>
        </w:rPr>
        <w:t xml:space="preserve"> ס"ח התשנ"ד, עמ' 156.</w:t>
      </w:r>
    </w:p>
  </w:footnote>
  <w:footnote w:id="5">
    <w:p w14:paraId="40428E87" w14:textId="77777777" w:rsidR="00B40D75" w:rsidRDefault="00B40D75" w:rsidP="00B40D75">
      <w:pPr>
        <w:pStyle w:val="a4"/>
      </w:pPr>
      <w:r>
        <w:rPr>
          <w:rStyle w:val="a6"/>
        </w:rPr>
        <w:footnoteRef/>
      </w:r>
      <w:r>
        <w:rPr>
          <w:rtl/>
        </w:rPr>
        <w:t xml:space="preserve"> ס"ח התשנ"ו, עמ'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A5EF5"/>
    <w:rsid w:val="004B24ED"/>
    <w:rsid w:val="004B6625"/>
    <w:rsid w:val="004D2D82"/>
    <w:rsid w:val="004D3876"/>
    <w:rsid w:val="004E4552"/>
    <w:rsid w:val="004E6CDF"/>
    <w:rsid w:val="00553C9D"/>
    <w:rsid w:val="00562A66"/>
    <w:rsid w:val="005B064E"/>
    <w:rsid w:val="005D51AE"/>
    <w:rsid w:val="00624852"/>
    <w:rsid w:val="0062674B"/>
    <w:rsid w:val="006363B2"/>
    <w:rsid w:val="00644940"/>
    <w:rsid w:val="006818A9"/>
    <w:rsid w:val="006A2D81"/>
    <w:rsid w:val="006C1D0D"/>
    <w:rsid w:val="0070601E"/>
    <w:rsid w:val="00712C72"/>
    <w:rsid w:val="00735FE9"/>
    <w:rsid w:val="00754029"/>
    <w:rsid w:val="00763CAA"/>
    <w:rsid w:val="00765F66"/>
    <w:rsid w:val="0078664F"/>
    <w:rsid w:val="007A27CE"/>
    <w:rsid w:val="007C3FA6"/>
    <w:rsid w:val="007D585A"/>
    <w:rsid w:val="007D5A12"/>
    <w:rsid w:val="007E59F9"/>
    <w:rsid w:val="00810BCD"/>
    <w:rsid w:val="00812C98"/>
    <w:rsid w:val="00814D92"/>
    <w:rsid w:val="0082670B"/>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40D75"/>
    <w:rsid w:val="00B733A7"/>
    <w:rsid w:val="00B75C91"/>
    <w:rsid w:val="00B975AD"/>
    <w:rsid w:val="00BC45FB"/>
    <w:rsid w:val="00BF148D"/>
    <w:rsid w:val="00C23B1A"/>
    <w:rsid w:val="00C310EB"/>
    <w:rsid w:val="00C541F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0FA5887-D677-43C5-A4A8-481F2E1C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B40D7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7541">
      <w:bodyDiv w:val="1"/>
      <w:marLeft w:val="0"/>
      <w:marRight w:val="0"/>
      <w:marTop w:val="0"/>
      <w:marBottom w:val="0"/>
      <w:divBdr>
        <w:top w:val="none" w:sz="0" w:space="0" w:color="auto"/>
        <w:left w:val="none" w:sz="0" w:space="0" w:color="auto"/>
        <w:bottom w:val="none" w:sz="0" w:space="0" w:color="auto"/>
        <w:right w:val="none" w:sz="0" w:space="0" w:color="auto"/>
      </w:divBdr>
    </w:div>
    <w:div w:id="787510461">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2AC6DEE-A252-462F-AF0E-3BD7A2B0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1C26751-E39A-47F4-A140-4ADE3CFA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1686</Words>
  <Characters>9613</Characters>
  <Application>Microsoft Office Word</Application>
  <DocSecurity>0</DocSecurity>
  <Lines>80</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9</cp:revision>
  <cp:lastPrinted>2019-12-04T11:33:00Z</cp:lastPrinted>
  <dcterms:created xsi:type="dcterms:W3CDTF">2015-04-20T09:58:00Z</dcterms:created>
  <dcterms:modified xsi:type="dcterms:W3CDTF">2019-12-04T11:33:00Z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2082672</vt:r8>
  </property>
</Properties>
</file>