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2082469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עאידה תומא סלימאן</w:t>
      </w:r>
      <w:r>
        <w:br/>
      </w:r>
      <w:r>
        <w:rPr>
          <w:rFonts w:hint="cs"/>
          <w:b/>
          <w:bCs/>
          <w:rtl/>
        </w:rPr>
        <w:t xml:space="preserve"> </w:t>
      </w:r>
      <w:r>
        <w:tab/>
      </w:r>
      <w:r>
        <w:tab/>
      </w:r>
      <w:r>
        <w:tab/>
      </w:r>
      <w:r>
        <w:tab/>
      </w:r>
      <w:r>
        <w:rPr>
          <w:rFonts w:hint="cs"/>
          <w:b/>
          <w:bCs/>
          <w:rtl/>
        </w:rPr>
        <w:t>ג'אבר עסאקלה</w:t>
      </w:r>
      <w:r>
        <w:br/>
      </w:r>
      <w:r>
        <w:rPr>
          <w:rFonts w:hint="cs"/>
          <w:b/>
          <w:bCs/>
          <w:rtl/>
        </w:rPr>
        <w:t xml:space="preserve"> </w:t>
      </w:r>
      <w:r>
        <w:tab/>
      </w:r>
      <w:r>
        <w:tab/>
      </w:r>
      <w:r>
        <w:tab/>
      </w:r>
      <w:r>
        <w:tab/>
      </w:r>
      <w:r>
        <w:rPr>
          <w:rFonts w:hint="cs"/>
          <w:b/>
          <w:bCs/>
          <w:rtl/>
        </w:rPr>
        <w:t>עופר כסיף</w:t>
      </w:r>
      <w:r>
        <w:br/>
      </w:r>
      <w:r>
        <w:rPr>
          <w:rFonts w:hint="cs"/>
          <w:b/>
          <w:bCs/>
          <w:rtl/>
        </w:rPr>
        <w:t xml:space="preserve"> </w:t>
      </w:r>
      <w:r>
        <w:tab/>
      </w:r>
      <w:r>
        <w:tab/>
      </w:r>
      <w:r>
        <w:tab/>
      </w:r>
      <w:r>
        <w:tab/>
      </w:r>
      <w:r>
        <w:rPr>
          <w:rFonts w:hint="cs"/>
          <w:b/>
          <w:bCs/>
          <w:rtl/>
        </w:rPr>
        <w:t>איימן עודה</w:t>
      </w:r>
      <w:r>
        <w:br/>
      </w:r>
      <w:r>
        <w:rPr>
          <w:rFonts w:hint="cs"/>
          <w:b/>
          <w:bCs/>
          <w:rtl/>
        </w:rPr>
        <w:t xml:space="preserve"> </w:t>
      </w:r>
      <w:r>
        <w:tab/>
      </w:r>
      <w:r>
        <w:tab/>
      </w:r>
      <w:r>
        <w:tab/>
      </w:r>
      <w:r>
        <w:tab/>
      </w:r>
      <w:r>
        <w:rPr>
          <w:rFonts w:hint="cs"/>
          <w:b/>
          <w:bCs/>
          <w:rtl/>
        </w:rPr>
        <w:t>יוסף ג'בארין</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52B61451" w:rsidR="00E13C27" w:rsidRDefault="00904591" w:rsidP="00594AAD">
      <w:pPr>
        <w:pStyle w:val="David"/>
        <w:spacing w:before="0" w:line="240" w:lineRule="auto"/>
        <w:ind w:left="3544"/>
        <w:rPr>
          <w:rtl/>
        </w:rPr>
      </w:pPr>
      <w:r>
        <w:t xml:space="preserve">                                            </w:t>
      </w:r>
      <w:r w:rsidR="008F1308">
        <w:t xml:space="preserve"> </w:t>
      </w:r>
      <w:bookmarkStart w:id="6" w:name="Private_Number"/>
      <w:r>
        <w:rPr>
          <w:rFonts w:hint="cs"/>
          <w:rtl/>
        </w:rPr>
        <w:t>פ/1353/22</w:t>
      </w:r>
      <w:bookmarkEnd w:id="6"/>
    </w:p>
    <w:p w14:paraId="7F6961AD" w14:textId="34D1C2F9" w:rsidR="00E13C27" w:rsidRPr="00F67051" w:rsidRDefault="00A443CF" w:rsidP="0021633A">
      <w:pPr>
        <w:pStyle w:val="HeadHatzaotHok"/>
        <w:rPr>
          <w:rtl/>
        </w:rPr>
      </w:pPr>
      <w:bookmarkStart w:id="7" w:name="LGS_Subject"/>
      <w:r>
        <w:rPr>
          <w:rFonts w:hint="cs"/>
          <w:rtl/>
        </w:rPr>
        <w:t>הצעת חוק שירותי בריאות נפש ממלכתיים, התש"ף–2019</w:t>
      </w:r>
      <w:bookmarkEnd w:id="7"/>
    </w:p>
    <w:tbl>
      <w:tblPr>
        <w:bidiVisual/>
        <w:tblW w:w="9637" w:type="dxa"/>
        <w:tblInd w:w="-8" w:type="dxa"/>
        <w:tblLayout w:type="fixed"/>
        <w:tblCellMar>
          <w:top w:w="57" w:type="dxa"/>
          <w:left w:w="0" w:type="dxa"/>
          <w:bottom w:w="57" w:type="dxa"/>
          <w:right w:w="0" w:type="dxa"/>
        </w:tblCellMar>
        <w:tblLook w:val="0000" w:firstRow="0" w:lastRow="0" w:firstColumn="0" w:lastColumn="0" w:noHBand="0" w:noVBand="0"/>
      </w:tblPr>
      <w:tblGrid>
        <w:gridCol w:w="1870"/>
        <w:gridCol w:w="624"/>
        <w:gridCol w:w="624"/>
        <w:gridCol w:w="6519"/>
      </w:tblGrid>
      <w:tr w:rsidR="00D5759E" w14:paraId="01E69DA7" w14:textId="77777777" w:rsidTr="00CC7A10">
        <w:trPr>
          <w:cantSplit/>
        </w:trPr>
        <w:tc>
          <w:tcPr>
            <w:tcW w:w="1870" w:type="dxa"/>
            <w:tcBorders>
              <w:top w:val="nil"/>
              <w:left w:val="nil"/>
              <w:bottom w:val="nil"/>
              <w:right w:val="nil"/>
            </w:tcBorders>
          </w:tcPr>
          <w:p w14:paraId="614AB9C8" w14:textId="77777777" w:rsidR="00D5759E" w:rsidRDefault="00D5759E" w:rsidP="00C05066">
            <w:pPr>
              <w:pStyle w:val="TableSideHeading"/>
            </w:pPr>
            <w:r>
              <w:rPr>
                <w:sz w:val="26"/>
                <w:rtl/>
              </w:rPr>
              <w:t>מטרה</w:t>
            </w:r>
          </w:p>
        </w:tc>
        <w:tc>
          <w:tcPr>
            <w:tcW w:w="624" w:type="dxa"/>
            <w:tcBorders>
              <w:top w:val="nil"/>
              <w:left w:val="nil"/>
              <w:bottom w:val="nil"/>
              <w:right w:val="nil"/>
            </w:tcBorders>
          </w:tcPr>
          <w:p w14:paraId="0AC60567" w14:textId="77777777" w:rsidR="00D5759E" w:rsidRDefault="00D5759E" w:rsidP="00C05066">
            <w:pPr>
              <w:pStyle w:val="TableText"/>
            </w:pPr>
            <w:r>
              <w:rPr>
                <w:sz w:val="26"/>
                <w:rtl/>
              </w:rPr>
              <w:t>1.</w:t>
            </w:r>
          </w:p>
        </w:tc>
        <w:tc>
          <w:tcPr>
            <w:tcW w:w="7143" w:type="dxa"/>
            <w:gridSpan w:val="2"/>
            <w:tcBorders>
              <w:top w:val="nil"/>
              <w:left w:val="nil"/>
              <w:bottom w:val="nil"/>
              <w:right w:val="nil"/>
            </w:tcBorders>
          </w:tcPr>
          <w:p w14:paraId="69C9E86D" w14:textId="77777777" w:rsidR="00D5759E" w:rsidRDefault="00D5759E" w:rsidP="00C05066">
            <w:pPr>
              <w:pStyle w:val="TableBlock"/>
            </w:pPr>
            <w:r>
              <w:rPr>
                <w:sz w:val="26"/>
                <w:rtl/>
              </w:rPr>
              <w:t>מטרתו של חוק זה להבטיח את הזכות לעזרה, אבחון וטיפול נפשי-מקצועי לכל תושב מדינת ישראל החש מצוקה נפשית, תוך הבטחת שמירה מרבית על כבוד האדם וחירותו, על פרטיותו ועל בריאותו.</w:t>
            </w:r>
          </w:p>
        </w:tc>
      </w:tr>
      <w:tr w:rsidR="00D5759E" w14:paraId="45690BAF" w14:textId="77777777" w:rsidTr="00CC7A10">
        <w:trPr>
          <w:cantSplit/>
        </w:trPr>
        <w:tc>
          <w:tcPr>
            <w:tcW w:w="1870" w:type="dxa"/>
            <w:tcBorders>
              <w:top w:val="nil"/>
              <w:left w:val="nil"/>
              <w:bottom w:val="nil"/>
              <w:right w:val="nil"/>
            </w:tcBorders>
          </w:tcPr>
          <w:p w14:paraId="073AD368" w14:textId="77777777" w:rsidR="00D5759E" w:rsidRDefault="00D5759E" w:rsidP="00C05066">
            <w:pPr>
              <w:pStyle w:val="TableSideHeading"/>
            </w:pPr>
            <w:r>
              <w:rPr>
                <w:sz w:val="26"/>
                <w:rtl/>
              </w:rPr>
              <w:t>הגדרות</w:t>
            </w:r>
          </w:p>
        </w:tc>
        <w:tc>
          <w:tcPr>
            <w:tcW w:w="624" w:type="dxa"/>
            <w:tcBorders>
              <w:top w:val="nil"/>
              <w:left w:val="nil"/>
              <w:bottom w:val="nil"/>
              <w:right w:val="nil"/>
            </w:tcBorders>
          </w:tcPr>
          <w:p w14:paraId="76CCF80D" w14:textId="77777777" w:rsidR="00D5759E" w:rsidRDefault="00D5759E" w:rsidP="00C05066">
            <w:pPr>
              <w:pStyle w:val="TableText"/>
            </w:pPr>
            <w:r>
              <w:rPr>
                <w:sz w:val="26"/>
                <w:rtl/>
              </w:rPr>
              <w:t>2.</w:t>
            </w:r>
          </w:p>
        </w:tc>
        <w:tc>
          <w:tcPr>
            <w:tcW w:w="7143" w:type="dxa"/>
            <w:gridSpan w:val="2"/>
            <w:tcBorders>
              <w:top w:val="nil"/>
              <w:left w:val="nil"/>
              <w:bottom w:val="nil"/>
              <w:right w:val="nil"/>
            </w:tcBorders>
          </w:tcPr>
          <w:p w14:paraId="3054EF32" w14:textId="77777777" w:rsidR="00D5759E" w:rsidRDefault="00D5759E" w:rsidP="00C05066">
            <w:pPr>
              <w:pStyle w:val="TableBlock"/>
            </w:pPr>
            <w:r>
              <w:rPr>
                <w:sz w:val="26"/>
                <w:rtl/>
              </w:rPr>
              <w:t>בחוק זה –</w:t>
            </w:r>
          </w:p>
        </w:tc>
      </w:tr>
      <w:tr w:rsidR="00D5759E" w14:paraId="417E2946" w14:textId="77777777" w:rsidTr="00CC7A10">
        <w:trPr>
          <w:cantSplit/>
        </w:trPr>
        <w:tc>
          <w:tcPr>
            <w:tcW w:w="1870" w:type="dxa"/>
            <w:tcBorders>
              <w:top w:val="nil"/>
              <w:left w:val="nil"/>
              <w:bottom w:val="nil"/>
              <w:right w:val="nil"/>
            </w:tcBorders>
          </w:tcPr>
          <w:p w14:paraId="69F20D17" w14:textId="77777777" w:rsidR="00D5759E" w:rsidRDefault="00D5759E" w:rsidP="00C05066">
            <w:pPr>
              <w:pStyle w:val="TableSideHeading"/>
              <w:rPr>
                <w:sz w:val="26"/>
                <w:rtl/>
              </w:rPr>
            </w:pPr>
          </w:p>
        </w:tc>
        <w:tc>
          <w:tcPr>
            <w:tcW w:w="624" w:type="dxa"/>
            <w:tcBorders>
              <w:top w:val="nil"/>
              <w:left w:val="nil"/>
              <w:bottom w:val="nil"/>
              <w:right w:val="nil"/>
            </w:tcBorders>
          </w:tcPr>
          <w:p w14:paraId="05ED275E" w14:textId="77777777" w:rsidR="00D5759E" w:rsidRDefault="00D5759E" w:rsidP="00C05066">
            <w:pPr>
              <w:pStyle w:val="TableText"/>
              <w:rPr>
                <w:sz w:val="26"/>
                <w:rtl/>
              </w:rPr>
            </w:pPr>
          </w:p>
        </w:tc>
        <w:tc>
          <w:tcPr>
            <w:tcW w:w="7143" w:type="dxa"/>
            <w:gridSpan w:val="2"/>
            <w:tcBorders>
              <w:top w:val="nil"/>
              <w:left w:val="nil"/>
              <w:bottom w:val="nil"/>
              <w:right w:val="nil"/>
            </w:tcBorders>
          </w:tcPr>
          <w:p w14:paraId="760BE5DC" w14:textId="6B3F0D62" w:rsidR="00D5759E" w:rsidRDefault="00D5759E" w:rsidP="00C05066">
            <w:pPr>
              <w:pStyle w:val="TableBlockOutdent"/>
              <w:rPr>
                <w:sz w:val="26"/>
                <w:rtl/>
              </w:rPr>
            </w:pPr>
            <w:r>
              <w:rPr>
                <w:sz w:val="26"/>
                <w:rtl/>
              </w:rPr>
              <w:t>"בדיקת מיון (</w:t>
            </w:r>
            <w:r>
              <w:t>intake</w:t>
            </w:r>
            <w:r>
              <w:rPr>
                <w:sz w:val="26"/>
                <w:rtl/>
              </w:rPr>
              <w:t>)" – פגישה או רצף פגישות, בין הפונה לבין מטפל מקצועי עיקרי למטרת היכרות ואיסוף מידע לשם קבלת תמונה כוללת בדבר סיבת</w:t>
            </w:r>
            <w:r w:rsidR="00C25B3B">
              <w:rPr>
                <w:sz w:val="26"/>
                <w:rtl/>
              </w:rPr>
              <w:t xml:space="preserve"> הפניה, האבחנה המתאימה למקרה, ו</w:t>
            </w:r>
            <w:r>
              <w:rPr>
                <w:sz w:val="26"/>
                <w:rtl/>
              </w:rPr>
              <w:t>הערכה שתאפשר התאמה של סוג הטיפול; במידת הצורך תכלול בדיקת המיון פגישה עם בני משפחה נוספים או גורמי טיפול אחרים לרבות גורמי חינוך, רווחה או תעסוקה רלוונטיים להשלמת תהליך המיון וההתאמה;</w:t>
            </w:r>
          </w:p>
        </w:tc>
      </w:tr>
      <w:tr w:rsidR="00D5759E" w14:paraId="1F6DC0C4" w14:textId="77777777" w:rsidTr="00CC7A10">
        <w:trPr>
          <w:cantSplit/>
        </w:trPr>
        <w:tc>
          <w:tcPr>
            <w:tcW w:w="1870" w:type="dxa"/>
            <w:tcBorders>
              <w:top w:val="nil"/>
              <w:left w:val="nil"/>
              <w:bottom w:val="nil"/>
              <w:right w:val="nil"/>
            </w:tcBorders>
          </w:tcPr>
          <w:p w14:paraId="2002421E" w14:textId="77777777" w:rsidR="00D5759E" w:rsidRDefault="00D5759E" w:rsidP="00C05066">
            <w:pPr>
              <w:pStyle w:val="TableSideHeading"/>
            </w:pPr>
          </w:p>
        </w:tc>
        <w:tc>
          <w:tcPr>
            <w:tcW w:w="624" w:type="dxa"/>
            <w:tcBorders>
              <w:top w:val="nil"/>
              <w:left w:val="nil"/>
              <w:bottom w:val="nil"/>
              <w:right w:val="nil"/>
            </w:tcBorders>
          </w:tcPr>
          <w:p w14:paraId="11AF2AA7" w14:textId="77777777" w:rsidR="00D5759E" w:rsidRDefault="00D5759E" w:rsidP="00C05066">
            <w:pPr>
              <w:pStyle w:val="TableText"/>
            </w:pPr>
          </w:p>
        </w:tc>
        <w:tc>
          <w:tcPr>
            <w:tcW w:w="7143" w:type="dxa"/>
            <w:gridSpan w:val="2"/>
            <w:tcBorders>
              <w:top w:val="nil"/>
              <w:left w:val="nil"/>
              <w:bottom w:val="nil"/>
              <w:right w:val="nil"/>
            </w:tcBorders>
          </w:tcPr>
          <w:p w14:paraId="08041386" w14:textId="77777777" w:rsidR="00D5759E" w:rsidRDefault="00D5759E" w:rsidP="00C05066">
            <w:pPr>
              <w:pStyle w:val="TableBlockOutdent"/>
            </w:pPr>
            <w:r>
              <w:rPr>
                <w:sz w:val="26"/>
                <w:rtl/>
              </w:rPr>
              <w:t xml:space="preserve">"מצוקה נפשית" – מצוקה של אדם, בתחום הרגשי, התפקודי או ההתנהגותי, </w:t>
            </w:r>
            <w:r>
              <w:rPr>
                <w:rFonts w:hint="cs"/>
                <w:sz w:val="26"/>
                <w:rtl/>
              </w:rPr>
              <w:t>שבשלה</w:t>
            </w:r>
            <w:r>
              <w:rPr>
                <w:sz w:val="26"/>
                <w:rtl/>
              </w:rPr>
              <w:t xml:space="preserve"> הוא חש צורך בפניה לעזרה נפשית;</w:t>
            </w:r>
          </w:p>
        </w:tc>
      </w:tr>
      <w:tr w:rsidR="00D5759E" w14:paraId="38FF1A12" w14:textId="77777777" w:rsidTr="00CC7A10">
        <w:trPr>
          <w:cantSplit/>
        </w:trPr>
        <w:tc>
          <w:tcPr>
            <w:tcW w:w="1870" w:type="dxa"/>
            <w:tcBorders>
              <w:top w:val="nil"/>
              <w:left w:val="nil"/>
              <w:bottom w:val="nil"/>
              <w:right w:val="nil"/>
            </w:tcBorders>
          </w:tcPr>
          <w:p w14:paraId="5088E4D0" w14:textId="77777777" w:rsidR="00D5759E" w:rsidRDefault="00D5759E" w:rsidP="00C05066">
            <w:pPr>
              <w:pStyle w:val="TableSideHeading"/>
            </w:pPr>
          </w:p>
        </w:tc>
        <w:tc>
          <w:tcPr>
            <w:tcW w:w="624" w:type="dxa"/>
            <w:tcBorders>
              <w:top w:val="nil"/>
              <w:left w:val="nil"/>
              <w:bottom w:val="nil"/>
              <w:right w:val="nil"/>
            </w:tcBorders>
          </w:tcPr>
          <w:p w14:paraId="2EBECF96" w14:textId="77777777" w:rsidR="00D5759E" w:rsidRDefault="00D5759E" w:rsidP="00C05066">
            <w:pPr>
              <w:pStyle w:val="TableText"/>
            </w:pPr>
          </w:p>
        </w:tc>
        <w:tc>
          <w:tcPr>
            <w:tcW w:w="7143" w:type="dxa"/>
            <w:gridSpan w:val="2"/>
            <w:tcBorders>
              <w:top w:val="nil"/>
              <w:left w:val="nil"/>
              <w:bottom w:val="nil"/>
              <w:right w:val="nil"/>
            </w:tcBorders>
          </w:tcPr>
          <w:p w14:paraId="692E8708" w14:textId="77777777" w:rsidR="00D5759E" w:rsidRDefault="00D5759E" w:rsidP="00C05066">
            <w:pPr>
              <w:pStyle w:val="TableBlockOutdent"/>
              <w:rPr>
                <w:sz w:val="26"/>
                <w:rtl/>
              </w:rPr>
            </w:pPr>
            <w:r>
              <w:rPr>
                <w:sz w:val="26"/>
                <w:rtl/>
              </w:rPr>
              <w:t>"מצוקה" – לרבות אחד מאלה:</w:t>
            </w:r>
          </w:p>
        </w:tc>
      </w:tr>
      <w:tr w:rsidR="00D5759E" w14:paraId="5E294EED" w14:textId="77777777" w:rsidTr="00CC7A10">
        <w:trPr>
          <w:cantSplit/>
        </w:trPr>
        <w:tc>
          <w:tcPr>
            <w:tcW w:w="1870" w:type="dxa"/>
            <w:tcBorders>
              <w:top w:val="nil"/>
              <w:left w:val="nil"/>
              <w:bottom w:val="nil"/>
              <w:right w:val="nil"/>
            </w:tcBorders>
          </w:tcPr>
          <w:p w14:paraId="2D97E80D" w14:textId="77777777" w:rsidR="00D5759E" w:rsidRDefault="00D5759E" w:rsidP="00C05066">
            <w:pPr>
              <w:pStyle w:val="TableSideHeading"/>
            </w:pPr>
          </w:p>
        </w:tc>
        <w:tc>
          <w:tcPr>
            <w:tcW w:w="624" w:type="dxa"/>
            <w:tcBorders>
              <w:top w:val="nil"/>
              <w:left w:val="nil"/>
              <w:bottom w:val="nil"/>
              <w:right w:val="nil"/>
            </w:tcBorders>
          </w:tcPr>
          <w:p w14:paraId="37AE0773" w14:textId="77777777" w:rsidR="00D5759E" w:rsidRDefault="00D5759E" w:rsidP="00C05066">
            <w:pPr>
              <w:pStyle w:val="TableText"/>
            </w:pPr>
          </w:p>
        </w:tc>
        <w:tc>
          <w:tcPr>
            <w:tcW w:w="624" w:type="dxa"/>
            <w:tcBorders>
              <w:top w:val="nil"/>
              <w:left w:val="nil"/>
              <w:bottom w:val="nil"/>
              <w:right w:val="nil"/>
            </w:tcBorders>
          </w:tcPr>
          <w:p w14:paraId="2A60A09E" w14:textId="77777777" w:rsidR="00D5759E" w:rsidRDefault="00D5759E" w:rsidP="00C05066">
            <w:pPr>
              <w:pStyle w:val="TableText"/>
            </w:pPr>
          </w:p>
        </w:tc>
        <w:tc>
          <w:tcPr>
            <w:tcW w:w="6519" w:type="dxa"/>
            <w:tcBorders>
              <w:top w:val="nil"/>
              <w:left w:val="nil"/>
              <w:bottom w:val="nil"/>
              <w:right w:val="nil"/>
            </w:tcBorders>
          </w:tcPr>
          <w:p w14:paraId="57FE9F12" w14:textId="77777777" w:rsidR="00D5759E" w:rsidRDefault="00D5759E" w:rsidP="00C05066">
            <w:pPr>
              <w:pStyle w:val="TableBlock"/>
            </w:pPr>
            <w:r>
              <w:rPr>
                <w:sz w:val="26"/>
                <w:rtl/>
              </w:rPr>
              <w:t>(1)</w:t>
            </w:r>
            <w:r>
              <w:rPr>
                <w:sz w:val="26"/>
                <w:rtl/>
              </w:rPr>
              <w:tab/>
              <w:t>קשיים ביחסים במשפחה, קשיים ביחסים בין בני זוג לרבות גירושין, או בין הורים וילדים;</w:t>
            </w:r>
          </w:p>
        </w:tc>
      </w:tr>
      <w:tr w:rsidR="00D5759E" w14:paraId="30B48642" w14:textId="77777777" w:rsidTr="00CC7A10">
        <w:trPr>
          <w:cantSplit/>
        </w:trPr>
        <w:tc>
          <w:tcPr>
            <w:tcW w:w="1870" w:type="dxa"/>
            <w:tcBorders>
              <w:top w:val="nil"/>
              <w:left w:val="nil"/>
              <w:bottom w:val="nil"/>
              <w:right w:val="nil"/>
            </w:tcBorders>
          </w:tcPr>
          <w:p w14:paraId="71C5CEAF" w14:textId="77777777" w:rsidR="00D5759E" w:rsidRDefault="00D5759E" w:rsidP="00C05066">
            <w:pPr>
              <w:pStyle w:val="TableSideHeading"/>
            </w:pPr>
          </w:p>
        </w:tc>
        <w:tc>
          <w:tcPr>
            <w:tcW w:w="624" w:type="dxa"/>
            <w:tcBorders>
              <w:top w:val="nil"/>
              <w:left w:val="nil"/>
              <w:bottom w:val="nil"/>
              <w:right w:val="nil"/>
            </w:tcBorders>
          </w:tcPr>
          <w:p w14:paraId="4C9701B1" w14:textId="77777777" w:rsidR="00D5759E" w:rsidRDefault="00D5759E" w:rsidP="00C05066">
            <w:pPr>
              <w:pStyle w:val="TableText"/>
            </w:pPr>
          </w:p>
        </w:tc>
        <w:tc>
          <w:tcPr>
            <w:tcW w:w="624" w:type="dxa"/>
            <w:tcBorders>
              <w:top w:val="nil"/>
              <w:left w:val="nil"/>
              <w:bottom w:val="nil"/>
              <w:right w:val="nil"/>
            </w:tcBorders>
          </w:tcPr>
          <w:p w14:paraId="5828AF5A" w14:textId="77777777" w:rsidR="00D5759E" w:rsidRDefault="00D5759E" w:rsidP="00C05066">
            <w:pPr>
              <w:pStyle w:val="TableText"/>
            </w:pPr>
          </w:p>
        </w:tc>
        <w:tc>
          <w:tcPr>
            <w:tcW w:w="6519" w:type="dxa"/>
            <w:tcBorders>
              <w:top w:val="nil"/>
              <w:left w:val="nil"/>
              <w:bottom w:val="nil"/>
              <w:right w:val="nil"/>
            </w:tcBorders>
          </w:tcPr>
          <w:p w14:paraId="2BDBF78C" w14:textId="77777777" w:rsidR="00D5759E" w:rsidRDefault="00D5759E" w:rsidP="00C05066">
            <w:pPr>
              <w:pStyle w:val="TableBlock"/>
              <w:rPr>
                <w:sz w:val="26"/>
                <w:rtl/>
              </w:rPr>
            </w:pPr>
            <w:r>
              <w:rPr>
                <w:sz w:val="26"/>
                <w:rtl/>
              </w:rPr>
              <w:t>(2)</w:t>
            </w:r>
            <w:r>
              <w:rPr>
                <w:sz w:val="26"/>
                <w:rtl/>
              </w:rPr>
              <w:tab/>
              <w:t>התמודדות עם ילדים בעלי צרכים מיוחדים;</w:t>
            </w:r>
          </w:p>
        </w:tc>
      </w:tr>
      <w:tr w:rsidR="00D5759E" w14:paraId="0A618383" w14:textId="77777777" w:rsidTr="00CC7A10">
        <w:trPr>
          <w:cantSplit/>
        </w:trPr>
        <w:tc>
          <w:tcPr>
            <w:tcW w:w="1870" w:type="dxa"/>
            <w:tcBorders>
              <w:top w:val="nil"/>
              <w:left w:val="nil"/>
              <w:bottom w:val="nil"/>
              <w:right w:val="nil"/>
            </w:tcBorders>
          </w:tcPr>
          <w:p w14:paraId="188F67FF" w14:textId="77777777" w:rsidR="00D5759E" w:rsidRDefault="00D5759E" w:rsidP="00C05066">
            <w:pPr>
              <w:pStyle w:val="TableSideHeading"/>
            </w:pPr>
          </w:p>
        </w:tc>
        <w:tc>
          <w:tcPr>
            <w:tcW w:w="624" w:type="dxa"/>
            <w:tcBorders>
              <w:top w:val="nil"/>
              <w:left w:val="nil"/>
              <w:bottom w:val="nil"/>
              <w:right w:val="nil"/>
            </w:tcBorders>
          </w:tcPr>
          <w:p w14:paraId="50956931" w14:textId="77777777" w:rsidR="00D5759E" w:rsidRDefault="00D5759E" w:rsidP="00C05066">
            <w:pPr>
              <w:pStyle w:val="TableText"/>
            </w:pPr>
          </w:p>
        </w:tc>
        <w:tc>
          <w:tcPr>
            <w:tcW w:w="624" w:type="dxa"/>
            <w:tcBorders>
              <w:top w:val="nil"/>
              <w:left w:val="nil"/>
              <w:bottom w:val="nil"/>
              <w:right w:val="nil"/>
            </w:tcBorders>
          </w:tcPr>
          <w:p w14:paraId="0EF1688D" w14:textId="77777777" w:rsidR="00D5759E" w:rsidRDefault="00D5759E" w:rsidP="00C05066">
            <w:pPr>
              <w:pStyle w:val="TableText"/>
            </w:pPr>
          </w:p>
        </w:tc>
        <w:tc>
          <w:tcPr>
            <w:tcW w:w="6519" w:type="dxa"/>
            <w:tcBorders>
              <w:top w:val="nil"/>
              <w:left w:val="nil"/>
              <w:bottom w:val="nil"/>
              <w:right w:val="nil"/>
            </w:tcBorders>
          </w:tcPr>
          <w:p w14:paraId="5E44A457" w14:textId="77777777" w:rsidR="00D5759E" w:rsidRDefault="00D5759E" w:rsidP="00C05066">
            <w:pPr>
              <w:pStyle w:val="TableBlock"/>
            </w:pPr>
            <w:r>
              <w:rPr>
                <w:sz w:val="26"/>
                <w:rtl/>
              </w:rPr>
              <w:t>(3)</w:t>
            </w:r>
            <w:r>
              <w:rPr>
                <w:sz w:val="26"/>
                <w:rtl/>
              </w:rPr>
              <w:tab/>
              <w:t>קשיים ביצירת קשר בינאישי, בדידות;</w:t>
            </w:r>
          </w:p>
        </w:tc>
      </w:tr>
      <w:tr w:rsidR="00D5759E" w14:paraId="371B557B" w14:textId="77777777" w:rsidTr="00CC7A10">
        <w:trPr>
          <w:cantSplit/>
        </w:trPr>
        <w:tc>
          <w:tcPr>
            <w:tcW w:w="1870" w:type="dxa"/>
            <w:tcBorders>
              <w:top w:val="nil"/>
              <w:left w:val="nil"/>
              <w:bottom w:val="nil"/>
              <w:right w:val="nil"/>
            </w:tcBorders>
          </w:tcPr>
          <w:p w14:paraId="59FEED43" w14:textId="77777777" w:rsidR="00D5759E" w:rsidRDefault="00D5759E" w:rsidP="00C05066">
            <w:pPr>
              <w:pStyle w:val="TableSideHeading"/>
            </w:pPr>
          </w:p>
        </w:tc>
        <w:tc>
          <w:tcPr>
            <w:tcW w:w="624" w:type="dxa"/>
            <w:tcBorders>
              <w:top w:val="nil"/>
              <w:left w:val="nil"/>
              <w:bottom w:val="nil"/>
              <w:right w:val="nil"/>
            </w:tcBorders>
          </w:tcPr>
          <w:p w14:paraId="23E117C8" w14:textId="77777777" w:rsidR="00D5759E" w:rsidRDefault="00D5759E" w:rsidP="00C05066">
            <w:pPr>
              <w:pStyle w:val="TableText"/>
            </w:pPr>
          </w:p>
        </w:tc>
        <w:tc>
          <w:tcPr>
            <w:tcW w:w="624" w:type="dxa"/>
            <w:tcBorders>
              <w:top w:val="nil"/>
              <w:left w:val="nil"/>
              <w:bottom w:val="nil"/>
              <w:right w:val="nil"/>
            </w:tcBorders>
          </w:tcPr>
          <w:p w14:paraId="0D5A117A" w14:textId="77777777" w:rsidR="00D5759E" w:rsidRDefault="00D5759E" w:rsidP="00C05066">
            <w:pPr>
              <w:pStyle w:val="TableText"/>
            </w:pPr>
          </w:p>
        </w:tc>
        <w:tc>
          <w:tcPr>
            <w:tcW w:w="6519" w:type="dxa"/>
            <w:tcBorders>
              <w:top w:val="nil"/>
              <w:left w:val="nil"/>
              <w:bottom w:val="nil"/>
              <w:right w:val="nil"/>
            </w:tcBorders>
          </w:tcPr>
          <w:p w14:paraId="535D232D" w14:textId="77777777" w:rsidR="00D5759E" w:rsidRDefault="00D5759E" w:rsidP="00C05066">
            <w:pPr>
              <w:pStyle w:val="TableBlock"/>
            </w:pPr>
            <w:r>
              <w:rPr>
                <w:sz w:val="26"/>
                <w:rtl/>
              </w:rPr>
              <w:t>(4)</w:t>
            </w:r>
            <w:r>
              <w:rPr>
                <w:sz w:val="26"/>
                <w:rtl/>
              </w:rPr>
              <w:tab/>
              <w:t>קשיי השתלבות בעבודה, פיטורים ממקום העבודה;</w:t>
            </w:r>
          </w:p>
        </w:tc>
      </w:tr>
      <w:tr w:rsidR="00D5759E" w14:paraId="33F97896" w14:textId="77777777" w:rsidTr="00CC7A10">
        <w:trPr>
          <w:cantSplit/>
        </w:trPr>
        <w:tc>
          <w:tcPr>
            <w:tcW w:w="1870" w:type="dxa"/>
            <w:tcBorders>
              <w:top w:val="nil"/>
              <w:left w:val="nil"/>
              <w:bottom w:val="nil"/>
              <w:right w:val="nil"/>
            </w:tcBorders>
          </w:tcPr>
          <w:p w14:paraId="2EAB2B3F" w14:textId="77777777" w:rsidR="00D5759E" w:rsidRDefault="00D5759E" w:rsidP="00C05066">
            <w:pPr>
              <w:pStyle w:val="TableSideHeading"/>
            </w:pPr>
          </w:p>
        </w:tc>
        <w:tc>
          <w:tcPr>
            <w:tcW w:w="624" w:type="dxa"/>
            <w:tcBorders>
              <w:top w:val="nil"/>
              <w:left w:val="nil"/>
              <w:bottom w:val="nil"/>
              <w:right w:val="nil"/>
            </w:tcBorders>
          </w:tcPr>
          <w:p w14:paraId="77A6E860" w14:textId="77777777" w:rsidR="00D5759E" w:rsidRDefault="00D5759E" w:rsidP="00C05066">
            <w:pPr>
              <w:pStyle w:val="TableText"/>
            </w:pPr>
          </w:p>
        </w:tc>
        <w:tc>
          <w:tcPr>
            <w:tcW w:w="624" w:type="dxa"/>
            <w:tcBorders>
              <w:top w:val="nil"/>
              <w:left w:val="nil"/>
              <w:bottom w:val="nil"/>
              <w:right w:val="nil"/>
            </w:tcBorders>
          </w:tcPr>
          <w:p w14:paraId="592D9892" w14:textId="77777777" w:rsidR="00D5759E" w:rsidRDefault="00D5759E" w:rsidP="00C05066">
            <w:pPr>
              <w:pStyle w:val="TableText"/>
            </w:pPr>
          </w:p>
        </w:tc>
        <w:tc>
          <w:tcPr>
            <w:tcW w:w="6519" w:type="dxa"/>
            <w:tcBorders>
              <w:top w:val="nil"/>
              <w:left w:val="nil"/>
              <w:bottom w:val="nil"/>
              <w:right w:val="nil"/>
            </w:tcBorders>
          </w:tcPr>
          <w:p w14:paraId="4542EFE2" w14:textId="77777777" w:rsidR="00D5759E" w:rsidRDefault="00D5759E" w:rsidP="00C05066">
            <w:pPr>
              <w:pStyle w:val="TableBlock"/>
            </w:pPr>
            <w:r>
              <w:rPr>
                <w:sz w:val="26"/>
                <w:rtl/>
              </w:rPr>
              <w:t>(5)</w:t>
            </w:r>
            <w:r>
              <w:rPr>
                <w:sz w:val="26"/>
                <w:rtl/>
              </w:rPr>
              <w:tab/>
              <w:t xml:space="preserve"> מצבי משבר דוגמת מחלה קשה לפונה או בן משפחתו, אבדן, קשיי עליה, קשיים על רקע שונות לאומית דתית וחברתית;</w:t>
            </w:r>
          </w:p>
        </w:tc>
      </w:tr>
      <w:tr w:rsidR="00D5759E" w14:paraId="145A8A31" w14:textId="77777777" w:rsidTr="00CC7A10">
        <w:trPr>
          <w:cantSplit/>
        </w:trPr>
        <w:tc>
          <w:tcPr>
            <w:tcW w:w="1870" w:type="dxa"/>
            <w:tcBorders>
              <w:top w:val="nil"/>
              <w:left w:val="nil"/>
              <w:bottom w:val="nil"/>
              <w:right w:val="nil"/>
            </w:tcBorders>
          </w:tcPr>
          <w:p w14:paraId="0493D0E9" w14:textId="77777777" w:rsidR="00D5759E" w:rsidRDefault="00D5759E" w:rsidP="00C05066">
            <w:pPr>
              <w:pStyle w:val="TableSideHeading"/>
            </w:pPr>
          </w:p>
        </w:tc>
        <w:tc>
          <w:tcPr>
            <w:tcW w:w="624" w:type="dxa"/>
            <w:tcBorders>
              <w:top w:val="nil"/>
              <w:left w:val="nil"/>
              <w:bottom w:val="nil"/>
              <w:right w:val="nil"/>
            </w:tcBorders>
          </w:tcPr>
          <w:p w14:paraId="35C239E3" w14:textId="77777777" w:rsidR="00D5759E" w:rsidRDefault="00D5759E" w:rsidP="00C05066">
            <w:pPr>
              <w:pStyle w:val="TableText"/>
            </w:pPr>
          </w:p>
        </w:tc>
        <w:tc>
          <w:tcPr>
            <w:tcW w:w="624" w:type="dxa"/>
            <w:tcBorders>
              <w:top w:val="nil"/>
              <w:left w:val="nil"/>
              <w:bottom w:val="nil"/>
              <w:right w:val="nil"/>
            </w:tcBorders>
          </w:tcPr>
          <w:p w14:paraId="773378A0" w14:textId="77777777" w:rsidR="00D5759E" w:rsidRDefault="00D5759E" w:rsidP="00C05066">
            <w:pPr>
              <w:pStyle w:val="TableText"/>
            </w:pPr>
          </w:p>
        </w:tc>
        <w:tc>
          <w:tcPr>
            <w:tcW w:w="6519" w:type="dxa"/>
            <w:tcBorders>
              <w:top w:val="nil"/>
              <w:left w:val="nil"/>
              <w:bottom w:val="nil"/>
              <w:right w:val="nil"/>
            </w:tcBorders>
          </w:tcPr>
          <w:p w14:paraId="0CA7970D" w14:textId="77777777" w:rsidR="00D5759E" w:rsidRDefault="00D5759E" w:rsidP="00C05066">
            <w:pPr>
              <w:pStyle w:val="TableBlock"/>
            </w:pPr>
            <w:r>
              <w:rPr>
                <w:sz w:val="26"/>
                <w:rtl/>
              </w:rPr>
              <w:t>(6)</w:t>
            </w:r>
            <w:r>
              <w:rPr>
                <w:sz w:val="26"/>
                <w:rtl/>
              </w:rPr>
              <w:tab/>
              <w:t>אירוע טראומטי דוגמת פיגוע, אלימות מינית, אלימות במשפחה או מחוצה לה;</w:t>
            </w:r>
          </w:p>
        </w:tc>
      </w:tr>
      <w:tr w:rsidR="00D5759E" w14:paraId="4DE6CBE2" w14:textId="77777777" w:rsidTr="00CC7A10">
        <w:trPr>
          <w:cantSplit/>
        </w:trPr>
        <w:tc>
          <w:tcPr>
            <w:tcW w:w="1870" w:type="dxa"/>
            <w:tcBorders>
              <w:top w:val="nil"/>
              <w:left w:val="nil"/>
              <w:bottom w:val="nil"/>
              <w:right w:val="nil"/>
            </w:tcBorders>
          </w:tcPr>
          <w:p w14:paraId="707443AD" w14:textId="77777777" w:rsidR="00D5759E" w:rsidRDefault="00D5759E" w:rsidP="00C05066">
            <w:pPr>
              <w:pStyle w:val="TableSideHeading"/>
            </w:pPr>
          </w:p>
        </w:tc>
        <w:tc>
          <w:tcPr>
            <w:tcW w:w="624" w:type="dxa"/>
            <w:tcBorders>
              <w:top w:val="nil"/>
              <w:left w:val="nil"/>
              <w:bottom w:val="nil"/>
              <w:right w:val="nil"/>
            </w:tcBorders>
          </w:tcPr>
          <w:p w14:paraId="375547CC" w14:textId="77777777" w:rsidR="00D5759E" w:rsidRDefault="00D5759E" w:rsidP="00C05066">
            <w:pPr>
              <w:pStyle w:val="TableText"/>
            </w:pPr>
          </w:p>
        </w:tc>
        <w:tc>
          <w:tcPr>
            <w:tcW w:w="624" w:type="dxa"/>
            <w:tcBorders>
              <w:top w:val="nil"/>
              <w:left w:val="nil"/>
              <w:bottom w:val="nil"/>
              <w:right w:val="nil"/>
            </w:tcBorders>
          </w:tcPr>
          <w:p w14:paraId="5DB03200" w14:textId="77777777" w:rsidR="00D5759E" w:rsidRDefault="00D5759E" w:rsidP="00C05066">
            <w:pPr>
              <w:pStyle w:val="TableText"/>
            </w:pPr>
          </w:p>
        </w:tc>
        <w:tc>
          <w:tcPr>
            <w:tcW w:w="6519" w:type="dxa"/>
            <w:tcBorders>
              <w:top w:val="nil"/>
              <w:left w:val="nil"/>
              <w:bottom w:val="nil"/>
              <w:right w:val="nil"/>
            </w:tcBorders>
          </w:tcPr>
          <w:p w14:paraId="4B7B227C" w14:textId="77777777" w:rsidR="00D5759E" w:rsidRDefault="00D5759E" w:rsidP="00C05066">
            <w:pPr>
              <w:pStyle w:val="TableBlock"/>
            </w:pPr>
            <w:r>
              <w:rPr>
                <w:sz w:val="26"/>
                <w:rtl/>
              </w:rPr>
              <w:t>(7)</w:t>
            </w:r>
            <w:r>
              <w:rPr>
                <w:sz w:val="26"/>
                <w:rtl/>
              </w:rPr>
              <w:tab/>
              <w:t>הפרעות אישיות, הפרעות אורגניות, הפרעות אכילה;</w:t>
            </w:r>
          </w:p>
        </w:tc>
      </w:tr>
      <w:tr w:rsidR="00D5759E" w14:paraId="74CF1769" w14:textId="77777777" w:rsidTr="00CC7A10">
        <w:trPr>
          <w:cantSplit/>
        </w:trPr>
        <w:tc>
          <w:tcPr>
            <w:tcW w:w="1870" w:type="dxa"/>
            <w:tcBorders>
              <w:top w:val="nil"/>
              <w:left w:val="nil"/>
              <w:bottom w:val="nil"/>
              <w:right w:val="nil"/>
            </w:tcBorders>
          </w:tcPr>
          <w:p w14:paraId="2A2878F7" w14:textId="77777777" w:rsidR="00D5759E" w:rsidRDefault="00D5759E" w:rsidP="00C05066">
            <w:pPr>
              <w:pStyle w:val="TableSideHeading"/>
            </w:pPr>
          </w:p>
        </w:tc>
        <w:tc>
          <w:tcPr>
            <w:tcW w:w="624" w:type="dxa"/>
            <w:tcBorders>
              <w:top w:val="nil"/>
              <w:left w:val="nil"/>
              <w:bottom w:val="nil"/>
              <w:right w:val="nil"/>
            </w:tcBorders>
          </w:tcPr>
          <w:p w14:paraId="6DB569BA" w14:textId="77777777" w:rsidR="00D5759E" w:rsidRDefault="00D5759E" w:rsidP="00C05066">
            <w:pPr>
              <w:pStyle w:val="TableText"/>
            </w:pPr>
          </w:p>
        </w:tc>
        <w:tc>
          <w:tcPr>
            <w:tcW w:w="624" w:type="dxa"/>
            <w:tcBorders>
              <w:top w:val="nil"/>
              <w:left w:val="nil"/>
              <w:bottom w:val="nil"/>
              <w:right w:val="nil"/>
            </w:tcBorders>
          </w:tcPr>
          <w:p w14:paraId="63A60824" w14:textId="77777777" w:rsidR="00D5759E" w:rsidRDefault="00D5759E" w:rsidP="00C05066">
            <w:pPr>
              <w:pStyle w:val="TableText"/>
            </w:pPr>
          </w:p>
        </w:tc>
        <w:tc>
          <w:tcPr>
            <w:tcW w:w="6519" w:type="dxa"/>
            <w:tcBorders>
              <w:top w:val="nil"/>
              <w:left w:val="nil"/>
              <w:bottom w:val="nil"/>
              <w:right w:val="nil"/>
            </w:tcBorders>
          </w:tcPr>
          <w:p w14:paraId="73934BC7" w14:textId="77777777" w:rsidR="00D5759E" w:rsidRDefault="00D5759E" w:rsidP="00C05066">
            <w:pPr>
              <w:pStyle w:val="TableBlock"/>
            </w:pPr>
            <w:r>
              <w:rPr>
                <w:sz w:val="26"/>
                <w:rtl/>
              </w:rPr>
              <w:t>(8)</w:t>
            </w:r>
            <w:r>
              <w:rPr>
                <w:sz w:val="26"/>
                <w:rtl/>
              </w:rPr>
              <w:tab/>
              <w:t>התמודדות עם שאלת זהות מינית;</w:t>
            </w:r>
          </w:p>
        </w:tc>
      </w:tr>
      <w:tr w:rsidR="00D5759E" w14:paraId="1D5CCFDF" w14:textId="77777777" w:rsidTr="00CC7A10">
        <w:trPr>
          <w:cantSplit/>
        </w:trPr>
        <w:tc>
          <w:tcPr>
            <w:tcW w:w="1870" w:type="dxa"/>
            <w:tcBorders>
              <w:top w:val="nil"/>
              <w:left w:val="nil"/>
              <w:bottom w:val="nil"/>
              <w:right w:val="nil"/>
            </w:tcBorders>
          </w:tcPr>
          <w:p w14:paraId="47C21CBE" w14:textId="77777777" w:rsidR="00D5759E" w:rsidRDefault="00D5759E" w:rsidP="00C05066">
            <w:pPr>
              <w:pStyle w:val="TableSideHeading"/>
            </w:pPr>
          </w:p>
        </w:tc>
        <w:tc>
          <w:tcPr>
            <w:tcW w:w="624" w:type="dxa"/>
            <w:tcBorders>
              <w:top w:val="nil"/>
              <w:left w:val="nil"/>
              <w:bottom w:val="nil"/>
              <w:right w:val="nil"/>
            </w:tcBorders>
          </w:tcPr>
          <w:p w14:paraId="7CD579C4" w14:textId="77777777" w:rsidR="00D5759E" w:rsidRDefault="00D5759E" w:rsidP="00C05066">
            <w:pPr>
              <w:pStyle w:val="TableText"/>
            </w:pPr>
          </w:p>
        </w:tc>
        <w:tc>
          <w:tcPr>
            <w:tcW w:w="624" w:type="dxa"/>
            <w:tcBorders>
              <w:top w:val="nil"/>
              <w:left w:val="nil"/>
              <w:bottom w:val="nil"/>
              <w:right w:val="nil"/>
            </w:tcBorders>
          </w:tcPr>
          <w:p w14:paraId="24AD3EC1" w14:textId="77777777" w:rsidR="00D5759E" w:rsidRDefault="00D5759E" w:rsidP="00C05066">
            <w:pPr>
              <w:pStyle w:val="TableText"/>
            </w:pPr>
          </w:p>
        </w:tc>
        <w:tc>
          <w:tcPr>
            <w:tcW w:w="6519" w:type="dxa"/>
            <w:tcBorders>
              <w:top w:val="nil"/>
              <w:left w:val="nil"/>
              <w:bottom w:val="nil"/>
              <w:right w:val="nil"/>
            </w:tcBorders>
          </w:tcPr>
          <w:p w14:paraId="254D30FB" w14:textId="77777777" w:rsidR="00D5759E" w:rsidRDefault="00D5759E" w:rsidP="00C05066">
            <w:pPr>
              <w:pStyle w:val="TableBlock"/>
              <w:rPr>
                <w:sz w:val="26"/>
                <w:rtl/>
              </w:rPr>
            </w:pPr>
            <w:r>
              <w:rPr>
                <w:sz w:val="26"/>
                <w:rtl/>
              </w:rPr>
              <w:t>(9)</w:t>
            </w:r>
            <w:r>
              <w:rPr>
                <w:sz w:val="26"/>
                <w:rtl/>
              </w:rPr>
              <w:tab/>
              <w:t>התמודדות עם תפקוד מיני;</w:t>
            </w:r>
          </w:p>
        </w:tc>
      </w:tr>
      <w:tr w:rsidR="00D5759E" w14:paraId="6EAB7B77" w14:textId="77777777" w:rsidTr="00CC7A10">
        <w:trPr>
          <w:cantSplit/>
        </w:trPr>
        <w:tc>
          <w:tcPr>
            <w:tcW w:w="1870" w:type="dxa"/>
            <w:tcBorders>
              <w:top w:val="nil"/>
              <w:left w:val="nil"/>
              <w:bottom w:val="nil"/>
              <w:right w:val="nil"/>
            </w:tcBorders>
          </w:tcPr>
          <w:p w14:paraId="0C9F6AD1" w14:textId="77777777" w:rsidR="00D5759E" w:rsidRDefault="00D5759E" w:rsidP="00C05066">
            <w:pPr>
              <w:pStyle w:val="TableSideHeading"/>
            </w:pPr>
          </w:p>
        </w:tc>
        <w:tc>
          <w:tcPr>
            <w:tcW w:w="624" w:type="dxa"/>
            <w:tcBorders>
              <w:top w:val="nil"/>
              <w:left w:val="nil"/>
              <w:bottom w:val="nil"/>
              <w:right w:val="nil"/>
            </w:tcBorders>
          </w:tcPr>
          <w:p w14:paraId="5AD18E5E" w14:textId="77777777" w:rsidR="00D5759E" w:rsidRDefault="00D5759E" w:rsidP="00C05066">
            <w:pPr>
              <w:pStyle w:val="TableText"/>
            </w:pPr>
          </w:p>
        </w:tc>
        <w:tc>
          <w:tcPr>
            <w:tcW w:w="624" w:type="dxa"/>
            <w:tcBorders>
              <w:top w:val="nil"/>
              <w:left w:val="nil"/>
              <w:bottom w:val="nil"/>
              <w:right w:val="nil"/>
            </w:tcBorders>
          </w:tcPr>
          <w:p w14:paraId="344FA010" w14:textId="77777777" w:rsidR="00D5759E" w:rsidRDefault="00D5759E" w:rsidP="00C05066">
            <w:pPr>
              <w:pStyle w:val="TableText"/>
            </w:pPr>
          </w:p>
        </w:tc>
        <w:tc>
          <w:tcPr>
            <w:tcW w:w="6519" w:type="dxa"/>
            <w:tcBorders>
              <w:top w:val="nil"/>
              <w:left w:val="nil"/>
              <w:bottom w:val="nil"/>
              <w:right w:val="nil"/>
            </w:tcBorders>
          </w:tcPr>
          <w:p w14:paraId="6DBC5F93" w14:textId="77777777" w:rsidR="00D5759E" w:rsidRDefault="00D5759E" w:rsidP="00C05066">
            <w:pPr>
              <w:pStyle w:val="TableBlock"/>
            </w:pPr>
            <w:r>
              <w:rPr>
                <w:sz w:val="26"/>
                <w:rtl/>
              </w:rPr>
              <w:t>(10)</w:t>
            </w:r>
            <w:r>
              <w:rPr>
                <w:sz w:val="26"/>
                <w:rtl/>
              </w:rPr>
              <w:tab/>
              <w:t>הפרעות חרדה;</w:t>
            </w:r>
          </w:p>
        </w:tc>
      </w:tr>
      <w:tr w:rsidR="00D5759E" w14:paraId="458B76F9" w14:textId="77777777" w:rsidTr="00CC7A10">
        <w:trPr>
          <w:cantSplit/>
        </w:trPr>
        <w:tc>
          <w:tcPr>
            <w:tcW w:w="1870" w:type="dxa"/>
            <w:tcBorders>
              <w:top w:val="nil"/>
              <w:left w:val="nil"/>
              <w:bottom w:val="nil"/>
              <w:right w:val="nil"/>
            </w:tcBorders>
          </w:tcPr>
          <w:p w14:paraId="43AC882E" w14:textId="77777777" w:rsidR="00D5759E" w:rsidRDefault="00D5759E" w:rsidP="00C05066">
            <w:pPr>
              <w:pStyle w:val="TableSideHeading"/>
            </w:pPr>
          </w:p>
        </w:tc>
        <w:tc>
          <w:tcPr>
            <w:tcW w:w="624" w:type="dxa"/>
            <w:tcBorders>
              <w:top w:val="nil"/>
              <w:left w:val="nil"/>
              <w:bottom w:val="nil"/>
              <w:right w:val="nil"/>
            </w:tcBorders>
          </w:tcPr>
          <w:p w14:paraId="4CF1219B" w14:textId="77777777" w:rsidR="00D5759E" w:rsidRDefault="00D5759E" w:rsidP="00C05066">
            <w:pPr>
              <w:pStyle w:val="TableText"/>
            </w:pPr>
          </w:p>
        </w:tc>
        <w:tc>
          <w:tcPr>
            <w:tcW w:w="624" w:type="dxa"/>
            <w:tcBorders>
              <w:top w:val="nil"/>
              <w:left w:val="nil"/>
              <w:bottom w:val="nil"/>
              <w:right w:val="nil"/>
            </w:tcBorders>
          </w:tcPr>
          <w:p w14:paraId="59A3096E" w14:textId="77777777" w:rsidR="00D5759E" w:rsidRDefault="00D5759E" w:rsidP="00C05066">
            <w:pPr>
              <w:pStyle w:val="TableText"/>
            </w:pPr>
          </w:p>
        </w:tc>
        <w:tc>
          <w:tcPr>
            <w:tcW w:w="6519" w:type="dxa"/>
            <w:tcBorders>
              <w:top w:val="nil"/>
              <w:left w:val="nil"/>
              <w:bottom w:val="nil"/>
              <w:right w:val="nil"/>
            </w:tcBorders>
          </w:tcPr>
          <w:p w14:paraId="5EAD9DCC" w14:textId="77777777" w:rsidR="00D5759E" w:rsidRDefault="00D5759E" w:rsidP="00C05066">
            <w:pPr>
              <w:pStyle w:val="TableBlock"/>
            </w:pPr>
            <w:r>
              <w:rPr>
                <w:sz w:val="26"/>
                <w:rtl/>
              </w:rPr>
              <w:t>(11)</w:t>
            </w:r>
            <w:r>
              <w:rPr>
                <w:sz w:val="26"/>
                <w:rtl/>
              </w:rPr>
              <w:tab/>
              <w:t xml:space="preserve">הפרעות אפקטיביות </w:t>
            </w:r>
            <w:r>
              <w:rPr>
                <w:rFonts w:hint="cs"/>
                <w:sz w:val="26"/>
                <w:rtl/>
              </w:rPr>
              <w:t>כגון</w:t>
            </w:r>
            <w:r>
              <w:rPr>
                <w:sz w:val="26"/>
                <w:rtl/>
              </w:rPr>
              <w:t xml:space="preserve"> דיכאון;</w:t>
            </w:r>
          </w:p>
        </w:tc>
      </w:tr>
      <w:tr w:rsidR="00D5759E" w14:paraId="7C4CBC71" w14:textId="77777777" w:rsidTr="00CC7A10">
        <w:trPr>
          <w:cantSplit/>
        </w:trPr>
        <w:tc>
          <w:tcPr>
            <w:tcW w:w="1870" w:type="dxa"/>
            <w:tcBorders>
              <w:top w:val="nil"/>
              <w:left w:val="nil"/>
              <w:bottom w:val="nil"/>
              <w:right w:val="nil"/>
            </w:tcBorders>
          </w:tcPr>
          <w:p w14:paraId="125FFC76" w14:textId="77777777" w:rsidR="00D5759E" w:rsidRDefault="00D5759E" w:rsidP="00C05066">
            <w:pPr>
              <w:pStyle w:val="TableSideHeading"/>
            </w:pPr>
          </w:p>
        </w:tc>
        <w:tc>
          <w:tcPr>
            <w:tcW w:w="624" w:type="dxa"/>
            <w:tcBorders>
              <w:top w:val="nil"/>
              <w:left w:val="nil"/>
              <w:bottom w:val="nil"/>
              <w:right w:val="nil"/>
            </w:tcBorders>
          </w:tcPr>
          <w:p w14:paraId="0764F1B8" w14:textId="77777777" w:rsidR="00D5759E" w:rsidRDefault="00D5759E" w:rsidP="00C05066">
            <w:pPr>
              <w:pStyle w:val="TableText"/>
            </w:pPr>
          </w:p>
        </w:tc>
        <w:tc>
          <w:tcPr>
            <w:tcW w:w="624" w:type="dxa"/>
            <w:tcBorders>
              <w:top w:val="nil"/>
              <w:left w:val="nil"/>
              <w:bottom w:val="nil"/>
              <w:right w:val="nil"/>
            </w:tcBorders>
          </w:tcPr>
          <w:p w14:paraId="4699D1D2" w14:textId="77777777" w:rsidR="00D5759E" w:rsidRDefault="00D5759E" w:rsidP="00C05066">
            <w:pPr>
              <w:pStyle w:val="TableText"/>
            </w:pPr>
          </w:p>
        </w:tc>
        <w:tc>
          <w:tcPr>
            <w:tcW w:w="6519" w:type="dxa"/>
            <w:tcBorders>
              <w:top w:val="nil"/>
              <w:left w:val="nil"/>
              <w:bottom w:val="nil"/>
              <w:right w:val="nil"/>
            </w:tcBorders>
          </w:tcPr>
          <w:p w14:paraId="1613450D" w14:textId="77777777" w:rsidR="00D5759E" w:rsidRDefault="00D5759E" w:rsidP="00C05066">
            <w:pPr>
              <w:pStyle w:val="TableBlock"/>
              <w:rPr>
                <w:sz w:val="26"/>
                <w:rtl/>
              </w:rPr>
            </w:pPr>
            <w:r>
              <w:rPr>
                <w:sz w:val="26"/>
                <w:rtl/>
              </w:rPr>
              <w:t>(12)</w:t>
            </w:r>
            <w:r>
              <w:rPr>
                <w:sz w:val="26"/>
                <w:rtl/>
              </w:rPr>
              <w:tab/>
              <w:t>אירועי חיים שאינם על רקע הפרעה פסיכיאטרית;</w:t>
            </w:r>
          </w:p>
        </w:tc>
      </w:tr>
      <w:tr w:rsidR="00D5759E" w14:paraId="0A8B4EC0" w14:textId="77777777" w:rsidTr="00CC7A10">
        <w:trPr>
          <w:cantSplit/>
        </w:trPr>
        <w:tc>
          <w:tcPr>
            <w:tcW w:w="1870" w:type="dxa"/>
            <w:tcBorders>
              <w:top w:val="nil"/>
              <w:left w:val="nil"/>
              <w:bottom w:val="nil"/>
              <w:right w:val="nil"/>
            </w:tcBorders>
          </w:tcPr>
          <w:p w14:paraId="26E62826" w14:textId="77777777" w:rsidR="00D5759E" w:rsidRDefault="00D5759E" w:rsidP="00C05066">
            <w:pPr>
              <w:pStyle w:val="TableSideHeading"/>
            </w:pPr>
          </w:p>
        </w:tc>
        <w:tc>
          <w:tcPr>
            <w:tcW w:w="624" w:type="dxa"/>
            <w:tcBorders>
              <w:top w:val="nil"/>
              <w:left w:val="nil"/>
              <w:bottom w:val="nil"/>
              <w:right w:val="nil"/>
            </w:tcBorders>
          </w:tcPr>
          <w:p w14:paraId="669EFF43" w14:textId="77777777" w:rsidR="00D5759E" w:rsidRDefault="00D5759E" w:rsidP="00C05066">
            <w:pPr>
              <w:pStyle w:val="TableText"/>
            </w:pPr>
          </w:p>
        </w:tc>
        <w:tc>
          <w:tcPr>
            <w:tcW w:w="624" w:type="dxa"/>
            <w:tcBorders>
              <w:top w:val="nil"/>
              <w:left w:val="nil"/>
              <w:bottom w:val="nil"/>
              <w:right w:val="nil"/>
            </w:tcBorders>
          </w:tcPr>
          <w:p w14:paraId="7CB395C9" w14:textId="77777777" w:rsidR="00D5759E" w:rsidRDefault="00D5759E" w:rsidP="00C05066">
            <w:pPr>
              <w:pStyle w:val="TableText"/>
            </w:pPr>
          </w:p>
        </w:tc>
        <w:tc>
          <w:tcPr>
            <w:tcW w:w="6519" w:type="dxa"/>
            <w:tcBorders>
              <w:top w:val="nil"/>
              <w:left w:val="nil"/>
              <w:bottom w:val="nil"/>
              <w:right w:val="nil"/>
            </w:tcBorders>
          </w:tcPr>
          <w:p w14:paraId="1086482B" w14:textId="77777777" w:rsidR="00D5759E" w:rsidRDefault="00D5759E" w:rsidP="00C05066">
            <w:pPr>
              <w:pStyle w:val="TableBlock"/>
            </w:pPr>
            <w:r>
              <w:rPr>
                <w:sz w:val="26"/>
                <w:rtl/>
              </w:rPr>
              <w:t>(13)</w:t>
            </w:r>
            <w:r>
              <w:rPr>
                <w:sz w:val="26"/>
                <w:rtl/>
              </w:rPr>
              <w:tab/>
              <w:t>כל הפרעה</w:t>
            </w:r>
            <w:r>
              <w:rPr>
                <w:rFonts w:hint="cs"/>
                <w:sz w:val="26"/>
                <w:rtl/>
              </w:rPr>
              <w:t>,</w:t>
            </w:r>
            <w:r>
              <w:rPr>
                <w:sz w:val="26"/>
                <w:rtl/>
              </w:rPr>
              <w:t xml:space="preserve"> מצוקה או מחלת נפש אחרת המצריכים טיפול או שהימנעות מטיפול בהם עלולה להוביל להתפתחות של הפרעה נפשית בעתיד;</w:t>
            </w:r>
          </w:p>
        </w:tc>
      </w:tr>
      <w:tr w:rsidR="00D5759E" w14:paraId="6185D160" w14:textId="77777777" w:rsidTr="00CC7A10">
        <w:trPr>
          <w:cantSplit/>
        </w:trPr>
        <w:tc>
          <w:tcPr>
            <w:tcW w:w="1870" w:type="dxa"/>
            <w:tcBorders>
              <w:top w:val="nil"/>
              <w:left w:val="nil"/>
              <w:bottom w:val="nil"/>
              <w:right w:val="nil"/>
            </w:tcBorders>
          </w:tcPr>
          <w:p w14:paraId="1D58C6E9" w14:textId="77777777" w:rsidR="00D5759E" w:rsidRDefault="00D5759E" w:rsidP="00C05066">
            <w:pPr>
              <w:pStyle w:val="TableSideHeading"/>
            </w:pPr>
          </w:p>
        </w:tc>
        <w:tc>
          <w:tcPr>
            <w:tcW w:w="624" w:type="dxa"/>
            <w:tcBorders>
              <w:top w:val="nil"/>
              <w:left w:val="nil"/>
              <w:bottom w:val="nil"/>
              <w:right w:val="nil"/>
            </w:tcBorders>
          </w:tcPr>
          <w:p w14:paraId="71D3A418" w14:textId="77777777" w:rsidR="00D5759E" w:rsidRDefault="00D5759E" w:rsidP="00C05066">
            <w:pPr>
              <w:pStyle w:val="TableText"/>
            </w:pPr>
          </w:p>
        </w:tc>
        <w:tc>
          <w:tcPr>
            <w:tcW w:w="7143" w:type="dxa"/>
            <w:gridSpan w:val="2"/>
            <w:tcBorders>
              <w:top w:val="nil"/>
              <w:left w:val="nil"/>
              <w:bottom w:val="nil"/>
              <w:right w:val="nil"/>
            </w:tcBorders>
          </w:tcPr>
          <w:p w14:paraId="5F4B298C" w14:textId="77777777" w:rsidR="00D5759E" w:rsidRDefault="00D5759E" w:rsidP="00C05066">
            <w:pPr>
              <w:pStyle w:val="TableBlockOutdent"/>
              <w:rPr>
                <w:sz w:val="26"/>
                <w:rtl/>
              </w:rPr>
            </w:pPr>
            <w:r>
              <w:rPr>
                <w:sz w:val="26"/>
                <w:rtl/>
              </w:rPr>
              <w:t>"אבחנה פסיכיאטרית" – בהתאם להגדרות המקובלות בספר האבחנות המקצועיות</w:t>
            </w:r>
            <w:r>
              <w:t xml:space="preserve"> DSM </w:t>
            </w:r>
            <w:r>
              <w:rPr>
                <w:sz w:val="26"/>
                <w:rtl/>
              </w:rPr>
              <w:t xml:space="preserve">או </w:t>
            </w:r>
            <w:r>
              <w:t>ICD</w:t>
            </w:r>
            <w:r>
              <w:rPr>
                <w:sz w:val="26"/>
                <w:rtl/>
              </w:rPr>
              <w:t>;</w:t>
            </w:r>
          </w:p>
        </w:tc>
      </w:tr>
      <w:tr w:rsidR="00D5759E" w14:paraId="12A1C771" w14:textId="77777777" w:rsidTr="00CC7A10">
        <w:trPr>
          <w:cantSplit/>
        </w:trPr>
        <w:tc>
          <w:tcPr>
            <w:tcW w:w="1870" w:type="dxa"/>
            <w:tcBorders>
              <w:top w:val="nil"/>
              <w:left w:val="nil"/>
              <w:bottom w:val="nil"/>
              <w:right w:val="nil"/>
            </w:tcBorders>
          </w:tcPr>
          <w:p w14:paraId="65BE30D5" w14:textId="77777777" w:rsidR="00D5759E" w:rsidRDefault="00D5759E" w:rsidP="00C05066">
            <w:pPr>
              <w:pStyle w:val="TableSideHeading"/>
            </w:pPr>
          </w:p>
        </w:tc>
        <w:tc>
          <w:tcPr>
            <w:tcW w:w="624" w:type="dxa"/>
            <w:tcBorders>
              <w:top w:val="nil"/>
              <w:left w:val="nil"/>
              <w:bottom w:val="nil"/>
              <w:right w:val="nil"/>
            </w:tcBorders>
          </w:tcPr>
          <w:p w14:paraId="4C6436DE" w14:textId="77777777" w:rsidR="00D5759E" w:rsidRDefault="00D5759E" w:rsidP="00C05066">
            <w:pPr>
              <w:pStyle w:val="TableText"/>
            </w:pPr>
          </w:p>
        </w:tc>
        <w:tc>
          <w:tcPr>
            <w:tcW w:w="7143" w:type="dxa"/>
            <w:gridSpan w:val="2"/>
            <w:tcBorders>
              <w:top w:val="nil"/>
              <w:left w:val="nil"/>
              <w:bottom w:val="nil"/>
              <w:right w:val="nil"/>
            </w:tcBorders>
          </w:tcPr>
          <w:p w14:paraId="3B99B42C" w14:textId="77777777" w:rsidR="00D5759E" w:rsidRDefault="00D5759E" w:rsidP="00C05066">
            <w:pPr>
              <w:pStyle w:val="TableBlockOutdent"/>
            </w:pPr>
            <w:r>
              <w:rPr>
                <w:sz w:val="26"/>
                <w:rtl/>
              </w:rPr>
              <w:t>"מטופל" – אדם שפנה לקבל טיפול בתחנה לבריאות הנפש בקהילה;</w:t>
            </w:r>
          </w:p>
        </w:tc>
      </w:tr>
      <w:tr w:rsidR="00D5759E" w14:paraId="66BA3E1C" w14:textId="77777777" w:rsidTr="00CC7A10">
        <w:trPr>
          <w:cantSplit/>
        </w:trPr>
        <w:tc>
          <w:tcPr>
            <w:tcW w:w="1870" w:type="dxa"/>
            <w:tcBorders>
              <w:top w:val="nil"/>
              <w:left w:val="nil"/>
              <w:bottom w:val="nil"/>
              <w:right w:val="nil"/>
            </w:tcBorders>
          </w:tcPr>
          <w:p w14:paraId="636CEA27" w14:textId="77777777" w:rsidR="00D5759E" w:rsidRDefault="00D5759E" w:rsidP="00C05066">
            <w:pPr>
              <w:pStyle w:val="TableSideHeading"/>
            </w:pPr>
          </w:p>
        </w:tc>
        <w:tc>
          <w:tcPr>
            <w:tcW w:w="624" w:type="dxa"/>
            <w:tcBorders>
              <w:top w:val="nil"/>
              <w:left w:val="nil"/>
              <w:bottom w:val="nil"/>
              <w:right w:val="nil"/>
            </w:tcBorders>
          </w:tcPr>
          <w:p w14:paraId="645FCB88" w14:textId="77777777" w:rsidR="00D5759E" w:rsidRDefault="00D5759E" w:rsidP="00C05066">
            <w:pPr>
              <w:pStyle w:val="TableText"/>
            </w:pPr>
          </w:p>
        </w:tc>
        <w:tc>
          <w:tcPr>
            <w:tcW w:w="7143" w:type="dxa"/>
            <w:gridSpan w:val="2"/>
            <w:tcBorders>
              <w:top w:val="nil"/>
              <w:left w:val="nil"/>
              <w:bottom w:val="nil"/>
              <w:right w:val="nil"/>
            </w:tcBorders>
          </w:tcPr>
          <w:p w14:paraId="4A1019CA" w14:textId="77777777" w:rsidR="00D5759E" w:rsidRDefault="00D5759E" w:rsidP="00C05066">
            <w:pPr>
              <w:pStyle w:val="TableBlockOutdent"/>
              <w:rPr>
                <w:sz w:val="26"/>
                <w:rtl/>
              </w:rPr>
            </w:pPr>
            <w:r>
              <w:rPr>
                <w:sz w:val="26"/>
                <w:rtl/>
              </w:rPr>
              <w:t>"המנהל" – המנהל הכללי של משרד הבריאות או מי שהוא הסמיך לעניין חוק זה;</w:t>
            </w:r>
          </w:p>
        </w:tc>
      </w:tr>
      <w:tr w:rsidR="00D5759E" w14:paraId="4FEAECF1" w14:textId="77777777" w:rsidTr="00CC7A10">
        <w:trPr>
          <w:cantSplit/>
        </w:trPr>
        <w:tc>
          <w:tcPr>
            <w:tcW w:w="1870" w:type="dxa"/>
            <w:tcBorders>
              <w:top w:val="nil"/>
              <w:left w:val="nil"/>
              <w:bottom w:val="nil"/>
              <w:right w:val="nil"/>
            </w:tcBorders>
          </w:tcPr>
          <w:p w14:paraId="11EDAF50" w14:textId="77777777" w:rsidR="00D5759E" w:rsidRDefault="00D5759E" w:rsidP="00C05066">
            <w:pPr>
              <w:pStyle w:val="TableSideHeading"/>
              <w:rPr>
                <w:i/>
                <w:iCs/>
              </w:rPr>
            </w:pPr>
          </w:p>
        </w:tc>
        <w:tc>
          <w:tcPr>
            <w:tcW w:w="624" w:type="dxa"/>
            <w:tcBorders>
              <w:top w:val="nil"/>
              <w:left w:val="nil"/>
              <w:bottom w:val="nil"/>
              <w:right w:val="nil"/>
            </w:tcBorders>
          </w:tcPr>
          <w:p w14:paraId="666B3C31" w14:textId="77777777" w:rsidR="00D5759E" w:rsidRDefault="00D5759E" w:rsidP="00C05066">
            <w:pPr>
              <w:pStyle w:val="TableText"/>
            </w:pPr>
          </w:p>
        </w:tc>
        <w:tc>
          <w:tcPr>
            <w:tcW w:w="7143" w:type="dxa"/>
            <w:gridSpan w:val="2"/>
            <w:tcBorders>
              <w:top w:val="nil"/>
              <w:left w:val="nil"/>
              <w:bottom w:val="nil"/>
              <w:right w:val="nil"/>
            </w:tcBorders>
          </w:tcPr>
          <w:p w14:paraId="3AF1237B" w14:textId="77777777" w:rsidR="00D5759E" w:rsidRDefault="00D5759E" w:rsidP="00C05066">
            <w:pPr>
              <w:pStyle w:val="TableBlockOutdent"/>
            </w:pPr>
            <w:r>
              <w:rPr>
                <w:sz w:val="26"/>
                <w:rtl/>
              </w:rPr>
              <w:t xml:space="preserve">"מטפל מקצועי עיקרי" </w:t>
            </w:r>
            <w:r>
              <w:rPr>
                <w:rFonts w:ascii="Times New Roman" w:hAnsi="Times New Roman" w:cs="Times New Roman"/>
                <w:sz w:val="26"/>
                <w:rtl/>
              </w:rPr>
              <w:t>–</w:t>
            </w:r>
            <w:r>
              <w:rPr>
                <w:sz w:val="26"/>
                <w:rtl/>
              </w:rPr>
              <w:t xml:space="preserve"> פסיכיאטר, פסיכיאטר מומחה לילדים ולנוער, פסיכולוג קליני, עובד סוציאלי שעבר הכשרה בבריאות הנפש</w:t>
            </w:r>
            <w:r>
              <w:rPr>
                <w:rFonts w:cs="FrankRuehl"/>
                <w:sz w:val="26"/>
                <w:rtl/>
              </w:rPr>
              <w:t xml:space="preserve">, </w:t>
            </w:r>
            <w:r>
              <w:rPr>
                <w:sz w:val="26"/>
                <w:rtl/>
              </w:rPr>
              <w:t>או כל בעל מקצוע שהכיר בו המנהל, בהודעה ברשומות, כמטפל מקצועי עיקרי אשר קיבל הכשרה בתחום בריאות הנפש באבחון וטיפול;</w:t>
            </w:r>
          </w:p>
        </w:tc>
      </w:tr>
      <w:tr w:rsidR="00D5759E" w14:paraId="43ED4895" w14:textId="77777777" w:rsidTr="00CC7A10">
        <w:trPr>
          <w:cantSplit/>
        </w:trPr>
        <w:tc>
          <w:tcPr>
            <w:tcW w:w="1870" w:type="dxa"/>
            <w:tcBorders>
              <w:top w:val="nil"/>
              <w:left w:val="nil"/>
              <w:bottom w:val="nil"/>
              <w:right w:val="nil"/>
            </w:tcBorders>
          </w:tcPr>
          <w:p w14:paraId="0290A96E" w14:textId="77777777" w:rsidR="00D5759E" w:rsidRDefault="00D5759E" w:rsidP="00C05066">
            <w:pPr>
              <w:pStyle w:val="TableSideHeading"/>
            </w:pPr>
          </w:p>
        </w:tc>
        <w:tc>
          <w:tcPr>
            <w:tcW w:w="624" w:type="dxa"/>
            <w:tcBorders>
              <w:top w:val="nil"/>
              <w:left w:val="nil"/>
              <w:bottom w:val="nil"/>
              <w:right w:val="nil"/>
            </w:tcBorders>
          </w:tcPr>
          <w:p w14:paraId="02C08634" w14:textId="77777777" w:rsidR="00D5759E" w:rsidRDefault="00D5759E" w:rsidP="00C05066">
            <w:pPr>
              <w:pStyle w:val="TableText"/>
            </w:pPr>
          </w:p>
        </w:tc>
        <w:tc>
          <w:tcPr>
            <w:tcW w:w="7143" w:type="dxa"/>
            <w:gridSpan w:val="2"/>
            <w:tcBorders>
              <w:top w:val="nil"/>
              <w:left w:val="nil"/>
              <w:bottom w:val="nil"/>
              <w:right w:val="nil"/>
            </w:tcBorders>
          </w:tcPr>
          <w:p w14:paraId="2EE936EF" w14:textId="77777777" w:rsidR="00D5759E" w:rsidRDefault="00D5759E" w:rsidP="00C05066">
            <w:pPr>
              <w:pStyle w:val="TableBlockOutdent"/>
            </w:pPr>
            <w:r>
              <w:rPr>
                <w:sz w:val="26"/>
                <w:rtl/>
              </w:rPr>
              <w:t xml:space="preserve">"מטפל מקצועי משני" – מטפל בתחום בריאות הנפש </w:t>
            </w:r>
            <w:r>
              <w:rPr>
                <w:rFonts w:hint="cs"/>
                <w:sz w:val="26"/>
                <w:rtl/>
              </w:rPr>
              <w:t>שהוא</w:t>
            </w:r>
            <w:r>
              <w:rPr>
                <w:sz w:val="26"/>
                <w:rtl/>
              </w:rPr>
              <w:t xml:space="preserve"> בעל הכשרה לתחום טיפול ייעודי במקצועות הבריאות, לרבות מרפא בעיסוק, מטפל באומנות, עובד סיעודי פסיכיאטרי, אחות העוסקת בתחום הפסיכיאטרי וכן כל בעל מקצוע שהכיר בו המנהל הכללי של משרד הבריאות בהודעה ברשומות כמטפל מקצועי משני לעניין חוק זה;</w:t>
            </w:r>
          </w:p>
        </w:tc>
      </w:tr>
      <w:tr w:rsidR="00D5759E" w14:paraId="77DFDF3B" w14:textId="77777777" w:rsidTr="00CC7A10">
        <w:trPr>
          <w:cantSplit/>
        </w:trPr>
        <w:tc>
          <w:tcPr>
            <w:tcW w:w="1870" w:type="dxa"/>
            <w:tcBorders>
              <w:top w:val="nil"/>
              <w:left w:val="nil"/>
              <w:bottom w:val="nil"/>
              <w:right w:val="nil"/>
            </w:tcBorders>
          </w:tcPr>
          <w:p w14:paraId="0106658F" w14:textId="77777777" w:rsidR="00D5759E" w:rsidRDefault="00D5759E" w:rsidP="00C05066">
            <w:pPr>
              <w:pStyle w:val="TableSideHeading"/>
            </w:pPr>
          </w:p>
        </w:tc>
        <w:tc>
          <w:tcPr>
            <w:tcW w:w="624" w:type="dxa"/>
            <w:tcBorders>
              <w:top w:val="nil"/>
              <w:left w:val="nil"/>
              <w:bottom w:val="nil"/>
              <w:right w:val="nil"/>
            </w:tcBorders>
          </w:tcPr>
          <w:p w14:paraId="6D72C1DD" w14:textId="77777777" w:rsidR="00D5759E" w:rsidRDefault="00D5759E" w:rsidP="00C05066">
            <w:pPr>
              <w:pStyle w:val="TableText"/>
            </w:pPr>
          </w:p>
        </w:tc>
        <w:tc>
          <w:tcPr>
            <w:tcW w:w="7143" w:type="dxa"/>
            <w:gridSpan w:val="2"/>
            <w:tcBorders>
              <w:top w:val="nil"/>
              <w:left w:val="nil"/>
              <w:bottom w:val="nil"/>
              <w:right w:val="nil"/>
            </w:tcBorders>
          </w:tcPr>
          <w:p w14:paraId="66842DDA" w14:textId="77777777" w:rsidR="00D5759E" w:rsidRDefault="00D5759E" w:rsidP="00C05066">
            <w:pPr>
              <w:pStyle w:val="TableBlockOutdent"/>
            </w:pPr>
            <w:r>
              <w:rPr>
                <w:sz w:val="26"/>
                <w:rtl/>
              </w:rPr>
              <w:t>"פסיכולוג קליני" – מי שרשום בפנקס הפסיכולוגים לפי חוק</w:t>
            </w:r>
            <w:r>
              <w:t xml:space="preserve"> </w:t>
            </w:r>
            <w:r>
              <w:rPr>
                <w:sz w:val="26"/>
                <w:rtl/>
              </w:rPr>
              <w:t>הפסיכולוגים, התשל"ז–1977</w:t>
            </w:r>
            <w:r>
              <w:rPr>
                <w:rStyle w:val="a6"/>
                <w:sz w:val="26"/>
                <w:rtl/>
              </w:rPr>
              <w:footnoteReference w:id="2"/>
            </w:r>
            <w:r>
              <w:rPr>
                <w:sz w:val="26"/>
                <w:rtl/>
              </w:rPr>
              <w:t>, והוא בעל מומחיות מוכרת בתחום הפסיכולוגיה הקלינית;</w:t>
            </w:r>
          </w:p>
        </w:tc>
      </w:tr>
      <w:tr w:rsidR="00D5759E" w14:paraId="74A87CE1" w14:textId="77777777" w:rsidTr="00CC7A10">
        <w:trPr>
          <w:cantSplit/>
        </w:trPr>
        <w:tc>
          <w:tcPr>
            <w:tcW w:w="1870" w:type="dxa"/>
            <w:tcBorders>
              <w:top w:val="nil"/>
              <w:left w:val="nil"/>
              <w:bottom w:val="nil"/>
              <w:right w:val="nil"/>
            </w:tcBorders>
          </w:tcPr>
          <w:p w14:paraId="6283CEDF" w14:textId="77777777" w:rsidR="00D5759E" w:rsidRDefault="00D5759E" w:rsidP="00C05066">
            <w:pPr>
              <w:pStyle w:val="TableSideHeading"/>
              <w:rPr>
                <w:highlight w:val="yellow"/>
              </w:rPr>
            </w:pPr>
          </w:p>
        </w:tc>
        <w:tc>
          <w:tcPr>
            <w:tcW w:w="624" w:type="dxa"/>
            <w:tcBorders>
              <w:top w:val="nil"/>
              <w:left w:val="nil"/>
              <w:bottom w:val="nil"/>
              <w:right w:val="nil"/>
            </w:tcBorders>
          </w:tcPr>
          <w:p w14:paraId="75A42556" w14:textId="77777777" w:rsidR="00D5759E" w:rsidRDefault="00D5759E" w:rsidP="00C05066">
            <w:pPr>
              <w:pStyle w:val="TableText"/>
            </w:pPr>
          </w:p>
        </w:tc>
        <w:tc>
          <w:tcPr>
            <w:tcW w:w="7143" w:type="dxa"/>
            <w:gridSpan w:val="2"/>
            <w:tcBorders>
              <w:top w:val="nil"/>
              <w:left w:val="nil"/>
              <w:bottom w:val="nil"/>
              <w:right w:val="nil"/>
            </w:tcBorders>
          </w:tcPr>
          <w:p w14:paraId="35395CC3" w14:textId="77777777" w:rsidR="00D5759E" w:rsidRDefault="00D5759E" w:rsidP="00C05066">
            <w:pPr>
              <w:pStyle w:val="TableBlockOutdent"/>
              <w:rPr>
                <w:sz w:val="26"/>
                <w:highlight w:val="yellow"/>
                <w:rtl/>
              </w:rPr>
            </w:pPr>
            <w:r>
              <w:rPr>
                <w:sz w:val="26"/>
                <w:rtl/>
              </w:rPr>
              <w:t>"פסיכיאטר" – רופא שהוא בעל תואר מומחה בפסיכיאטריה</w:t>
            </w:r>
            <w:r>
              <w:t xml:space="preserve"> </w:t>
            </w:r>
            <w:r>
              <w:rPr>
                <w:sz w:val="26"/>
                <w:rtl/>
              </w:rPr>
              <w:t>או בפסיכיאטריה של הילד והמתבגר (להלן – פסיכיאטר מומחה לילדים ונוער) לפי פקודת הרופאים [נוסח חדש], התשל"ז–1976</w:t>
            </w:r>
            <w:r>
              <w:rPr>
                <w:rStyle w:val="a6"/>
                <w:sz w:val="26"/>
                <w:rtl/>
              </w:rPr>
              <w:footnoteReference w:id="3"/>
            </w:r>
            <w:r>
              <w:rPr>
                <w:sz w:val="26"/>
                <w:rtl/>
              </w:rPr>
              <w:t>;</w:t>
            </w:r>
          </w:p>
        </w:tc>
      </w:tr>
      <w:tr w:rsidR="00D5759E" w14:paraId="63173F8C" w14:textId="77777777" w:rsidTr="00CC7A10">
        <w:trPr>
          <w:cantSplit/>
        </w:trPr>
        <w:tc>
          <w:tcPr>
            <w:tcW w:w="1870" w:type="dxa"/>
            <w:tcBorders>
              <w:top w:val="nil"/>
              <w:left w:val="nil"/>
              <w:bottom w:val="nil"/>
              <w:right w:val="nil"/>
            </w:tcBorders>
          </w:tcPr>
          <w:p w14:paraId="7ECBADFC" w14:textId="77777777" w:rsidR="00D5759E" w:rsidRDefault="00D5759E" w:rsidP="00C05066">
            <w:pPr>
              <w:pStyle w:val="TableSideHeading"/>
            </w:pPr>
          </w:p>
        </w:tc>
        <w:tc>
          <w:tcPr>
            <w:tcW w:w="624" w:type="dxa"/>
            <w:tcBorders>
              <w:top w:val="nil"/>
              <w:left w:val="nil"/>
              <w:bottom w:val="nil"/>
              <w:right w:val="nil"/>
            </w:tcBorders>
          </w:tcPr>
          <w:p w14:paraId="66DE8C43" w14:textId="77777777" w:rsidR="00D5759E" w:rsidRDefault="00D5759E" w:rsidP="00C05066">
            <w:pPr>
              <w:pStyle w:val="TableText"/>
            </w:pPr>
          </w:p>
        </w:tc>
        <w:tc>
          <w:tcPr>
            <w:tcW w:w="7143" w:type="dxa"/>
            <w:gridSpan w:val="2"/>
            <w:tcBorders>
              <w:top w:val="nil"/>
              <w:left w:val="nil"/>
              <w:bottom w:val="nil"/>
              <w:right w:val="nil"/>
            </w:tcBorders>
          </w:tcPr>
          <w:p w14:paraId="02B7DFF4" w14:textId="77777777" w:rsidR="00D5759E" w:rsidRDefault="00D5759E" w:rsidP="00C05066">
            <w:pPr>
              <w:pStyle w:val="TableBlockOutdent"/>
            </w:pPr>
            <w:r>
              <w:rPr>
                <w:sz w:val="26"/>
                <w:rtl/>
              </w:rPr>
              <w:t>"עובד סוציאלי" – כהגדרתו בחוק העובדים הסוציאליים, התשנ"ו–1996</w:t>
            </w:r>
            <w:r>
              <w:rPr>
                <w:rStyle w:val="a6"/>
                <w:sz w:val="26"/>
                <w:rtl/>
              </w:rPr>
              <w:footnoteReference w:id="4"/>
            </w:r>
            <w:r>
              <w:rPr>
                <w:sz w:val="26"/>
                <w:rtl/>
              </w:rPr>
              <w:t>, אשר קיבל הכשרה בתחום בריאות הנפש;</w:t>
            </w:r>
          </w:p>
        </w:tc>
      </w:tr>
      <w:tr w:rsidR="00D5759E" w14:paraId="47AE7481" w14:textId="77777777" w:rsidTr="00CC7A10">
        <w:trPr>
          <w:cantSplit/>
        </w:trPr>
        <w:tc>
          <w:tcPr>
            <w:tcW w:w="1870" w:type="dxa"/>
            <w:tcBorders>
              <w:top w:val="nil"/>
              <w:left w:val="nil"/>
              <w:bottom w:val="nil"/>
              <w:right w:val="nil"/>
            </w:tcBorders>
          </w:tcPr>
          <w:p w14:paraId="0DEDC8A3" w14:textId="77777777" w:rsidR="00D5759E" w:rsidRDefault="00D5759E" w:rsidP="00C05066">
            <w:pPr>
              <w:pStyle w:val="TableSideHeading"/>
              <w:rPr>
                <w:i/>
                <w:iCs/>
                <w:highlight w:val="yellow"/>
              </w:rPr>
            </w:pPr>
          </w:p>
        </w:tc>
        <w:tc>
          <w:tcPr>
            <w:tcW w:w="624" w:type="dxa"/>
            <w:tcBorders>
              <w:top w:val="nil"/>
              <w:left w:val="nil"/>
              <w:bottom w:val="nil"/>
              <w:right w:val="nil"/>
            </w:tcBorders>
          </w:tcPr>
          <w:p w14:paraId="7636D979" w14:textId="77777777" w:rsidR="00D5759E" w:rsidRDefault="00D5759E" w:rsidP="00C05066">
            <w:pPr>
              <w:pStyle w:val="TableText"/>
            </w:pPr>
          </w:p>
        </w:tc>
        <w:tc>
          <w:tcPr>
            <w:tcW w:w="7143" w:type="dxa"/>
            <w:gridSpan w:val="2"/>
            <w:tcBorders>
              <w:top w:val="nil"/>
              <w:left w:val="nil"/>
              <w:bottom w:val="nil"/>
              <w:right w:val="nil"/>
            </w:tcBorders>
          </w:tcPr>
          <w:p w14:paraId="3141E301" w14:textId="77777777" w:rsidR="00D5759E" w:rsidRDefault="00D5759E" w:rsidP="00C05066">
            <w:pPr>
              <w:pStyle w:val="TableBlockOutdent"/>
            </w:pPr>
            <w:r>
              <w:rPr>
                <w:sz w:val="26"/>
                <w:rtl/>
              </w:rPr>
              <w:t xml:space="preserve">"מרפאה לבריאות הנפש", "תחנה לבריאות הנפש בקהילה", "תחנה", "מרכז קהילתי לבריאות הנפש" – מרכז טיפולי ציבורי אמבולטורי אשר הוקם במימונו ובאחריותו של משרד הבריאות שמטרתו לקדם את תחום בריאות הנפש באמצעות צוות מקצועי הפועל במודל משולב פסיכו-ביו-סוציאלי ולשם מתן מענה וטיפול לפונים במצוקה נפשית, </w:t>
            </w:r>
            <w:r>
              <w:rPr>
                <w:color w:val="auto"/>
                <w:sz w:val="26"/>
                <w:rtl/>
              </w:rPr>
              <w:t>מתן טיפול מניעתי, ומתן סיוע ושיתוף פעולה עם נותני שירותים אחרים בקהילה בתחום בריאות, חינוך, תעסוקה ורווחה</w:t>
            </w:r>
            <w:r>
              <w:rPr>
                <w:sz w:val="26"/>
                <w:rtl/>
              </w:rPr>
              <w:t>;</w:t>
            </w:r>
          </w:p>
        </w:tc>
      </w:tr>
      <w:tr w:rsidR="00D5759E" w14:paraId="499B42DE" w14:textId="77777777" w:rsidTr="00CC7A10">
        <w:trPr>
          <w:cantSplit/>
        </w:trPr>
        <w:tc>
          <w:tcPr>
            <w:tcW w:w="1870" w:type="dxa"/>
            <w:tcBorders>
              <w:top w:val="nil"/>
              <w:left w:val="nil"/>
              <w:bottom w:val="nil"/>
              <w:right w:val="nil"/>
            </w:tcBorders>
          </w:tcPr>
          <w:p w14:paraId="0AB85C39" w14:textId="77777777" w:rsidR="00D5759E" w:rsidRDefault="00D5759E" w:rsidP="00C05066">
            <w:pPr>
              <w:pStyle w:val="TableSideHeading"/>
            </w:pPr>
          </w:p>
        </w:tc>
        <w:tc>
          <w:tcPr>
            <w:tcW w:w="624" w:type="dxa"/>
            <w:tcBorders>
              <w:top w:val="nil"/>
              <w:left w:val="nil"/>
              <w:bottom w:val="nil"/>
              <w:right w:val="nil"/>
            </w:tcBorders>
          </w:tcPr>
          <w:p w14:paraId="5DB6A4A3" w14:textId="77777777" w:rsidR="00D5759E" w:rsidRDefault="00D5759E" w:rsidP="00C05066">
            <w:pPr>
              <w:pStyle w:val="TableText"/>
            </w:pPr>
          </w:p>
        </w:tc>
        <w:tc>
          <w:tcPr>
            <w:tcW w:w="7143" w:type="dxa"/>
            <w:gridSpan w:val="2"/>
            <w:tcBorders>
              <w:top w:val="nil"/>
              <w:left w:val="nil"/>
              <w:bottom w:val="nil"/>
              <w:right w:val="nil"/>
            </w:tcBorders>
          </w:tcPr>
          <w:p w14:paraId="42D6E851" w14:textId="77777777" w:rsidR="00D5759E" w:rsidRDefault="00D5759E" w:rsidP="00C05066">
            <w:pPr>
              <w:pStyle w:val="TableBlockOutdent"/>
            </w:pPr>
            <w:r>
              <w:rPr>
                <w:sz w:val="26"/>
                <w:rtl/>
              </w:rPr>
              <w:t>"צוות קבלה" – צוות רב מקצועי בכיר המגבש את האבחנה לגבי מטופל ואת תכנית הטיפול המוצעת לגביו;</w:t>
            </w:r>
          </w:p>
        </w:tc>
      </w:tr>
      <w:tr w:rsidR="00D5759E" w14:paraId="075B4B69" w14:textId="77777777" w:rsidTr="00CC7A10">
        <w:trPr>
          <w:cantSplit/>
        </w:trPr>
        <w:tc>
          <w:tcPr>
            <w:tcW w:w="1870" w:type="dxa"/>
            <w:tcBorders>
              <w:top w:val="nil"/>
              <w:left w:val="nil"/>
              <w:bottom w:val="nil"/>
              <w:right w:val="nil"/>
            </w:tcBorders>
          </w:tcPr>
          <w:p w14:paraId="64611783" w14:textId="77777777" w:rsidR="00D5759E" w:rsidRDefault="00D5759E" w:rsidP="00C05066">
            <w:pPr>
              <w:pStyle w:val="TableSideHeading"/>
              <w:rPr>
                <w:i/>
                <w:iCs/>
                <w:sz w:val="26"/>
                <w:highlight w:val="yellow"/>
                <w:rtl/>
              </w:rPr>
            </w:pPr>
          </w:p>
        </w:tc>
        <w:tc>
          <w:tcPr>
            <w:tcW w:w="624" w:type="dxa"/>
            <w:tcBorders>
              <w:top w:val="nil"/>
              <w:left w:val="nil"/>
              <w:bottom w:val="nil"/>
              <w:right w:val="nil"/>
            </w:tcBorders>
          </w:tcPr>
          <w:p w14:paraId="7BCFE6C3" w14:textId="77777777" w:rsidR="00D5759E" w:rsidRDefault="00D5759E" w:rsidP="00C05066">
            <w:pPr>
              <w:pStyle w:val="TableText"/>
            </w:pPr>
          </w:p>
        </w:tc>
        <w:tc>
          <w:tcPr>
            <w:tcW w:w="7143" w:type="dxa"/>
            <w:gridSpan w:val="2"/>
            <w:tcBorders>
              <w:top w:val="nil"/>
              <w:left w:val="nil"/>
              <w:bottom w:val="nil"/>
              <w:right w:val="nil"/>
            </w:tcBorders>
          </w:tcPr>
          <w:p w14:paraId="71D4AF70" w14:textId="77777777" w:rsidR="00D5759E" w:rsidRDefault="00D5759E" w:rsidP="00C05066">
            <w:pPr>
              <w:pStyle w:val="TableBlock"/>
              <w:rPr>
                <w:sz w:val="26"/>
                <w:rtl/>
              </w:rPr>
            </w:pPr>
            <w:r>
              <w:rPr>
                <w:sz w:val="26"/>
                <w:rtl/>
              </w:rPr>
              <w:t>"השר" – שר הבריאות.</w:t>
            </w:r>
          </w:p>
        </w:tc>
      </w:tr>
      <w:tr w:rsidR="00D5759E" w14:paraId="03764ADE" w14:textId="77777777" w:rsidTr="00CC7A10">
        <w:trPr>
          <w:cantSplit/>
        </w:trPr>
        <w:tc>
          <w:tcPr>
            <w:tcW w:w="1870" w:type="dxa"/>
            <w:tcBorders>
              <w:top w:val="nil"/>
              <w:left w:val="nil"/>
              <w:bottom w:val="nil"/>
              <w:right w:val="nil"/>
            </w:tcBorders>
          </w:tcPr>
          <w:p w14:paraId="5468A807" w14:textId="77777777" w:rsidR="00D5759E" w:rsidRDefault="00D5759E" w:rsidP="00C05066">
            <w:pPr>
              <w:pStyle w:val="TableSideHeading"/>
            </w:pPr>
            <w:r>
              <w:rPr>
                <w:sz w:val="26"/>
                <w:rtl/>
              </w:rPr>
              <w:t>הזכות לקבלת טיפול</w:t>
            </w:r>
          </w:p>
        </w:tc>
        <w:tc>
          <w:tcPr>
            <w:tcW w:w="624" w:type="dxa"/>
            <w:tcBorders>
              <w:top w:val="nil"/>
              <w:left w:val="nil"/>
              <w:bottom w:val="nil"/>
              <w:right w:val="nil"/>
            </w:tcBorders>
          </w:tcPr>
          <w:p w14:paraId="4E02E6D0" w14:textId="77777777" w:rsidR="00D5759E" w:rsidRDefault="00D5759E" w:rsidP="00C05066">
            <w:pPr>
              <w:pStyle w:val="TableText"/>
            </w:pPr>
            <w:r>
              <w:rPr>
                <w:sz w:val="26"/>
                <w:rtl/>
              </w:rPr>
              <w:t>3.</w:t>
            </w:r>
          </w:p>
        </w:tc>
        <w:tc>
          <w:tcPr>
            <w:tcW w:w="7143" w:type="dxa"/>
            <w:gridSpan w:val="2"/>
            <w:tcBorders>
              <w:top w:val="nil"/>
              <w:left w:val="nil"/>
              <w:bottom w:val="nil"/>
              <w:right w:val="nil"/>
            </w:tcBorders>
          </w:tcPr>
          <w:p w14:paraId="605DA455" w14:textId="77777777" w:rsidR="00D5759E" w:rsidRDefault="00D5759E" w:rsidP="00C05066">
            <w:pPr>
              <w:pStyle w:val="TableBlock"/>
            </w:pPr>
            <w:r>
              <w:rPr>
                <w:sz w:val="26"/>
                <w:rtl/>
              </w:rPr>
              <w:t xml:space="preserve">תושב ישראל הסובל ממצוקה נפשית </w:t>
            </w:r>
            <w:r>
              <w:rPr>
                <w:rFonts w:hint="cs"/>
                <w:sz w:val="26"/>
                <w:rtl/>
              </w:rPr>
              <w:t>ו</w:t>
            </w:r>
            <w:r>
              <w:rPr>
                <w:sz w:val="26"/>
                <w:rtl/>
              </w:rPr>
              <w:t>פונה לטיפול נפשי או מופנה מטעם גורם טיפולי, זכאי לקבל טיפול בתחנה לבריאות הנפש בקהילה המצויה בקרבת מקום מגוריו, בהתאם להוראות חוק זה; בסעיף זה, "גורם טיפולי" – לרבות רופא משפחה, שירותי רווחה, משטרת ישראל, בית משפט, מוסד חינוכי רשמי ומוסד חינוכי מוכר כהגדרתם בחוק לימוד חובה, התש"ט–1949</w:t>
            </w:r>
            <w:r>
              <w:rPr>
                <w:rStyle w:val="a6"/>
                <w:sz w:val="26"/>
                <w:rtl/>
              </w:rPr>
              <w:footnoteReference w:id="5"/>
            </w:r>
            <w:r>
              <w:rPr>
                <w:sz w:val="26"/>
                <w:rtl/>
              </w:rPr>
              <w:t>, הורה או אפוטרופוס של קטין.</w:t>
            </w:r>
          </w:p>
        </w:tc>
      </w:tr>
      <w:tr w:rsidR="00D5759E" w14:paraId="0D8BDFF6" w14:textId="77777777" w:rsidTr="00CC7A10">
        <w:trPr>
          <w:cantSplit/>
        </w:trPr>
        <w:tc>
          <w:tcPr>
            <w:tcW w:w="1870" w:type="dxa"/>
            <w:tcBorders>
              <w:top w:val="nil"/>
              <w:left w:val="nil"/>
              <w:bottom w:val="nil"/>
              <w:right w:val="nil"/>
            </w:tcBorders>
          </w:tcPr>
          <w:p w14:paraId="6C22CF08" w14:textId="77777777" w:rsidR="00D5759E" w:rsidRDefault="00D5759E" w:rsidP="00C05066">
            <w:pPr>
              <w:pStyle w:val="TableSideHeading"/>
            </w:pPr>
            <w:r>
              <w:rPr>
                <w:sz w:val="26"/>
                <w:rtl/>
              </w:rPr>
              <w:t>עדיפות לטיפול בקהילה</w:t>
            </w:r>
          </w:p>
        </w:tc>
        <w:tc>
          <w:tcPr>
            <w:tcW w:w="624" w:type="dxa"/>
            <w:tcBorders>
              <w:top w:val="nil"/>
              <w:left w:val="nil"/>
              <w:bottom w:val="nil"/>
              <w:right w:val="nil"/>
            </w:tcBorders>
          </w:tcPr>
          <w:p w14:paraId="0E6D6271" w14:textId="77777777" w:rsidR="00D5759E" w:rsidRDefault="00D5759E" w:rsidP="00C05066">
            <w:pPr>
              <w:pStyle w:val="TableText"/>
            </w:pPr>
            <w:r>
              <w:rPr>
                <w:sz w:val="26"/>
                <w:rtl/>
              </w:rPr>
              <w:t>4.</w:t>
            </w:r>
          </w:p>
        </w:tc>
        <w:tc>
          <w:tcPr>
            <w:tcW w:w="7143" w:type="dxa"/>
            <w:gridSpan w:val="2"/>
            <w:tcBorders>
              <w:top w:val="nil"/>
              <w:left w:val="nil"/>
              <w:bottom w:val="nil"/>
              <w:right w:val="nil"/>
            </w:tcBorders>
          </w:tcPr>
          <w:p w14:paraId="15663855" w14:textId="77777777" w:rsidR="00D5759E" w:rsidRDefault="00D5759E" w:rsidP="00C05066">
            <w:pPr>
              <w:pStyle w:val="TableBlock"/>
              <w:rPr>
                <w:sz w:val="26"/>
                <w:rtl/>
              </w:rPr>
            </w:pPr>
            <w:r>
              <w:rPr>
                <w:sz w:val="26"/>
                <w:rtl/>
              </w:rPr>
              <w:t>טיפול נפשי-מקצועי יינתן תוך העדפה לטיפול נפשי בקהילה על פני אשפוז פסיכיאטרי, ככל שהדבר אפשרי בנסיבות העניין.</w:t>
            </w:r>
          </w:p>
        </w:tc>
      </w:tr>
      <w:tr w:rsidR="00D5759E" w14:paraId="55D87F39" w14:textId="77777777" w:rsidTr="00CC7A10">
        <w:trPr>
          <w:cantSplit/>
        </w:trPr>
        <w:tc>
          <w:tcPr>
            <w:tcW w:w="1870" w:type="dxa"/>
            <w:tcBorders>
              <w:top w:val="nil"/>
              <w:left w:val="nil"/>
              <w:bottom w:val="nil"/>
              <w:right w:val="nil"/>
            </w:tcBorders>
          </w:tcPr>
          <w:p w14:paraId="4A1B93FE" w14:textId="77777777" w:rsidR="00D5759E" w:rsidRDefault="00D5759E" w:rsidP="00C05066">
            <w:pPr>
              <w:pStyle w:val="TableSideHeading"/>
            </w:pPr>
            <w:r>
              <w:rPr>
                <w:sz w:val="26"/>
                <w:rtl/>
              </w:rPr>
              <w:t>פנייה דחופה</w:t>
            </w:r>
          </w:p>
        </w:tc>
        <w:tc>
          <w:tcPr>
            <w:tcW w:w="624" w:type="dxa"/>
            <w:tcBorders>
              <w:top w:val="nil"/>
              <w:left w:val="nil"/>
              <w:bottom w:val="nil"/>
              <w:right w:val="nil"/>
            </w:tcBorders>
          </w:tcPr>
          <w:p w14:paraId="1F0956E2" w14:textId="77777777" w:rsidR="00D5759E" w:rsidRDefault="00D5759E" w:rsidP="00C05066">
            <w:pPr>
              <w:pStyle w:val="TableText"/>
            </w:pPr>
            <w:r>
              <w:rPr>
                <w:sz w:val="26"/>
                <w:rtl/>
              </w:rPr>
              <w:t>5.</w:t>
            </w:r>
          </w:p>
        </w:tc>
        <w:tc>
          <w:tcPr>
            <w:tcW w:w="7143" w:type="dxa"/>
            <w:gridSpan w:val="2"/>
            <w:tcBorders>
              <w:top w:val="nil"/>
              <w:left w:val="nil"/>
              <w:bottom w:val="nil"/>
              <w:right w:val="nil"/>
            </w:tcBorders>
          </w:tcPr>
          <w:p w14:paraId="4456ED40" w14:textId="77777777" w:rsidR="00D5759E" w:rsidRDefault="00D5759E" w:rsidP="00C05066">
            <w:pPr>
              <w:pStyle w:val="TableBlock"/>
            </w:pPr>
            <w:r>
              <w:rPr>
                <w:sz w:val="26"/>
                <w:rtl/>
              </w:rPr>
              <w:t xml:space="preserve">הפונה לתחנה לבריאות הנפש בקהילה וטוען או ניכר כי פנייתו דחופה, יתקבל בו ביום עם פנייתו בידי מטפל מקצועי עיקרי כונן בתחנה, אשר יאבחן את מידת הדחיפות של הפנייה, בהתאם לרמת המצוקה </w:t>
            </w:r>
            <w:r>
              <w:rPr>
                <w:rFonts w:hint="cs"/>
                <w:sz w:val="26"/>
                <w:rtl/>
              </w:rPr>
              <w:t>ו</w:t>
            </w:r>
            <w:r>
              <w:rPr>
                <w:sz w:val="26"/>
                <w:rtl/>
              </w:rPr>
              <w:t>המסוכנות</w:t>
            </w:r>
            <w:r>
              <w:rPr>
                <w:rFonts w:hint="cs"/>
                <w:sz w:val="26"/>
                <w:rtl/>
              </w:rPr>
              <w:t xml:space="preserve"> של הפונה</w:t>
            </w:r>
            <w:r>
              <w:rPr>
                <w:sz w:val="26"/>
                <w:rtl/>
              </w:rPr>
              <w:t>, אופי</w:t>
            </w:r>
            <w:r>
              <w:rPr>
                <w:rFonts w:hint="cs"/>
                <w:sz w:val="26"/>
                <w:rtl/>
              </w:rPr>
              <w:t xml:space="preserve"> הפנייה</w:t>
            </w:r>
            <w:r>
              <w:rPr>
                <w:sz w:val="26"/>
                <w:rtl/>
              </w:rPr>
              <w:t xml:space="preserve"> ודחיפות מצבו הקליני של הפונה</w:t>
            </w:r>
            <w:r>
              <w:rPr>
                <w:rFonts w:hint="cs"/>
                <w:sz w:val="26"/>
                <w:rtl/>
              </w:rPr>
              <w:t>;</w:t>
            </w:r>
            <w:r>
              <w:rPr>
                <w:sz w:val="26"/>
                <w:rtl/>
              </w:rPr>
              <w:t xml:space="preserve"> בתום הפגישה יחליט הכונן אם להפנות את המטופל למיון או אשפוז או להשאירו בתחנה במסגרת אמבולטורית להמשך טיפול דחוף או להפנותו להמשך טיפול רגיל.</w:t>
            </w:r>
          </w:p>
        </w:tc>
      </w:tr>
      <w:tr w:rsidR="00D5759E" w14:paraId="0AF24FF9" w14:textId="77777777" w:rsidTr="00CC7A10">
        <w:trPr>
          <w:cantSplit/>
        </w:trPr>
        <w:tc>
          <w:tcPr>
            <w:tcW w:w="1870" w:type="dxa"/>
            <w:tcBorders>
              <w:top w:val="nil"/>
              <w:left w:val="nil"/>
              <w:bottom w:val="nil"/>
              <w:right w:val="nil"/>
            </w:tcBorders>
          </w:tcPr>
          <w:p w14:paraId="6D9598C7" w14:textId="77777777" w:rsidR="00D5759E" w:rsidRDefault="00D5759E" w:rsidP="00C05066">
            <w:pPr>
              <w:pStyle w:val="TableSideHeading"/>
            </w:pPr>
            <w:r>
              <w:rPr>
                <w:sz w:val="26"/>
                <w:rtl/>
              </w:rPr>
              <w:t>פנייה רגילה</w:t>
            </w:r>
          </w:p>
        </w:tc>
        <w:tc>
          <w:tcPr>
            <w:tcW w:w="624" w:type="dxa"/>
            <w:tcBorders>
              <w:top w:val="nil"/>
              <w:left w:val="nil"/>
              <w:bottom w:val="nil"/>
              <w:right w:val="nil"/>
            </w:tcBorders>
          </w:tcPr>
          <w:p w14:paraId="1F12F9CA" w14:textId="77777777" w:rsidR="00D5759E" w:rsidRDefault="00D5759E" w:rsidP="00C05066">
            <w:pPr>
              <w:pStyle w:val="TableText"/>
            </w:pPr>
            <w:r>
              <w:rPr>
                <w:sz w:val="26"/>
                <w:rtl/>
              </w:rPr>
              <w:t>6.</w:t>
            </w:r>
          </w:p>
        </w:tc>
        <w:tc>
          <w:tcPr>
            <w:tcW w:w="7143" w:type="dxa"/>
            <w:gridSpan w:val="2"/>
            <w:tcBorders>
              <w:top w:val="nil"/>
              <w:left w:val="nil"/>
              <w:bottom w:val="nil"/>
              <w:right w:val="nil"/>
            </w:tcBorders>
          </w:tcPr>
          <w:p w14:paraId="360578A6" w14:textId="77777777" w:rsidR="00D5759E" w:rsidRDefault="00D5759E" w:rsidP="00C05066">
            <w:pPr>
              <w:pStyle w:val="TableBlock"/>
            </w:pPr>
            <w:r>
              <w:rPr>
                <w:sz w:val="26"/>
                <w:rtl/>
              </w:rPr>
              <w:t>בלי לגרוע מהאמור בסעיף 5, כל אדם הפונה לתחנה לבריאות הנפש בקהילה, זכאי לבדיקת מיון בתוך חודש ימים, לכל המאוחר, מיום פנייתו.</w:t>
            </w:r>
          </w:p>
        </w:tc>
      </w:tr>
      <w:tr w:rsidR="00D5759E" w14:paraId="1E1DDC35" w14:textId="77777777" w:rsidTr="00CC7A10">
        <w:trPr>
          <w:cantSplit/>
        </w:trPr>
        <w:tc>
          <w:tcPr>
            <w:tcW w:w="1870" w:type="dxa"/>
            <w:tcBorders>
              <w:top w:val="nil"/>
              <w:left w:val="nil"/>
              <w:bottom w:val="nil"/>
              <w:right w:val="nil"/>
            </w:tcBorders>
          </w:tcPr>
          <w:p w14:paraId="0CF2CADE" w14:textId="77777777" w:rsidR="00D5759E" w:rsidRDefault="00D5759E" w:rsidP="00C05066">
            <w:pPr>
              <w:pStyle w:val="TableSideHeading"/>
              <w:rPr>
                <w:sz w:val="26"/>
                <w:rtl/>
              </w:rPr>
            </w:pPr>
            <w:r>
              <w:rPr>
                <w:sz w:val="26"/>
                <w:rtl/>
              </w:rPr>
              <w:lastRenderedPageBreak/>
              <w:t>צוות הקבלה</w:t>
            </w:r>
          </w:p>
        </w:tc>
        <w:tc>
          <w:tcPr>
            <w:tcW w:w="624" w:type="dxa"/>
            <w:tcBorders>
              <w:top w:val="nil"/>
              <w:left w:val="nil"/>
              <w:bottom w:val="nil"/>
              <w:right w:val="nil"/>
            </w:tcBorders>
          </w:tcPr>
          <w:p w14:paraId="595D5E18" w14:textId="77777777" w:rsidR="00D5759E" w:rsidRDefault="00D5759E" w:rsidP="00C05066">
            <w:pPr>
              <w:pStyle w:val="TableText"/>
              <w:rPr>
                <w:sz w:val="26"/>
                <w:rtl/>
              </w:rPr>
            </w:pPr>
            <w:r>
              <w:rPr>
                <w:sz w:val="26"/>
                <w:rtl/>
              </w:rPr>
              <w:t>7.</w:t>
            </w:r>
          </w:p>
        </w:tc>
        <w:tc>
          <w:tcPr>
            <w:tcW w:w="7143" w:type="dxa"/>
            <w:gridSpan w:val="2"/>
            <w:tcBorders>
              <w:top w:val="nil"/>
              <w:left w:val="nil"/>
              <w:bottom w:val="nil"/>
              <w:right w:val="nil"/>
            </w:tcBorders>
          </w:tcPr>
          <w:p w14:paraId="6DEFA871" w14:textId="77777777" w:rsidR="00D5759E" w:rsidRDefault="00D5759E" w:rsidP="00C05066">
            <w:pPr>
              <w:pStyle w:val="TableBlock"/>
              <w:rPr>
                <w:sz w:val="26"/>
                <w:rtl/>
              </w:rPr>
            </w:pPr>
            <w:r>
              <w:rPr>
                <w:sz w:val="26"/>
                <w:rtl/>
              </w:rPr>
              <w:t>צוות הקבלה יגבש את האבחנה ואת תכנית הטיפול המוצעת בתחנה או את הצורך בהפניה לגורמי טיפול אחרים והכל בהסתמך על תהליך הבדיקה והאבחון שבוצע על ידו.</w:t>
            </w:r>
          </w:p>
        </w:tc>
      </w:tr>
      <w:tr w:rsidR="00D5759E" w14:paraId="13B4FDB5" w14:textId="77777777" w:rsidTr="00CC7A10">
        <w:trPr>
          <w:cantSplit/>
        </w:trPr>
        <w:tc>
          <w:tcPr>
            <w:tcW w:w="1870" w:type="dxa"/>
            <w:tcBorders>
              <w:top w:val="nil"/>
              <w:left w:val="nil"/>
              <w:bottom w:val="nil"/>
              <w:right w:val="nil"/>
            </w:tcBorders>
          </w:tcPr>
          <w:p w14:paraId="7A95991E" w14:textId="77777777" w:rsidR="00D5759E" w:rsidRDefault="00D5759E" w:rsidP="00C05066">
            <w:pPr>
              <w:pStyle w:val="TableSideHeading"/>
              <w:rPr>
                <w:i/>
                <w:iCs/>
                <w:sz w:val="26"/>
                <w:rtl/>
              </w:rPr>
            </w:pPr>
            <w:r>
              <w:rPr>
                <w:sz w:val="26"/>
                <w:rtl/>
              </w:rPr>
              <w:t>אורך הטיפול</w:t>
            </w:r>
          </w:p>
        </w:tc>
        <w:tc>
          <w:tcPr>
            <w:tcW w:w="624" w:type="dxa"/>
            <w:tcBorders>
              <w:top w:val="nil"/>
              <w:left w:val="nil"/>
              <w:bottom w:val="nil"/>
              <w:right w:val="nil"/>
            </w:tcBorders>
          </w:tcPr>
          <w:p w14:paraId="5820191F" w14:textId="77777777" w:rsidR="00D5759E" w:rsidRDefault="00D5759E" w:rsidP="00C05066">
            <w:pPr>
              <w:pStyle w:val="TableText"/>
            </w:pPr>
            <w:r>
              <w:rPr>
                <w:sz w:val="26"/>
                <w:rtl/>
              </w:rPr>
              <w:t>8.</w:t>
            </w:r>
          </w:p>
        </w:tc>
        <w:tc>
          <w:tcPr>
            <w:tcW w:w="7143" w:type="dxa"/>
            <w:gridSpan w:val="2"/>
            <w:tcBorders>
              <w:top w:val="nil"/>
              <w:left w:val="nil"/>
              <w:bottom w:val="nil"/>
              <w:right w:val="nil"/>
            </w:tcBorders>
          </w:tcPr>
          <w:p w14:paraId="6270929A" w14:textId="77777777" w:rsidR="00D5759E" w:rsidRDefault="00D5759E" w:rsidP="00C05066">
            <w:pPr>
              <w:pStyle w:val="TableBlock"/>
            </w:pPr>
            <w:r>
              <w:rPr>
                <w:sz w:val="26"/>
                <w:rtl/>
              </w:rPr>
              <w:t>(א)</w:t>
            </w:r>
            <w:r>
              <w:rPr>
                <w:sz w:val="26"/>
                <w:rtl/>
              </w:rPr>
              <w:tab/>
              <w:t>צוות הקבלה יחליט בדבר שיבוץ הפונה, וסוג הטיפול הדרוש כמפורט בסעיף 9, בהסתמך על אופי המקרה, כפי שניתן להתרשם בעת קבלת ההחלטה, סוג ההתערבות הטיפולית המומלצת, דחיפותו של הטיפול והיצע המטפלים הזמין לעניין באותה העת.</w:t>
            </w:r>
          </w:p>
        </w:tc>
      </w:tr>
      <w:tr w:rsidR="00D5759E" w14:paraId="4806EEF2" w14:textId="77777777" w:rsidTr="00CC7A10">
        <w:trPr>
          <w:cantSplit/>
        </w:trPr>
        <w:tc>
          <w:tcPr>
            <w:tcW w:w="1870" w:type="dxa"/>
            <w:tcBorders>
              <w:top w:val="nil"/>
              <w:left w:val="nil"/>
              <w:bottom w:val="nil"/>
              <w:right w:val="nil"/>
            </w:tcBorders>
          </w:tcPr>
          <w:p w14:paraId="2175C17A" w14:textId="77777777" w:rsidR="00D5759E" w:rsidRDefault="00D5759E" w:rsidP="00C05066">
            <w:pPr>
              <w:pStyle w:val="TableSideHeading"/>
              <w:rPr>
                <w:sz w:val="26"/>
                <w:rtl/>
              </w:rPr>
            </w:pPr>
          </w:p>
        </w:tc>
        <w:tc>
          <w:tcPr>
            <w:tcW w:w="624" w:type="dxa"/>
            <w:tcBorders>
              <w:top w:val="nil"/>
              <w:left w:val="nil"/>
              <w:bottom w:val="nil"/>
              <w:right w:val="nil"/>
            </w:tcBorders>
          </w:tcPr>
          <w:p w14:paraId="3D8C2C0E" w14:textId="77777777" w:rsidR="00D5759E" w:rsidRDefault="00D5759E" w:rsidP="00C05066">
            <w:pPr>
              <w:pStyle w:val="TableText"/>
            </w:pPr>
          </w:p>
        </w:tc>
        <w:tc>
          <w:tcPr>
            <w:tcW w:w="7143" w:type="dxa"/>
            <w:gridSpan w:val="2"/>
            <w:tcBorders>
              <w:top w:val="nil"/>
              <w:left w:val="nil"/>
              <w:bottom w:val="nil"/>
              <w:right w:val="nil"/>
            </w:tcBorders>
          </w:tcPr>
          <w:p w14:paraId="4582DA8B" w14:textId="77777777" w:rsidR="00D5759E" w:rsidRDefault="00D5759E" w:rsidP="00C05066">
            <w:pPr>
              <w:pStyle w:val="TableBlock"/>
              <w:rPr>
                <w:sz w:val="26"/>
                <w:rtl/>
              </w:rPr>
            </w:pPr>
            <w:r>
              <w:rPr>
                <w:sz w:val="26"/>
                <w:rtl/>
              </w:rPr>
              <w:t>(ב)</w:t>
            </w:r>
            <w:r>
              <w:rPr>
                <w:sz w:val="26"/>
                <w:rtl/>
              </w:rPr>
              <w:tab/>
              <w:t>צוות הקבלה ימסור לפונה את ההחלטה בכל הנוגע לטיפול בו, בהתאם להתרשמות בעת קבלת ההחלטה, וזאת לא יאוחר משבעה ימים מיום קבלת ההחלטה; החלטה בדבר עניינו של קטין תימסר להוריו.</w:t>
            </w:r>
          </w:p>
        </w:tc>
      </w:tr>
      <w:tr w:rsidR="00D5759E" w14:paraId="04781BDE" w14:textId="77777777" w:rsidTr="00CC7A10">
        <w:trPr>
          <w:cantSplit/>
        </w:trPr>
        <w:tc>
          <w:tcPr>
            <w:tcW w:w="1870" w:type="dxa"/>
            <w:tcBorders>
              <w:top w:val="nil"/>
              <w:left w:val="nil"/>
              <w:bottom w:val="nil"/>
              <w:right w:val="nil"/>
            </w:tcBorders>
          </w:tcPr>
          <w:p w14:paraId="4D099BB2" w14:textId="77777777" w:rsidR="00D5759E" w:rsidRDefault="00D5759E" w:rsidP="00C05066">
            <w:pPr>
              <w:pStyle w:val="TableSideHeading"/>
              <w:rPr>
                <w:sz w:val="26"/>
                <w:rtl/>
              </w:rPr>
            </w:pPr>
          </w:p>
        </w:tc>
        <w:tc>
          <w:tcPr>
            <w:tcW w:w="624" w:type="dxa"/>
            <w:tcBorders>
              <w:top w:val="nil"/>
              <w:left w:val="nil"/>
              <w:bottom w:val="nil"/>
              <w:right w:val="nil"/>
            </w:tcBorders>
          </w:tcPr>
          <w:p w14:paraId="04A6D715" w14:textId="77777777" w:rsidR="00D5759E" w:rsidRDefault="00D5759E" w:rsidP="00C05066">
            <w:pPr>
              <w:pStyle w:val="TableText"/>
            </w:pPr>
          </w:p>
        </w:tc>
        <w:tc>
          <w:tcPr>
            <w:tcW w:w="7143" w:type="dxa"/>
            <w:gridSpan w:val="2"/>
            <w:tcBorders>
              <w:top w:val="nil"/>
              <w:left w:val="nil"/>
              <w:bottom w:val="nil"/>
              <w:right w:val="nil"/>
            </w:tcBorders>
          </w:tcPr>
          <w:p w14:paraId="0F95E4D3" w14:textId="77777777" w:rsidR="00D5759E" w:rsidRDefault="00D5759E" w:rsidP="00C05066">
            <w:pPr>
              <w:pStyle w:val="TableBlock"/>
              <w:rPr>
                <w:sz w:val="26"/>
                <w:rtl/>
              </w:rPr>
            </w:pPr>
            <w:r>
              <w:rPr>
                <w:sz w:val="26"/>
                <w:rtl/>
              </w:rPr>
              <w:t>(ג)</w:t>
            </w:r>
            <w:r>
              <w:rPr>
                <w:sz w:val="26"/>
                <w:rtl/>
              </w:rPr>
              <w:tab/>
              <w:t>צוות הקבלה יקבע את אורכו של הטיפול בהתאם לקריטריונים אלה:</w:t>
            </w:r>
          </w:p>
        </w:tc>
      </w:tr>
      <w:tr w:rsidR="00D5759E" w14:paraId="494BAF86" w14:textId="77777777" w:rsidTr="00CC7A10">
        <w:trPr>
          <w:cantSplit/>
        </w:trPr>
        <w:tc>
          <w:tcPr>
            <w:tcW w:w="1870" w:type="dxa"/>
            <w:tcBorders>
              <w:top w:val="nil"/>
              <w:left w:val="nil"/>
              <w:bottom w:val="nil"/>
              <w:right w:val="nil"/>
            </w:tcBorders>
          </w:tcPr>
          <w:p w14:paraId="0ED1C362" w14:textId="77777777" w:rsidR="00D5759E" w:rsidRDefault="00D5759E" w:rsidP="00C05066">
            <w:pPr>
              <w:pStyle w:val="TableSideHeading"/>
            </w:pPr>
          </w:p>
        </w:tc>
        <w:tc>
          <w:tcPr>
            <w:tcW w:w="624" w:type="dxa"/>
            <w:tcBorders>
              <w:top w:val="nil"/>
              <w:left w:val="nil"/>
              <w:bottom w:val="nil"/>
              <w:right w:val="nil"/>
            </w:tcBorders>
          </w:tcPr>
          <w:p w14:paraId="20412EC4" w14:textId="77777777" w:rsidR="00D5759E" w:rsidRDefault="00D5759E" w:rsidP="00C05066">
            <w:pPr>
              <w:pStyle w:val="TableText"/>
            </w:pPr>
          </w:p>
        </w:tc>
        <w:tc>
          <w:tcPr>
            <w:tcW w:w="624" w:type="dxa"/>
            <w:tcBorders>
              <w:top w:val="nil"/>
              <w:left w:val="nil"/>
              <w:bottom w:val="nil"/>
              <w:right w:val="nil"/>
            </w:tcBorders>
          </w:tcPr>
          <w:p w14:paraId="7FABD676" w14:textId="77777777" w:rsidR="00D5759E" w:rsidRDefault="00D5759E" w:rsidP="00C05066">
            <w:pPr>
              <w:pStyle w:val="TableText"/>
            </w:pPr>
          </w:p>
        </w:tc>
        <w:tc>
          <w:tcPr>
            <w:tcW w:w="6519" w:type="dxa"/>
            <w:tcBorders>
              <w:top w:val="nil"/>
              <w:left w:val="nil"/>
              <w:bottom w:val="nil"/>
              <w:right w:val="nil"/>
            </w:tcBorders>
          </w:tcPr>
          <w:p w14:paraId="7E4F7515" w14:textId="77777777" w:rsidR="00D5759E" w:rsidRDefault="00D5759E" w:rsidP="00C05066">
            <w:pPr>
              <w:pStyle w:val="TableBlock"/>
            </w:pPr>
            <w:r>
              <w:rPr>
                <w:sz w:val="26"/>
                <w:rtl/>
              </w:rPr>
              <w:t>(1)</w:t>
            </w:r>
            <w:r>
              <w:rPr>
                <w:sz w:val="26"/>
                <w:rtl/>
              </w:rPr>
              <w:tab/>
              <w:t>התערבות במשבר – טיפול מיידי, אשר לא יפחת מ-8 פגישות ולא יעלה על 16 פגישות, בהתאם להערכת הגורם המטפל;</w:t>
            </w:r>
          </w:p>
        </w:tc>
      </w:tr>
      <w:tr w:rsidR="00D5759E" w14:paraId="7233D07E" w14:textId="77777777" w:rsidTr="00CC7A10">
        <w:trPr>
          <w:cantSplit/>
        </w:trPr>
        <w:tc>
          <w:tcPr>
            <w:tcW w:w="1870" w:type="dxa"/>
            <w:tcBorders>
              <w:top w:val="nil"/>
              <w:left w:val="nil"/>
              <w:bottom w:val="nil"/>
              <w:right w:val="nil"/>
            </w:tcBorders>
          </w:tcPr>
          <w:p w14:paraId="77997C1F" w14:textId="77777777" w:rsidR="00D5759E" w:rsidRDefault="00D5759E" w:rsidP="00C05066">
            <w:pPr>
              <w:pStyle w:val="TableSideHeading"/>
            </w:pPr>
          </w:p>
        </w:tc>
        <w:tc>
          <w:tcPr>
            <w:tcW w:w="624" w:type="dxa"/>
            <w:tcBorders>
              <w:top w:val="nil"/>
              <w:left w:val="nil"/>
              <w:bottom w:val="nil"/>
              <w:right w:val="nil"/>
            </w:tcBorders>
          </w:tcPr>
          <w:p w14:paraId="563BA64C" w14:textId="77777777" w:rsidR="00D5759E" w:rsidRDefault="00D5759E" w:rsidP="00C05066">
            <w:pPr>
              <w:pStyle w:val="TableText"/>
            </w:pPr>
          </w:p>
        </w:tc>
        <w:tc>
          <w:tcPr>
            <w:tcW w:w="624" w:type="dxa"/>
            <w:tcBorders>
              <w:top w:val="nil"/>
              <w:left w:val="nil"/>
              <w:bottom w:val="nil"/>
              <w:right w:val="nil"/>
            </w:tcBorders>
          </w:tcPr>
          <w:p w14:paraId="4967A752" w14:textId="77777777" w:rsidR="00D5759E" w:rsidRDefault="00D5759E" w:rsidP="00C05066">
            <w:pPr>
              <w:pStyle w:val="TableText"/>
            </w:pPr>
          </w:p>
        </w:tc>
        <w:tc>
          <w:tcPr>
            <w:tcW w:w="6519" w:type="dxa"/>
            <w:tcBorders>
              <w:top w:val="nil"/>
              <w:left w:val="nil"/>
              <w:bottom w:val="nil"/>
              <w:right w:val="nil"/>
            </w:tcBorders>
          </w:tcPr>
          <w:p w14:paraId="288ADC57" w14:textId="77777777" w:rsidR="00D5759E" w:rsidRDefault="00D5759E" w:rsidP="00C05066">
            <w:pPr>
              <w:pStyle w:val="TableBlock"/>
            </w:pPr>
            <w:r>
              <w:rPr>
                <w:sz w:val="26"/>
                <w:rtl/>
              </w:rPr>
              <w:t>(2)</w:t>
            </w:r>
            <w:r>
              <w:rPr>
                <w:sz w:val="26"/>
                <w:rtl/>
              </w:rPr>
              <w:tab/>
              <w:t>טיפול קצר מועד – עד שישה חודשים לכל היותר;</w:t>
            </w:r>
          </w:p>
        </w:tc>
      </w:tr>
      <w:tr w:rsidR="00D5759E" w14:paraId="0ABE623D" w14:textId="77777777" w:rsidTr="00CC7A10">
        <w:trPr>
          <w:cantSplit/>
        </w:trPr>
        <w:tc>
          <w:tcPr>
            <w:tcW w:w="1870" w:type="dxa"/>
            <w:tcBorders>
              <w:top w:val="nil"/>
              <w:left w:val="nil"/>
              <w:bottom w:val="nil"/>
              <w:right w:val="nil"/>
            </w:tcBorders>
          </w:tcPr>
          <w:p w14:paraId="48D25846" w14:textId="77777777" w:rsidR="00D5759E" w:rsidRDefault="00D5759E" w:rsidP="00C05066">
            <w:pPr>
              <w:pStyle w:val="TableSideHeading"/>
            </w:pPr>
          </w:p>
        </w:tc>
        <w:tc>
          <w:tcPr>
            <w:tcW w:w="624" w:type="dxa"/>
            <w:tcBorders>
              <w:top w:val="nil"/>
              <w:left w:val="nil"/>
              <w:bottom w:val="nil"/>
              <w:right w:val="nil"/>
            </w:tcBorders>
          </w:tcPr>
          <w:p w14:paraId="489161DA" w14:textId="77777777" w:rsidR="00D5759E" w:rsidRDefault="00D5759E" w:rsidP="00C05066">
            <w:pPr>
              <w:pStyle w:val="TableText"/>
            </w:pPr>
          </w:p>
        </w:tc>
        <w:tc>
          <w:tcPr>
            <w:tcW w:w="624" w:type="dxa"/>
            <w:tcBorders>
              <w:top w:val="nil"/>
              <w:left w:val="nil"/>
              <w:bottom w:val="nil"/>
              <w:right w:val="nil"/>
            </w:tcBorders>
          </w:tcPr>
          <w:p w14:paraId="0C63BBAB" w14:textId="77777777" w:rsidR="00D5759E" w:rsidRDefault="00D5759E" w:rsidP="00C05066">
            <w:pPr>
              <w:pStyle w:val="TableText"/>
            </w:pPr>
          </w:p>
        </w:tc>
        <w:tc>
          <w:tcPr>
            <w:tcW w:w="6519" w:type="dxa"/>
            <w:tcBorders>
              <w:top w:val="nil"/>
              <w:left w:val="nil"/>
              <w:bottom w:val="nil"/>
              <w:right w:val="nil"/>
            </w:tcBorders>
          </w:tcPr>
          <w:p w14:paraId="69234FEF" w14:textId="77777777" w:rsidR="00D5759E" w:rsidRDefault="00D5759E" w:rsidP="00C05066">
            <w:pPr>
              <w:pStyle w:val="TableBlock"/>
            </w:pPr>
            <w:r>
              <w:rPr>
                <w:sz w:val="26"/>
                <w:rtl/>
              </w:rPr>
              <w:t>(3)</w:t>
            </w:r>
            <w:r>
              <w:rPr>
                <w:sz w:val="26"/>
                <w:rtl/>
              </w:rPr>
              <w:tab/>
              <w:t>טיפול בעל אורך ממוצע – עד שנה לכל היותר;</w:t>
            </w:r>
          </w:p>
        </w:tc>
      </w:tr>
      <w:tr w:rsidR="00D5759E" w14:paraId="304B74AE" w14:textId="77777777" w:rsidTr="00CC7A10">
        <w:trPr>
          <w:cantSplit/>
        </w:trPr>
        <w:tc>
          <w:tcPr>
            <w:tcW w:w="1870" w:type="dxa"/>
            <w:tcBorders>
              <w:top w:val="nil"/>
              <w:left w:val="nil"/>
              <w:bottom w:val="nil"/>
              <w:right w:val="nil"/>
            </w:tcBorders>
          </w:tcPr>
          <w:p w14:paraId="44CB6C8A" w14:textId="77777777" w:rsidR="00D5759E" w:rsidRDefault="00D5759E" w:rsidP="00C05066">
            <w:pPr>
              <w:pStyle w:val="TableSideHeading"/>
            </w:pPr>
          </w:p>
        </w:tc>
        <w:tc>
          <w:tcPr>
            <w:tcW w:w="624" w:type="dxa"/>
            <w:tcBorders>
              <w:top w:val="nil"/>
              <w:left w:val="nil"/>
              <w:bottom w:val="nil"/>
              <w:right w:val="nil"/>
            </w:tcBorders>
          </w:tcPr>
          <w:p w14:paraId="4B0FD4AE" w14:textId="77777777" w:rsidR="00D5759E" w:rsidRDefault="00D5759E" w:rsidP="00C05066">
            <w:pPr>
              <w:pStyle w:val="TableText"/>
            </w:pPr>
          </w:p>
        </w:tc>
        <w:tc>
          <w:tcPr>
            <w:tcW w:w="624" w:type="dxa"/>
            <w:tcBorders>
              <w:top w:val="nil"/>
              <w:left w:val="nil"/>
              <w:bottom w:val="nil"/>
              <w:right w:val="nil"/>
            </w:tcBorders>
          </w:tcPr>
          <w:p w14:paraId="395EFC4A" w14:textId="77777777" w:rsidR="00D5759E" w:rsidRDefault="00D5759E" w:rsidP="00C05066">
            <w:pPr>
              <w:pStyle w:val="TableText"/>
            </w:pPr>
          </w:p>
        </w:tc>
        <w:tc>
          <w:tcPr>
            <w:tcW w:w="6519" w:type="dxa"/>
            <w:tcBorders>
              <w:top w:val="nil"/>
              <w:left w:val="nil"/>
              <w:bottom w:val="nil"/>
              <w:right w:val="nil"/>
            </w:tcBorders>
          </w:tcPr>
          <w:p w14:paraId="0C017E00" w14:textId="77777777" w:rsidR="00D5759E" w:rsidRDefault="00D5759E" w:rsidP="00C05066">
            <w:pPr>
              <w:pStyle w:val="TableBlock"/>
            </w:pPr>
            <w:r>
              <w:rPr>
                <w:sz w:val="26"/>
                <w:rtl/>
              </w:rPr>
              <w:t>(4)</w:t>
            </w:r>
            <w:r>
              <w:rPr>
                <w:sz w:val="26"/>
                <w:rtl/>
              </w:rPr>
              <w:tab/>
              <w:t>טיפול ארוך – טיפול הנמשך למעלה משנה, בהתאם לצרכים הפרטניים של המטופל.</w:t>
            </w:r>
          </w:p>
        </w:tc>
      </w:tr>
      <w:tr w:rsidR="00D5759E" w14:paraId="1FDCB9B0" w14:textId="77777777" w:rsidTr="00CC7A10">
        <w:trPr>
          <w:cantSplit/>
        </w:trPr>
        <w:tc>
          <w:tcPr>
            <w:tcW w:w="1870" w:type="dxa"/>
            <w:tcBorders>
              <w:top w:val="nil"/>
              <w:left w:val="nil"/>
              <w:bottom w:val="nil"/>
              <w:right w:val="nil"/>
            </w:tcBorders>
          </w:tcPr>
          <w:p w14:paraId="59C81745" w14:textId="77777777" w:rsidR="00D5759E" w:rsidRDefault="00D5759E" w:rsidP="00C05066">
            <w:pPr>
              <w:pStyle w:val="TableSideHeading"/>
              <w:rPr>
                <w:sz w:val="26"/>
                <w:rtl/>
              </w:rPr>
            </w:pPr>
          </w:p>
        </w:tc>
        <w:tc>
          <w:tcPr>
            <w:tcW w:w="624" w:type="dxa"/>
            <w:tcBorders>
              <w:top w:val="nil"/>
              <w:left w:val="nil"/>
              <w:bottom w:val="nil"/>
              <w:right w:val="nil"/>
            </w:tcBorders>
          </w:tcPr>
          <w:p w14:paraId="6C3186A8" w14:textId="77777777" w:rsidR="00D5759E" w:rsidRDefault="00D5759E" w:rsidP="00C05066">
            <w:pPr>
              <w:pStyle w:val="TableText"/>
              <w:rPr>
                <w:sz w:val="26"/>
                <w:rtl/>
              </w:rPr>
            </w:pPr>
          </w:p>
        </w:tc>
        <w:tc>
          <w:tcPr>
            <w:tcW w:w="7143" w:type="dxa"/>
            <w:gridSpan w:val="2"/>
            <w:tcBorders>
              <w:top w:val="nil"/>
              <w:left w:val="nil"/>
              <w:bottom w:val="nil"/>
              <w:right w:val="nil"/>
            </w:tcBorders>
          </w:tcPr>
          <w:p w14:paraId="4307DE02" w14:textId="77777777" w:rsidR="00D5759E" w:rsidRDefault="00D5759E" w:rsidP="00C05066">
            <w:pPr>
              <w:pStyle w:val="TableBlock"/>
              <w:rPr>
                <w:sz w:val="26"/>
                <w:rtl/>
              </w:rPr>
            </w:pPr>
            <w:r>
              <w:rPr>
                <w:sz w:val="26"/>
                <w:rtl/>
              </w:rPr>
              <w:t>(ד)</w:t>
            </w:r>
            <w:r>
              <w:rPr>
                <w:sz w:val="26"/>
                <w:rtl/>
              </w:rPr>
              <w:tab/>
              <w:t xml:space="preserve">במהלך או בתום התקופה שנקבעה, על פי העניין כאמור, </w:t>
            </w:r>
            <w:r>
              <w:rPr>
                <w:rFonts w:hint="cs"/>
                <w:sz w:val="26"/>
                <w:rtl/>
              </w:rPr>
              <w:t>אם</w:t>
            </w:r>
            <w:r>
              <w:rPr>
                <w:sz w:val="26"/>
                <w:rtl/>
              </w:rPr>
              <w:t xml:space="preserve"> להערכת הצוות המטפל קיים צורך בשינוי ההחלטה בדבר אורך או סוג הטיפול, יעביר הצוות המטפל את חוות דעתו בעניין זה לגורם האחראי לנושא בתחנה והוא רשאי לשנות את סוג או את אורך הטיפול.</w:t>
            </w:r>
          </w:p>
        </w:tc>
      </w:tr>
      <w:tr w:rsidR="00D5759E" w14:paraId="663486F5" w14:textId="77777777" w:rsidTr="00CC7A10">
        <w:trPr>
          <w:cantSplit/>
        </w:trPr>
        <w:tc>
          <w:tcPr>
            <w:tcW w:w="1870" w:type="dxa"/>
            <w:tcBorders>
              <w:top w:val="nil"/>
              <w:left w:val="nil"/>
              <w:bottom w:val="nil"/>
              <w:right w:val="nil"/>
            </w:tcBorders>
          </w:tcPr>
          <w:p w14:paraId="71CC48EF" w14:textId="77777777" w:rsidR="00D5759E" w:rsidRDefault="00D5759E" w:rsidP="00C05066">
            <w:pPr>
              <w:pStyle w:val="TableSideHeading"/>
              <w:rPr>
                <w:sz w:val="26"/>
                <w:rtl/>
              </w:rPr>
            </w:pPr>
            <w:r>
              <w:rPr>
                <w:sz w:val="26"/>
                <w:rtl/>
              </w:rPr>
              <w:t>סוגי הטיפול</w:t>
            </w:r>
          </w:p>
        </w:tc>
        <w:tc>
          <w:tcPr>
            <w:tcW w:w="624" w:type="dxa"/>
            <w:tcBorders>
              <w:top w:val="nil"/>
              <w:left w:val="nil"/>
              <w:bottom w:val="nil"/>
              <w:right w:val="nil"/>
            </w:tcBorders>
          </w:tcPr>
          <w:p w14:paraId="4516FB46" w14:textId="77777777" w:rsidR="00D5759E" w:rsidRDefault="00D5759E" w:rsidP="00C05066">
            <w:pPr>
              <w:pStyle w:val="TableText"/>
            </w:pPr>
            <w:r>
              <w:rPr>
                <w:sz w:val="26"/>
                <w:rtl/>
              </w:rPr>
              <w:t>9.</w:t>
            </w:r>
          </w:p>
        </w:tc>
        <w:tc>
          <w:tcPr>
            <w:tcW w:w="7143" w:type="dxa"/>
            <w:gridSpan w:val="2"/>
            <w:tcBorders>
              <w:top w:val="nil"/>
              <w:left w:val="nil"/>
              <w:bottom w:val="nil"/>
              <w:right w:val="nil"/>
            </w:tcBorders>
          </w:tcPr>
          <w:p w14:paraId="1DB28F6A" w14:textId="77777777" w:rsidR="00D5759E" w:rsidRDefault="00D5759E" w:rsidP="00C05066">
            <w:pPr>
              <w:pStyle w:val="TableBlock"/>
            </w:pPr>
            <w:r>
              <w:rPr>
                <w:sz w:val="26"/>
                <w:rtl/>
              </w:rPr>
              <w:t>(א)</w:t>
            </w:r>
            <w:r>
              <w:rPr>
                <w:sz w:val="26"/>
                <w:rtl/>
              </w:rPr>
              <w:tab/>
              <w:t>תחנה לבריאות הנפש בקהילה תפעל כיחידה אינטגרטיבית רב מקצועית הכוללת מטפלים מקצועיים עיקריים ומטפלים מקצועיים משניים.</w:t>
            </w:r>
          </w:p>
        </w:tc>
      </w:tr>
      <w:tr w:rsidR="00D5759E" w14:paraId="3EDED178" w14:textId="77777777" w:rsidTr="00CC7A10">
        <w:trPr>
          <w:cantSplit/>
        </w:trPr>
        <w:tc>
          <w:tcPr>
            <w:tcW w:w="1870" w:type="dxa"/>
            <w:tcBorders>
              <w:top w:val="nil"/>
              <w:left w:val="nil"/>
              <w:bottom w:val="nil"/>
              <w:right w:val="nil"/>
            </w:tcBorders>
          </w:tcPr>
          <w:p w14:paraId="082A60B7" w14:textId="77777777" w:rsidR="00D5759E" w:rsidRDefault="00D5759E" w:rsidP="00C05066">
            <w:pPr>
              <w:pStyle w:val="TableSideHeading"/>
              <w:rPr>
                <w:sz w:val="26"/>
                <w:rtl/>
              </w:rPr>
            </w:pPr>
          </w:p>
        </w:tc>
        <w:tc>
          <w:tcPr>
            <w:tcW w:w="624" w:type="dxa"/>
            <w:tcBorders>
              <w:top w:val="nil"/>
              <w:left w:val="nil"/>
              <w:bottom w:val="nil"/>
              <w:right w:val="nil"/>
            </w:tcBorders>
          </w:tcPr>
          <w:p w14:paraId="5CCCFBAF" w14:textId="77777777" w:rsidR="00D5759E" w:rsidRDefault="00D5759E" w:rsidP="00C05066">
            <w:pPr>
              <w:pStyle w:val="TableText"/>
            </w:pPr>
          </w:p>
        </w:tc>
        <w:tc>
          <w:tcPr>
            <w:tcW w:w="7143" w:type="dxa"/>
            <w:gridSpan w:val="2"/>
            <w:tcBorders>
              <w:top w:val="nil"/>
              <w:left w:val="nil"/>
              <w:bottom w:val="nil"/>
              <w:right w:val="nil"/>
            </w:tcBorders>
          </w:tcPr>
          <w:p w14:paraId="3EE0530C" w14:textId="77777777" w:rsidR="00D5759E" w:rsidRDefault="00D5759E" w:rsidP="00C05066">
            <w:pPr>
              <w:pStyle w:val="TableBlock"/>
            </w:pPr>
            <w:r>
              <w:rPr>
                <w:sz w:val="26"/>
                <w:rtl/>
              </w:rPr>
              <w:t>(ב)</w:t>
            </w:r>
            <w:r>
              <w:rPr>
                <w:sz w:val="26"/>
                <w:rtl/>
              </w:rPr>
              <w:tab/>
              <w:t xml:space="preserve">סוגי הטיפולים ניתנים בכל תחנה על פי הצרכים הקיימים בכל עת; הטיפולים שיינתנו במרפאה </w:t>
            </w:r>
            <w:r>
              <w:rPr>
                <w:rFonts w:hint="cs"/>
                <w:sz w:val="26"/>
                <w:rtl/>
              </w:rPr>
              <w:t>יכללו</w:t>
            </w:r>
            <w:r>
              <w:rPr>
                <w:sz w:val="26"/>
                <w:rtl/>
              </w:rPr>
              <w:t>, בין היתר: פסיכותרפיה דינמית, קוגניטיבית או התנהגותית, טיפול תמיכתי, טיפול זוגי, טיפול משפחתי, טיפולים קבוצתיים לאוכלוסיות ייעודיות, טיפול בקשישים, בחולי נפש כרוניים, בנשים בגיל המעבר, טיפול בפוסט טראומה, תמיכה לבני משפחה של חולי נפש ושל אוכלוסיות עם צרכים מיוחדים, מעקב סוציאלי לרבות שיקום תעסוקתי, דיור מוגן, סל שיקום, טיפול יום, אבחון הערכה וטיפול תפקודי במישור החברתי-תעסוקתי, אבחון פסיכולוגי ונוירו-פסיכולוגי, טיפול ביחסים בין אישיים, התערבות במשבר, מעקב תרופתי פרטני, טיפול רב מקצועי בהפרעות אכילה, טיפול דיאדי: הורה-ילד, ובמידת האפשר טיפול באומנות ועוד.</w:t>
            </w:r>
          </w:p>
        </w:tc>
      </w:tr>
      <w:tr w:rsidR="00D5759E" w14:paraId="1A794E5F" w14:textId="77777777" w:rsidTr="00CC7A10">
        <w:trPr>
          <w:cantSplit/>
        </w:trPr>
        <w:tc>
          <w:tcPr>
            <w:tcW w:w="1870" w:type="dxa"/>
            <w:tcBorders>
              <w:top w:val="nil"/>
              <w:left w:val="nil"/>
              <w:bottom w:val="nil"/>
              <w:right w:val="nil"/>
            </w:tcBorders>
          </w:tcPr>
          <w:p w14:paraId="0516C7D5" w14:textId="77777777" w:rsidR="00D5759E" w:rsidRDefault="00D5759E" w:rsidP="00C05066">
            <w:pPr>
              <w:pStyle w:val="TableSideHeading"/>
              <w:rPr>
                <w:sz w:val="26"/>
                <w:rtl/>
              </w:rPr>
            </w:pPr>
            <w:r>
              <w:rPr>
                <w:sz w:val="26"/>
                <w:rtl/>
              </w:rPr>
              <w:lastRenderedPageBreak/>
              <w:t>טיפול בקטין</w:t>
            </w:r>
          </w:p>
        </w:tc>
        <w:tc>
          <w:tcPr>
            <w:tcW w:w="624" w:type="dxa"/>
            <w:tcBorders>
              <w:top w:val="nil"/>
              <w:left w:val="nil"/>
              <w:bottom w:val="nil"/>
              <w:right w:val="nil"/>
            </w:tcBorders>
          </w:tcPr>
          <w:p w14:paraId="55FCE4AF" w14:textId="77777777" w:rsidR="00D5759E" w:rsidRDefault="00D5759E" w:rsidP="00C05066">
            <w:pPr>
              <w:pStyle w:val="TableText"/>
            </w:pPr>
            <w:r>
              <w:rPr>
                <w:sz w:val="26"/>
                <w:rtl/>
              </w:rPr>
              <w:t>10.</w:t>
            </w:r>
          </w:p>
        </w:tc>
        <w:tc>
          <w:tcPr>
            <w:tcW w:w="7143" w:type="dxa"/>
            <w:gridSpan w:val="2"/>
            <w:tcBorders>
              <w:top w:val="nil"/>
              <w:left w:val="nil"/>
              <w:bottom w:val="nil"/>
              <w:right w:val="nil"/>
            </w:tcBorders>
          </w:tcPr>
          <w:p w14:paraId="61DDF127" w14:textId="77777777" w:rsidR="00D5759E" w:rsidRDefault="00D5759E" w:rsidP="00C05066">
            <w:pPr>
              <w:pStyle w:val="TableBlock"/>
              <w:rPr>
                <w:sz w:val="26"/>
                <w:rtl/>
              </w:rPr>
            </w:pPr>
            <w:r>
              <w:rPr>
                <w:sz w:val="26"/>
                <w:rtl/>
              </w:rPr>
              <w:t>(א)</w:t>
            </w:r>
            <w:r>
              <w:rPr>
                <w:sz w:val="26"/>
                <w:rtl/>
              </w:rPr>
              <w:tab/>
              <w:t>בפניה לשם מתן טיפול בקטין, יכלול תהליך הבדיקה גם פגישות עם הורי הקטין, ביחד או לחוד על פי שיקול מקצועי של המטפל.</w:t>
            </w:r>
          </w:p>
        </w:tc>
      </w:tr>
      <w:tr w:rsidR="00D5759E" w14:paraId="65B7040C" w14:textId="77777777" w:rsidTr="00CC7A10">
        <w:trPr>
          <w:cantSplit/>
        </w:trPr>
        <w:tc>
          <w:tcPr>
            <w:tcW w:w="1870" w:type="dxa"/>
            <w:tcBorders>
              <w:top w:val="nil"/>
              <w:left w:val="nil"/>
              <w:bottom w:val="nil"/>
              <w:right w:val="nil"/>
            </w:tcBorders>
          </w:tcPr>
          <w:p w14:paraId="3AC046E3" w14:textId="77777777" w:rsidR="00D5759E" w:rsidRDefault="00D5759E" w:rsidP="00C05066">
            <w:pPr>
              <w:pStyle w:val="TableSideHeading"/>
              <w:rPr>
                <w:sz w:val="26"/>
                <w:rtl/>
              </w:rPr>
            </w:pPr>
          </w:p>
        </w:tc>
        <w:tc>
          <w:tcPr>
            <w:tcW w:w="624" w:type="dxa"/>
            <w:tcBorders>
              <w:top w:val="nil"/>
              <w:left w:val="nil"/>
              <w:bottom w:val="nil"/>
              <w:right w:val="nil"/>
            </w:tcBorders>
          </w:tcPr>
          <w:p w14:paraId="7D6C4B07" w14:textId="77777777" w:rsidR="00D5759E" w:rsidRDefault="00D5759E" w:rsidP="00C05066">
            <w:pPr>
              <w:pStyle w:val="TableText"/>
              <w:rPr>
                <w:sz w:val="26"/>
                <w:rtl/>
              </w:rPr>
            </w:pPr>
          </w:p>
        </w:tc>
        <w:tc>
          <w:tcPr>
            <w:tcW w:w="7143" w:type="dxa"/>
            <w:gridSpan w:val="2"/>
            <w:tcBorders>
              <w:top w:val="nil"/>
              <w:left w:val="nil"/>
              <w:bottom w:val="nil"/>
              <w:right w:val="nil"/>
            </w:tcBorders>
          </w:tcPr>
          <w:p w14:paraId="3E874035" w14:textId="77777777" w:rsidR="00D5759E" w:rsidRDefault="00D5759E" w:rsidP="00C05066">
            <w:pPr>
              <w:pStyle w:val="TableBlock"/>
            </w:pPr>
            <w:r>
              <w:rPr>
                <w:sz w:val="26"/>
                <w:rtl/>
              </w:rPr>
              <w:t>(ב)</w:t>
            </w:r>
            <w:r>
              <w:rPr>
                <w:sz w:val="26"/>
                <w:rtl/>
              </w:rPr>
              <w:tab/>
              <w:t>טיפול בקטין יכלול הדרכת הורים אשר תינתן על פי הצורך, לרבות כאשר קיים ספק לגבי המסוגלות ההורית.</w:t>
            </w:r>
          </w:p>
        </w:tc>
      </w:tr>
      <w:tr w:rsidR="00D5759E" w14:paraId="102BF09C" w14:textId="77777777" w:rsidTr="00CC7A10">
        <w:trPr>
          <w:cantSplit/>
        </w:trPr>
        <w:tc>
          <w:tcPr>
            <w:tcW w:w="1870" w:type="dxa"/>
            <w:tcBorders>
              <w:top w:val="nil"/>
              <w:left w:val="nil"/>
              <w:bottom w:val="nil"/>
              <w:right w:val="nil"/>
            </w:tcBorders>
          </w:tcPr>
          <w:p w14:paraId="3923358C" w14:textId="77777777" w:rsidR="00D5759E" w:rsidRDefault="00D5759E" w:rsidP="00C05066">
            <w:pPr>
              <w:pStyle w:val="TableSideHeading"/>
              <w:rPr>
                <w:sz w:val="26"/>
                <w:rtl/>
              </w:rPr>
            </w:pPr>
          </w:p>
        </w:tc>
        <w:tc>
          <w:tcPr>
            <w:tcW w:w="624" w:type="dxa"/>
            <w:tcBorders>
              <w:top w:val="nil"/>
              <w:left w:val="nil"/>
              <w:bottom w:val="nil"/>
              <w:right w:val="nil"/>
            </w:tcBorders>
          </w:tcPr>
          <w:p w14:paraId="16CA1900" w14:textId="77777777" w:rsidR="00D5759E" w:rsidRDefault="00D5759E" w:rsidP="00C05066">
            <w:pPr>
              <w:pStyle w:val="TableText"/>
              <w:rPr>
                <w:sz w:val="26"/>
                <w:rtl/>
              </w:rPr>
            </w:pPr>
          </w:p>
        </w:tc>
        <w:tc>
          <w:tcPr>
            <w:tcW w:w="7143" w:type="dxa"/>
            <w:gridSpan w:val="2"/>
            <w:tcBorders>
              <w:top w:val="nil"/>
              <w:left w:val="nil"/>
              <w:bottom w:val="nil"/>
              <w:right w:val="nil"/>
            </w:tcBorders>
          </w:tcPr>
          <w:p w14:paraId="622DC002" w14:textId="77777777" w:rsidR="00D5759E" w:rsidRDefault="00D5759E" w:rsidP="00C05066">
            <w:pPr>
              <w:pStyle w:val="TableBlock"/>
              <w:rPr>
                <w:sz w:val="26"/>
                <w:rtl/>
              </w:rPr>
            </w:pPr>
            <w:r>
              <w:rPr>
                <w:sz w:val="26"/>
                <w:rtl/>
              </w:rPr>
              <w:t>(ג)</w:t>
            </w:r>
            <w:r>
              <w:rPr>
                <w:sz w:val="26"/>
                <w:rtl/>
              </w:rPr>
              <w:tab/>
              <w:t>בדיקת המיון הנערכת לקטין תכלול גם פגישות עם הורי הקטין; במקרה שבו הורי הקטין גרושים, או שנבצר מהם להיות נוכחים יחדיו, תתאפשר בדיקת המיון עם כל אחד מההורים לחוד בהתאם לנסיבות העניין.</w:t>
            </w:r>
          </w:p>
        </w:tc>
      </w:tr>
      <w:tr w:rsidR="00D5759E" w14:paraId="28C0A905" w14:textId="77777777" w:rsidTr="00CC7A10">
        <w:trPr>
          <w:cantSplit/>
        </w:trPr>
        <w:tc>
          <w:tcPr>
            <w:tcW w:w="1870" w:type="dxa"/>
            <w:tcBorders>
              <w:top w:val="nil"/>
              <w:left w:val="nil"/>
              <w:bottom w:val="nil"/>
              <w:right w:val="nil"/>
            </w:tcBorders>
          </w:tcPr>
          <w:p w14:paraId="00BA4906" w14:textId="77777777" w:rsidR="00D5759E" w:rsidRDefault="00D5759E" w:rsidP="00C05066">
            <w:pPr>
              <w:pStyle w:val="TableSideHeading"/>
              <w:rPr>
                <w:sz w:val="26"/>
                <w:rtl/>
              </w:rPr>
            </w:pPr>
            <w:r>
              <w:rPr>
                <w:sz w:val="26"/>
                <w:rtl/>
              </w:rPr>
              <w:t>טיפול בגיל הרך</w:t>
            </w:r>
          </w:p>
        </w:tc>
        <w:tc>
          <w:tcPr>
            <w:tcW w:w="624" w:type="dxa"/>
            <w:tcBorders>
              <w:top w:val="nil"/>
              <w:left w:val="nil"/>
              <w:bottom w:val="nil"/>
              <w:right w:val="nil"/>
            </w:tcBorders>
          </w:tcPr>
          <w:p w14:paraId="05900F13" w14:textId="77777777" w:rsidR="00D5759E" w:rsidRDefault="00D5759E" w:rsidP="00C05066">
            <w:pPr>
              <w:pStyle w:val="TableText"/>
            </w:pPr>
            <w:r>
              <w:rPr>
                <w:sz w:val="26"/>
                <w:rtl/>
              </w:rPr>
              <w:t>11.</w:t>
            </w:r>
          </w:p>
        </w:tc>
        <w:tc>
          <w:tcPr>
            <w:tcW w:w="7143" w:type="dxa"/>
            <w:gridSpan w:val="2"/>
            <w:tcBorders>
              <w:top w:val="nil"/>
              <w:left w:val="nil"/>
              <w:bottom w:val="nil"/>
              <w:right w:val="nil"/>
            </w:tcBorders>
          </w:tcPr>
          <w:p w14:paraId="029EFF9C" w14:textId="77777777" w:rsidR="00D5759E" w:rsidRDefault="00D5759E" w:rsidP="00C05066">
            <w:pPr>
              <w:pStyle w:val="TableBlock"/>
            </w:pPr>
            <w:r>
              <w:rPr>
                <w:sz w:val="26"/>
                <w:rtl/>
              </w:rPr>
              <w:t>(א)</w:t>
            </w:r>
            <w:r>
              <w:rPr>
                <w:sz w:val="26"/>
                <w:rtl/>
              </w:rPr>
              <w:tab/>
              <w:t>משרד הבריאות יקצה לכל תחנה או אזור</w:t>
            </w:r>
            <w:r>
              <w:rPr>
                <w:i/>
                <w:iCs/>
                <w:sz w:val="26"/>
                <w:rtl/>
              </w:rPr>
              <w:t>,</w:t>
            </w:r>
            <w:r>
              <w:rPr>
                <w:sz w:val="26"/>
                <w:rtl/>
              </w:rPr>
              <w:t xml:space="preserve"> צוות טיפולי מיוחד המומחה בגיל הרך, אשר יפעל בשיתוף פעולה עם המרכזים להתפתחות הילד, עם התחנות לאם ולילד של משרד הבריאות, שירותי הרווחה </w:t>
            </w:r>
            <w:r>
              <w:rPr>
                <w:rFonts w:hint="cs"/>
                <w:sz w:val="26"/>
                <w:rtl/>
              </w:rPr>
              <w:t>ו</w:t>
            </w:r>
            <w:r>
              <w:rPr>
                <w:sz w:val="26"/>
                <w:rtl/>
              </w:rPr>
              <w:t>מעונות היום של ארגוני הנשים באזור, לצורך איתור קבוצת הילדים בגיל הרך הסובלים מבעיות וקשיים מיוחדים בהתפתחות, בהתנהגות ובלמידה, או הנמצאים בסיכון לפיתוח של בעיות רגשיות או התנהגותיות; הצוות ייתן הדרכה וטיפול להורים ולילדים, במיוחד כאשר קיים ספק לגבי המסוגלות ההורית.</w:t>
            </w:r>
          </w:p>
        </w:tc>
      </w:tr>
      <w:tr w:rsidR="00D5759E" w14:paraId="2A96F643" w14:textId="77777777" w:rsidTr="00CC7A10">
        <w:trPr>
          <w:cantSplit/>
        </w:trPr>
        <w:tc>
          <w:tcPr>
            <w:tcW w:w="1870" w:type="dxa"/>
            <w:tcBorders>
              <w:top w:val="nil"/>
              <w:left w:val="nil"/>
              <w:bottom w:val="nil"/>
              <w:right w:val="nil"/>
            </w:tcBorders>
          </w:tcPr>
          <w:p w14:paraId="0220F8DE" w14:textId="77777777" w:rsidR="00D5759E" w:rsidRDefault="00D5759E" w:rsidP="00C05066">
            <w:pPr>
              <w:pStyle w:val="TableSideHeading"/>
              <w:rPr>
                <w:sz w:val="26"/>
                <w:rtl/>
              </w:rPr>
            </w:pPr>
          </w:p>
        </w:tc>
        <w:tc>
          <w:tcPr>
            <w:tcW w:w="624" w:type="dxa"/>
            <w:tcBorders>
              <w:top w:val="nil"/>
              <w:left w:val="nil"/>
              <w:bottom w:val="nil"/>
              <w:right w:val="nil"/>
            </w:tcBorders>
          </w:tcPr>
          <w:p w14:paraId="45F81FB6" w14:textId="77777777" w:rsidR="00D5759E" w:rsidRDefault="00D5759E" w:rsidP="00C05066">
            <w:pPr>
              <w:pStyle w:val="TableText"/>
              <w:rPr>
                <w:sz w:val="26"/>
                <w:rtl/>
              </w:rPr>
            </w:pPr>
          </w:p>
        </w:tc>
        <w:tc>
          <w:tcPr>
            <w:tcW w:w="7143" w:type="dxa"/>
            <w:gridSpan w:val="2"/>
            <w:tcBorders>
              <w:top w:val="nil"/>
              <w:left w:val="nil"/>
              <w:bottom w:val="nil"/>
              <w:right w:val="nil"/>
            </w:tcBorders>
          </w:tcPr>
          <w:p w14:paraId="5AE55266" w14:textId="77777777" w:rsidR="00D5759E" w:rsidRDefault="00D5759E" w:rsidP="00C05066">
            <w:pPr>
              <w:pStyle w:val="TableBlock"/>
              <w:rPr>
                <w:sz w:val="26"/>
                <w:rtl/>
              </w:rPr>
            </w:pPr>
            <w:r>
              <w:rPr>
                <w:sz w:val="26"/>
                <w:rtl/>
              </w:rPr>
              <w:t>(ב)</w:t>
            </w:r>
            <w:r>
              <w:rPr>
                <w:sz w:val="26"/>
                <w:rtl/>
              </w:rPr>
              <w:tab/>
              <w:t xml:space="preserve">השר, בהתייעצות עם שר הרווחה והשירותים החברתיים, שר </w:t>
            </w:r>
            <w:r>
              <w:rPr>
                <w:rFonts w:hint="cs"/>
                <w:sz w:val="26"/>
                <w:rtl/>
              </w:rPr>
              <w:t>הכלכלה</w:t>
            </w:r>
            <w:r>
              <w:rPr>
                <w:sz w:val="26"/>
                <w:rtl/>
              </w:rPr>
              <w:t xml:space="preserve"> ושר החינוך, יקבע כללים לביצוע הוראות סעיף זה לרבות לעניין קביעת האזורים.</w:t>
            </w:r>
          </w:p>
        </w:tc>
      </w:tr>
      <w:tr w:rsidR="00D5759E" w14:paraId="628AC185" w14:textId="77777777" w:rsidTr="00CC7A10">
        <w:trPr>
          <w:cantSplit/>
        </w:trPr>
        <w:tc>
          <w:tcPr>
            <w:tcW w:w="1870" w:type="dxa"/>
            <w:tcBorders>
              <w:top w:val="nil"/>
              <w:left w:val="nil"/>
              <w:bottom w:val="nil"/>
              <w:right w:val="nil"/>
            </w:tcBorders>
          </w:tcPr>
          <w:p w14:paraId="7C722EB2" w14:textId="77777777" w:rsidR="00D5759E" w:rsidRDefault="00D5759E" w:rsidP="00C05066">
            <w:pPr>
              <w:pStyle w:val="TableSideHeading"/>
              <w:rPr>
                <w:sz w:val="26"/>
                <w:rtl/>
              </w:rPr>
            </w:pPr>
            <w:r>
              <w:rPr>
                <w:sz w:val="26"/>
                <w:rtl/>
              </w:rPr>
              <w:t>מצב חירום</w:t>
            </w:r>
          </w:p>
        </w:tc>
        <w:tc>
          <w:tcPr>
            <w:tcW w:w="624" w:type="dxa"/>
            <w:tcBorders>
              <w:top w:val="nil"/>
              <w:left w:val="nil"/>
              <w:bottom w:val="nil"/>
              <w:right w:val="nil"/>
            </w:tcBorders>
          </w:tcPr>
          <w:p w14:paraId="43765202" w14:textId="77777777" w:rsidR="00D5759E" w:rsidRDefault="00D5759E" w:rsidP="00C05066">
            <w:pPr>
              <w:pStyle w:val="TableText"/>
            </w:pPr>
            <w:r>
              <w:rPr>
                <w:sz w:val="26"/>
                <w:rtl/>
              </w:rPr>
              <w:t>12.</w:t>
            </w:r>
          </w:p>
        </w:tc>
        <w:tc>
          <w:tcPr>
            <w:tcW w:w="7143" w:type="dxa"/>
            <w:gridSpan w:val="2"/>
            <w:tcBorders>
              <w:top w:val="nil"/>
              <w:left w:val="nil"/>
              <w:bottom w:val="nil"/>
              <w:right w:val="nil"/>
            </w:tcBorders>
          </w:tcPr>
          <w:p w14:paraId="2D34ED92" w14:textId="77777777" w:rsidR="00D5759E" w:rsidRDefault="00D5759E" w:rsidP="00C05066">
            <w:pPr>
              <w:pStyle w:val="TableBlock"/>
            </w:pPr>
            <w:r>
              <w:rPr>
                <w:sz w:val="26"/>
                <w:rtl/>
              </w:rPr>
              <w:t>(א)</w:t>
            </w:r>
            <w:r>
              <w:rPr>
                <w:sz w:val="26"/>
                <w:rtl/>
              </w:rPr>
              <w:tab/>
              <w:t>בסעיף זה, "מצב חירום" –</w:t>
            </w:r>
          </w:p>
        </w:tc>
      </w:tr>
      <w:tr w:rsidR="00D5759E" w14:paraId="67B33765" w14:textId="77777777" w:rsidTr="00CC7A10">
        <w:trPr>
          <w:cantSplit/>
        </w:trPr>
        <w:tc>
          <w:tcPr>
            <w:tcW w:w="1870" w:type="dxa"/>
            <w:tcBorders>
              <w:top w:val="nil"/>
              <w:left w:val="nil"/>
              <w:bottom w:val="nil"/>
              <w:right w:val="nil"/>
            </w:tcBorders>
          </w:tcPr>
          <w:p w14:paraId="002EF019" w14:textId="77777777" w:rsidR="00D5759E" w:rsidRDefault="00D5759E" w:rsidP="00C05066">
            <w:pPr>
              <w:pStyle w:val="TableSideHeading"/>
            </w:pPr>
          </w:p>
        </w:tc>
        <w:tc>
          <w:tcPr>
            <w:tcW w:w="624" w:type="dxa"/>
            <w:tcBorders>
              <w:top w:val="nil"/>
              <w:left w:val="nil"/>
              <w:bottom w:val="nil"/>
              <w:right w:val="nil"/>
            </w:tcBorders>
          </w:tcPr>
          <w:p w14:paraId="23BDAE53" w14:textId="77777777" w:rsidR="00D5759E" w:rsidRDefault="00D5759E" w:rsidP="00C05066">
            <w:pPr>
              <w:pStyle w:val="TableText"/>
            </w:pPr>
          </w:p>
        </w:tc>
        <w:tc>
          <w:tcPr>
            <w:tcW w:w="624" w:type="dxa"/>
            <w:tcBorders>
              <w:top w:val="nil"/>
              <w:left w:val="nil"/>
              <w:bottom w:val="nil"/>
              <w:right w:val="nil"/>
            </w:tcBorders>
          </w:tcPr>
          <w:p w14:paraId="3ED56552" w14:textId="77777777" w:rsidR="00D5759E" w:rsidRDefault="00D5759E" w:rsidP="00C05066">
            <w:pPr>
              <w:pStyle w:val="TableText"/>
            </w:pPr>
          </w:p>
        </w:tc>
        <w:tc>
          <w:tcPr>
            <w:tcW w:w="6519" w:type="dxa"/>
            <w:tcBorders>
              <w:top w:val="nil"/>
              <w:left w:val="nil"/>
              <w:bottom w:val="nil"/>
              <w:right w:val="nil"/>
            </w:tcBorders>
          </w:tcPr>
          <w:p w14:paraId="1B9CC160" w14:textId="77777777" w:rsidR="00D5759E" w:rsidRDefault="00D5759E" w:rsidP="00C05066">
            <w:pPr>
              <w:pStyle w:val="TableBlock"/>
              <w:rPr>
                <w:sz w:val="26"/>
                <w:rtl/>
              </w:rPr>
            </w:pPr>
            <w:r>
              <w:rPr>
                <w:sz w:val="26"/>
                <w:rtl/>
              </w:rPr>
              <w:t>(1)</w:t>
            </w:r>
            <w:r>
              <w:rPr>
                <w:sz w:val="26"/>
                <w:rtl/>
              </w:rPr>
              <w:tab/>
              <w:t>"מצב מיוחד בעורף" – כמשמעותו בסעיף 9ג לחוק ההתגוננות האזרחית, התשי"א–1951</w:t>
            </w:r>
            <w:r>
              <w:rPr>
                <w:szCs w:val="20"/>
                <w:rtl/>
              </w:rPr>
              <w:footnoteReference w:id="6"/>
            </w:r>
            <w:r>
              <w:rPr>
                <w:sz w:val="26"/>
                <w:rtl/>
              </w:rPr>
              <w:t>;</w:t>
            </w:r>
          </w:p>
        </w:tc>
      </w:tr>
      <w:tr w:rsidR="00D5759E" w14:paraId="7EB6B445" w14:textId="77777777" w:rsidTr="00CC7A10">
        <w:trPr>
          <w:cantSplit/>
        </w:trPr>
        <w:tc>
          <w:tcPr>
            <w:tcW w:w="1870" w:type="dxa"/>
            <w:tcBorders>
              <w:top w:val="nil"/>
              <w:left w:val="nil"/>
              <w:bottom w:val="nil"/>
              <w:right w:val="nil"/>
            </w:tcBorders>
          </w:tcPr>
          <w:p w14:paraId="61610E62" w14:textId="77777777" w:rsidR="00D5759E" w:rsidRDefault="00D5759E" w:rsidP="00C05066">
            <w:pPr>
              <w:pStyle w:val="TableSideHeading"/>
            </w:pPr>
          </w:p>
        </w:tc>
        <w:tc>
          <w:tcPr>
            <w:tcW w:w="624" w:type="dxa"/>
            <w:tcBorders>
              <w:top w:val="nil"/>
              <w:left w:val="nil"/>
              <w:bottom w:val="nil"/>
              <w:right w:val="nil"/>
            </w:tcBorders>
          </w:tcPr>
          <w:p w14:paraId="6371A6A2" w14:textId="77777777" w:rsidR="00D5759E" w:rsidRDefault="00D5759E" w:rsidP="00C05066">
            <w:pPr>
              <w:pStyle w:val="TableText"/>
            </w:pPr>
          </w:p>
        </w:tc>
        <w:tc>
          <w:tcPr>
            <w:tcW w:w="624" w:type="dxa"/>
            <w:tcBorders>
              <w:top w:val="nil"/>
              <w:left w:val="nil"/>
              <w:bottom w:val="nil"/>
              <w:right w:val="nil"/>
            </w:tcBorders>
          </w:tcPr>
          <w:p w14:paraId="1A12774F" w14:textId="77777777" w:rsidR="00D5759E" w:rsidRDefault="00D5759E" w:rsidP="00C05066">
            <w:pPr>
              <w:pStyle w:val="TableText"/>
            </w:pPr>
          </w:p>
        </w:tc>
        <w:tc>
          <w:tcPr>
            <w:tcW w:w="6519" w:type="dxa"/>
            <w:tcBorders>
              <w:top w:val="nil"/>
              <w:left w:val="nil"/>
              <w:bottom w:val="nil"/>
              <w:right w:val="nil"/>
            </w:tcBorders>
          </w:tcPr>
          <w:p w14:paraId="5177DF19" w14:textId="77777777" w:rsidR="00D5759E" w:rsidRDefault="00D5759E" w:rsidP="00C05066">
            <w:pPr>
              <w:pStyle w:val="TableBlock"/>
              <w:rPr>
                <w:sz w:val="26"/>
                <w:rtl/>
              </w:rPr>
            </w:pPr>
            <w:r>
              <w:rPr>
                <w:sz w:val="26"/>
                <w:rtl/>
              </w:rPr>
              <w:t>(2)</w:t>
            </w:r>
            <w:r>
              <w:rPr>
                <w:sz w:val="26"/>
                <w:rtl/>
              </w:rPr>
              <w:tab/>
              <w:t>"אירוע אסון המוני" – כהגדרתו בסעיף 90א לפקודת המשטרה [נוסח חדש], התשל"א–1971</w:t>
            </w:r>
            <w:r>
              <w:rPr>
                <w:szCs w:val="20"/>
                <w:rtl/>
              </w:rPr>
              <w:footnoteReference w:id="7"/>
            </w:r>
            <w:r>
              <w:rPr>
                <w:sz w:val="26"/>
                <w:rtl/>
              </w:rPr>
              <w:t>;</w:t>
            </w:r>
          </w:p>
        </w:tc>
      </w:tr>
      <w:tr w:rsidR="00D5759E" w14:paraId="1A72DF4A" w14:textId="77777777" w:rsidTr="00CC7A10">
        <w:trPr>
          <w:cantSplit/>
        </w:trPr>
        <w:tc>
          <w:tcPr>
            <w:tcW w:w="1870" w:type="dxa"/>
            <w:tcBorders>
              <w:top w:val="nil"/>
              <w:left w:val="nil"/>
              <w:bottom w:val="nil"/>
              <w:right w:val="nil"/>
            </w:tcBorders>
          </w:tcPr>
          <w:p w14:paraId="422EB460" w14:textId="77777777" w:rsidR="00D5759E" w:rsidRDefault="00D5759E" w:rsidP="00C05066">
            <w:pPr>
              <w:pStyle w:val="TableSideHeading"/>
            </w:pPr>
          </w:p>
        </w:tc>
        <w:tc>
          <w:tcPr>
            <w:tcW w:w="624" w:type="dxa"/>
            <w:tcBorders>
              <w:top w:val="nil"/>
              <w:left w:val="nil"/>
              <w:bottom w:val="nil"/>
              <w:right w:val="nil"/>
            </w:tcBorders>
          </w:tcPr>
          <w:p w14:paraId="14CAA3B7" w14:textId="77777777" w:rsidR="00D5759E" w:rsidRDefault="00D5759E" w:rsidP="00C05066">
            <w:pPr>
              <w:pStyle w:val="TableText"/>
            </w:pPr>
          </w:p>
        </w:tc>
        <w:tc>
          <w:tcPr>
            <w:tcW w:w="624" w:type="dxa"/>
            <w:tcBorders>
              <w:top w:val="nil"/>
              <w:left w:val="nil"/>
              <w:bottom w:val="nil"/>
              <w:right w:val="nil"/>
            </w:tcBorders>
          </w:tcPr>
          <w:p w14:paraId="3CF758FB" w14:textId="77777777" w:rsidR="00D5759E" w:rsidRDefault="00D5759E" w:rsidP="00C05066">
            <w:pPr>
              <w:pStyle w:val="TableText"/>
            </w:pPr>
          </w:p>
        </w:tc>
        <w:tc>
          <w:tcPr>
            <w:tcW w:w="6519" w:type="dxa"/>
            <w:tcBorders>
              <w:top w:val="nil"/>
              <w:left w:val="nil"/>
              <w:bottom w:val="nil"/>
              <w:right w:val="nil"/>
            </w:tcBorders>
          </w:tcPr>
          <w:p w14:paraId="781D632E" w14:textId="77777777" w:rsidR="00D5759E" w:rsidRDefault="00D5759E" w:rsidP="00C05066">
            <w:pPr>
              <w:pStyle w:val="TableBlock"/>
              <w:rPr>
                <w:sz w:val="26"/>
                <w:rtl/>
              </w:rPr>
            </w:pPr>
            <w:r>
              <w:rPr>
                <w:sz w:val="26"/>
                <w:rtl/>
              </w:rPr>
              <w:t>(3)</w:t>
            </w:r>
            <w:r>
              <w:rPr>
                <w:sz w:val="26"/>
                <w:rtl/>
              </w:rPr>
              <w:tab/>
              <w:t>"שעת התקפה" – כהגדרתה בחוק ההתגוננות האזרחית, התשי"א–1951.</w:t>
            </w:r>
          </w:p>
        </w:tc>
      </w:tr>
      <w:tr w:rsidR="00D5759E" w14:paraId="7B1ADA6A" w14:textId="77777777" w:rsidTr="00CC7A10">
        <w:trPr>
          <w:cantSplit/>
        </w:trPr>
        <w:tc>
          <w:tcPr>
            <w:tcW w:w="1870" w:type="dxa"/>
            <w:tcBorders>
              <w:top w:val="nil"/>
              <w:left w:val="nil"/>
              <w:bottom w:val="nil"/>
              <w:right w:val="nil"/>
            </w:tcBorders>
          </w:tcPr>
          <w:p w14:paraId="43ECCBDC" w14:textId="77777777" w:rsidR="00D5759E" w:rsidRDefault="00D5759E" w:rsidP="00C05066">
            <w:pPr>
              <w:pStyle w:val="TableSideHeading"/>
              <w:rPr>
                <w:sz w:val="26"/>
                <w:rtl/>
              </w:rPr>
            </w:pPr>
          </w:p>
        </w:tc>
        <w:tc>
          <w:tcPr>
            <w:tcW w:w="624" w:type="dxa"/>
            <w:tcBorders>
              <w:top w:val="nil"/>
              <w:left w:val="nil"/>
              <w:bottom w:val="nil"/>
              <w:right w:val="nil"/>
            </w:tcBorders>
          </w:tcPr>
          <w:p w14:paraId="6E5596AD" w14:textId="77777777" w:rsidR="00D5759E" w:rsidRDefault="00D5759E" w:rsidP="00C05066">
            <w:pPr>
              <w:pStyle w:val="TableText"/>
            </w:pPr>
          </w:p>
        </w:tc>
        <w:tc>
          <w:tcPr>
            <w:tcW w:w="7143" w:type="dxa"/>
            <w:gridSpan w:val="2"/>
            <w:tcBorders>
              <w:top w:val="nil"/>
              <w:left w:val="nil"/>
              <w:bottom w:val="nil"/>
              <w:right w:val="nil"/>
            </w:tcBorders>
          </w:tcPr>
          <w:p w14:paraId="6482704B" w14:textId="77777777" w:rsidR="00D5759E" w:rsidRDefault="00D5759E" w:rsidP="00C05066">
            <w:pPr>
              <w:pStyle w:val="TableBlock"/>
            </w:pPr>
            <w:r>
              <w:rPr>
                <w:sz w:val="26"/>
                <w:rtl/>
              </w:rPr>
              <w:t>(ב)</w:t>
            </w:r>
            <w:r>
              <w:rPr>
                <w:sz w:val="26"/>
                <w:rtl/>
              </w:rPr>
              <w:tab/>
              <w:t>השר ימנה בכל תחנה, מבין עובדי התחנה, פסיכולוג קליני או עובד סוציאלי לשמש כרכז החירום של התחנה; רשאי להתמנות לרכז חירום מי שהוכשר בידי משרד הבריאות.</w:t>
            </w:r>
          </w:p>
        </w:tc>
      </w:tr>
      <w:tr w:rsidR="00D5759E" w14:paraId="1323BEDD" w14:textId="77777777" w:rsidTr="00CC7A10">
        <w:trPr>
          <w:cantSplit/>
        </w:trPr>
        <w:tc>
          <w:tcPr>
            <w:tcW w:w="1870" w:type="dxa"/>
            <w:tcBorders>
              <w:top w:val="nil"/>
              <w:left w:val="nil"/>
              <w:bottom w:val="nil"/>
              <w:right w:val="nil"/>
            </w:tcBorders>
          </w:tcPr>
          <w:p w14:paraId="503A074C" w14:textId="77777777" w:rsidR="00D5759E" w:rsidRDefault="00D5759E" w:rsidP="00C05066">
            <w:pPr>
              <w:pStyle w:val="TableSideHeading"/>
              <w:rPr>
                <w:sz w:val="26"/>
                <w:rtl/>
              </w:rPr>
            </w:pPr>
          </w:p>
        </w:tc>
        <w:tc>
          <w:tcPr>
            <w:tcW w:w="624" w:type="dxa"/>
            <w:tcBorders>
              <w:top w:val="nil"/>
              <w:left w:val="nil"/>
              <w:bottom w:val="nil"/>
              <w:right w:val="nil"/>
            </w:tcBorders>
          </w:tcPr>
          <w:p w14:paraId="5D36D2F0" w14:textId="77777777" w:rsidR="00D5759E" w:rsidRDefault="00D5759E" w:rsidP="00C05066">
            <w:pPr>
              <w:pStyle w:val="TableText"/>
            </w:pPr>
          </w:p>
        </w:tc>
        <w:tc>
          <w:tcPr>
            <w:tcW w:w="7143" w:type="dxa"/>
            <w:gridSpan w:val="2"/>
            <w:tcBorders>
              <w:top w:val="nil"/>
              <w:left w:val="nil"/>
              <w:bottom w:val="nil"/>
              <w:right w:val="nil"/>
            </w:tcBorders>
          </w:tcPr>
          <w:p w14:paraId="1B472359" w14:textId="77777777" w:rsidR="00D5759E" w:rsidRDefault="00D5759E" w:rsidP="00C05066">
            <w:pPr>
              <w:pStyle w:val="TableBlock"/>
            </w:pPr>
            <w:r>
              <w:rPr>
                <w:sz w:val="26"/>
                <w:rtl/>
              </w:rPr>
              <w:t>(ג)</w:t>
            </w:r>
            <w:r>
              <w:rPr>
                <w:sz w:val="26"/>
                <w:rtl/>
              </w:rPr>
              <w:tab/>
              <w:t>רכז החירום יכשיר את צוותי התחנה ליתן מענה טיפולי מיידי במצבי חירום.</w:t>
            </w:r>
          </w:p>
        </w:tc>
      </w:tr>
      <w:tr w:rsidR="00D5759E" w14:paraId="60222140" w14:textId="77777777" w:rsidTr="00CC7A10">
        <w:trPr>
          <w:cantSplit/>
        </w:trPr>
        <w:tc>
          <w:tcPr>
            <w:tcW w:w="1870" w:type="dxa"/>
            <w:tcBorders>
              <w:top w:val="nil"/>
              <w:left w:val="nil"/>
              <w:bottom w:val="nil"/>
              <w:right w:val="nil"/>
            </w:tcBorders>
          </w:tcPr>
          <w:p w14:paraId="5D5DDA3B" w14:textId="77777777" w:rsidR="00D5759E" w:rsidRDefault="00D5759E" w:rsidP="00C05066">
            <w:pPr>
              <w:pStyle w:val="TableSideHeading"/>
              <w:rPr>
                <w:sz w:val="26"/>
                <w:rtl/>
              </w:rPr>
            </w:pPr>
          </w:p>
        </w:tc>
        <w:tc>
          <w:tcPr>
            <w:tcW w:w="624" w:type="dxa"/>
            <w:tcBorders>
              <w:top w:val="nil"/>
              <w:left w:val="nil"/>
              <w:bottom w:val="nil"/>
              <w:right w:val="nil"/>
            </w:tcBorders>
          </w:tcPr>
          <w:p w14:paraId="748A013E" w14:textId="77777777" w:rsidR="00D5759E" w:rsidRDefault="00D5759E" w:rsidP="00C05066">
            <w:pPr>
              <w:pStyle w:val="TableText"/>
            </w:pPr>
          </w:p>
        </w:tc>
        <w:tc>
          <w:tcPr>
            <w:tcW w:w="7143" w:type="dxa"/>
            <w:gridSpan w:val="2"/>
            <w:tcBorders>
              <w:top w:val="nil"/>
              <w:left w:val="nil"/>
              <w:bottom w:val="nil"/>
              <w:right w:val="nil"/>
            </w:tcBorders>
          </w:tcPr>
          <w:p w14:paraId="6D5E925E" w14:textId="77777777" w:rsidR="00D5759E" w:rsidRDefault="00D5759E" w:rsidP="00C05066">
            <w:pPr>
              <w:pStyle w:val="TableBlock"/>
            </w:pPr>
            <w:r>
              <w:rPr>
                <w:sz w:val="26"/>
                <w:rtl/>
              </w:rPr>
              <w:t>(ד)</w:t>
            </w:r>
            <w:r>
              <w:rPr>
                <w:sz w:val="26"/>
                <w:rtl/>
              </w:rPr>
              <w:tab/>
            </w:r>
            <w:r>
              <w:rPr>
                <w:rFonts w:hint="cs"/>
                <w:sz w:val="26"/>
                <w:rtl/>
              </w:rPr>
              <w:t>השר</w:t>
            </w:r>
            <w:r>
              <w:rPr>
                <w:sz w:val="26"/>
                <w:rtl/>
              </w:rPr>
              <w:t xml:space="preserve"> והשר לביטחון הפנים רשאים לקבוע הוראות לעניין מתן שירות לקבלת טיפול לפי סעיף זה, לרבות לעניין המקום שבו יינתן הטיפול בשעת חירום ול</w:t>
            </w:r>
            <w:r>
              <w:rPr>
                <w:rFonts w:hint="cs"/>
                <w:sz w:val="26"/>
                <w:rtl/>
              </w:rPr>
              <w:t xml:space="preserve">עניין </w:t>
            </w:r>
            <w:r>
              <w:rPr>
                <w:sz w:val="26"/>
                <w:rtl/>
              </w:rPr>
              <w:t>הכשרת עובד התחנה הממונה כרכז בה.</w:t>
            </w:r>
          </w:p>
        </w:tc>
      </w:tr>
      <w:tr w:rsidR="00D5759E" w14:paraId="524B56CE" w14:textId="77777777" w:rsidTr="00CC7A10">
        <w:trPr>
          <w:cantSplit/>
        </w:trPr>
        <w:tc>
          <w:tcPr>
            <w:tcW w:w="1870" w:type="dxa"/>
            <w:tcBorders>
              <w:top w:val="nil"/>
              <w:left w:val="nil"/>
              <w:bottom w:val="nil"/>
              <w:right w:val="nil"/>
            </w:tcBorders>
          </w:tcPr>
          <w:p w14:paraId="18626CE5" w14:textId="77777777" w:rsidR="00D5759E" w:rsidRDefault="00D5759E" w:rsidP="00C05066">
            <w:pPr>
              <w:pStyle w:val="TableSideHeading"/>
              <w:rPr>
                <w:i/>
                <w:iCs/>
                <w:sz w:val="26"/>
                <w:rtl/>
              </w:rPr>
            </w:pPr>
            <w:r>
              <w:rPr>
                <w:sz w:val="26"/>
                <w:rtl/>
              </w:rPr>
              <w:t>התמחות</w:t>
            </w:r>
          </w:p>
        </w:tc>
        <w:tc>
          <w:tcPr>
            <w:tcW w:w="624" w:type="dxa"/>
            <w:tcBorders>
              <w:top w:val="nil"/>
              <w:left w:val="nil"/>
              <w:bottom w:val="nil"/>
              <w:right w:val="nil"/>
            </w:tcBorders>
          </w:tcPr>
          <w:p w14:paraId="12F83C19" w14:textId="77777777" w:rsidR="00D5759E" w:rsidRDefault="00D5759E" w:rsidP="00C05066">
            <w:pPr>
              <w:pStyle w:val="TableText"/>
            </w:pPr>
            <w:r>
              <w:rPr>
                <w:sz w:val="26"/>
                <w:rtl/>
              </w:rPr>
              <w:t>13.</w:t>
            </w:r>
          </w:p>
        </w:tc>
        <w:tc>
          <w:tcPr>
            <w:tcW w:w="7143" w:type="dxa"/>
            <w:gridSpan w:val="2"/>
            <w:tcBorders>
              <w:top w:val="nil"/>
              <w:left w:val="nil"/>
              <w:bottom w:val="nil"/>
              <w:right w:val="nil"/>
            </w:tcBorders>
          </w:tcPr>
          <w:p w14:paraId="582659AE" w14:textId="77777777" w:rsidR="00D5759E" w:rsidRDefault="00D5759E" w:rsidP="00C05066">
            <w:pPr>
              <w:pStyle w:val="TableBlock"/>
            </w:pPr>
            <w:r>
              <w:rPr>
                <w:sz w:val="26"/>
                <w:rtl/>
              </w:rPr>
              <w:t xml:space="preserve">השר יקבע הוראות לעניין שילובם של מתמחים וסטודנטים בהכשרתם כמטפלים מקצועיים ראשיים בפסיכולוגיה קלינית, בפסיכיאטריה ובעבודה סוציאלית בתחנה לשם קבלת ההכשרה המקצועית הנדרשת בהתאם </w:t>
            </w:r>
            <w:r>
              <w:rPr>
                <w:sz w:val="26"/>
                <w:rtl/>
              </w:rPr>
              <w:br/>
              <w:t>לדרישות המקצועיות הקבועות בחוק או כפי שנקבע לעניין זה על ידי הוועדה המקצועית להתמחות קלינית כמשמעותה לפי סעיף 8 לחוק הפסיכולוגים; כמו כן, תתאפשר העסקתם של מטפלים מקצועיים משניים הנמצאים בתהליך הכשרה במקצועות אלו.</w:t>
            </w:r>
          </w:p>
        </w:tc>
      </w:tr>
      <w:tr w:rsidR="00D5759E" w14:paraId="43817F86" w14:textId="77777777" w:rsidTr="00CC7A10">
        <w:trPr>
          <w:cantSplit/>
        </w:trPr>
        <w:tc>
          <w:tcPr>
            <w:tcW w:w="1870" w:type="dxa"/>
            <w:tcBorders>
              <w:top w:val="nil"/>
              <w:left w:val="nil"/>
              <w:bottom w:val="nil"/>
              <w:right w:val="nil"/>
            </w:tcBorders>
          </w:tcPr>
          <w:p w14:paraId="2F4DFA93" w14:textId="77777777" w:rsidR="00D5759E" w:rsidRDefault="00D5759E" w:rsidP="00C05066">
            <w:pPr>
              <w:pStyle w:val="TableSideHeading"/>
              <w:rPr>
                <w:sz w:val="26"/>
                <w:rtl/>
              </w:rPr>
            </w:pPr>
            <w:r>
              <w:rPr>
                <w:sz w:val="26"/>
                <w:rtl/>
              </w:rPr>
              <w:t>למידה והדרכות</w:t>
            </w:r>
          </w:p>
        </w:tc>
        <w:tc>
          <w:tcPr>
            <w:tcW w:w="624" w:type="dxa"/>
            <w:tcBorders>
              <w:top w:val="nil"/>
              <w:left w:val="nil"/>
              <w:bottom w:val="nil"/>
              <w:right w:val="nil"/>
            </w:tcBorders>
          </w:tcPr>
          <w:p w14:paraId="5D9295CB" w14:textId="77777777" w:rsidR="00D5759E" w:rsidRDefault="00D5759E" w:rsidP="00C05066">
            <w:pPr>
              <w:pStyle w:val="TableText"/>
            </w:pPr>
            <w:r>
              <w:rPr>
                <w:sz w:val="26"/>
                <w:rtl/>
              </w:rPr>
              <w:t>14.</w:t>
            </w:r>
          </w:p>
        </w:tc>
        <w:tc>
          <w:tcPr>
            <w:tcW w:w="7143" w:type="dxa"/>
            <w:gridSpan w:val="2"/>
            <w:tcBorders>
              <w:top w:val="nil"/>
              <w:left w:val="nil"/>
              <w:bottom w:val="nil"/>
              <w:right w:val="nil"/>
            </w:tcBorders>
          </w:tcPr>
          <w:p w14:paraId="5B897605" w14:textId="77777777" w:rsidR="00D5759E" w:rsidRDefault="00D5759E" w:rsidP="00C05066">
            <w:pPr>
              <w:pStyle w:val="TableBlock"/>
            </w:pPr>
            <w:r>
              <w:rPr>
                <w:sz w:val="26"/>
                <w:rtl/>
              </w:rPr>
              <w:t>העבודה השוטפת בתחנה תכלול ישיבות צוות קבועות, סמינרים תיאורטיים, קבוצות הדרכה והדרכות אישיות לעובדים על מנת להבטיח את איכות הטיפול ושמירה על הרמה המקצועית של העובדים; המנהל אחראי לביצוע סעיף זה.</w:t>
            </w:r>
          </w:p>
        </w:tc>
      </w:tr>
      <w:tr w:rsidR="00D5759E" w14:paraId="1523EC9A" w14:textId="77777777" w:rsidTr="00CC7A10">
        <w:trPr>
          <w:cantSplit/>
        </w:trPr>
        <w:tc>
          <w:tcPr>
            <w:tcW w:w="1870" w:type="dxa"/>
            <w:tcBorders>
              <w:top w:val="nil"/>
              <w:left w:val="nil"/>
              <w:bottom w:val="nil"/>
              <w:right w:val="nil"/>
            </w:tcBorders>
          </w:tcPr>
          <w:p w14:paraId="5A060C1F" w14:textId="77777777" w:rsidR="00D5759E" w:rsidRDefault="00D5759E" w:rsidP="00C05066">
            <w:pPr>
              <w:pStyle w:val="TableSideHeading"/>
              <w:rPr>
                <w:sz w:val="26"/>
                <w:rtl/>
              </w:rPr>
            </w:pPr>
            <w:r>
              <w:rPr>
                <w:sz w:val="26"/>
                <w:rtl/>
              </w:rPr>
              <w:t>דוברי שפות שונות</w:t>
            </w:r>
          </w:p>
        </w:tc>
        <w:tc>
          <w:tcPr>
            <w:tcW w:w="624" w:type="dxa"/>
            <w:tcBorders>
              <w:top w:val="nil"/>
              <w:left w:val="nil"/>
              <w:bottom w:val="nil"/>
              <w:right w:val="nil"/>
            </w:tcBorders>
          </w:tcPr>
          <w:p w14:paraId="350BF64D" w14:textId="77777777" w:rsidR="00D5759E" w:rsidRDefault="00D5759E" w:rsidP="00C05066">
            <w:pPr>
              <w:pStyle w:val="TableText"/>
            </w:pPr>
            <w:r>
              <w:rPr>
                <w:sz w:val="26"/>
                <w:rtl/>
              </w:rPr>
              <w:t>15.</w:t>
            </w:r>
          </w:p>
        </w:tc>
        <w:tc>
          <w:tcPr>
            <w:tcW w:w="7143" w:type="dxa"/>
            <w:gridSpan w:val="2"/>
            <w:tcBorders>
              <w:top w:val="nil"/>
              <w:left w:val="nil"/>
              <w:bottom w:val="nil"/>
              <w:right w:val="nil"/>
            </w:tcBorders>
          </w:tcPr>
          <w:p w14:paraId="26F4B72C" w14:textId="77777777" w:rsidR="00D5759E" w:rsidRDefault="00D5759E" w:rsidP="00C05066">
            <w:pPr>
              <w:pStyle w:val="TableBlock"/>
            </w:pPr>
            <w:r>
              <w:rPr>
                <w:sz w:val="26"/>
                <w:rtl/>
              </w:rPr>
              <w:t>כל תחנה לבריאות הנפש בקהילה, אשר למעלה מ-15% מאוכלוסיית המתגוררים באזור שבו היא נמצאת</w:t>
            </w:r>
            <w:r>
              <w:rPr>
                <w:i/>
                <w:iCs/>
                <w:sz w:val="26"/>
                <w:rtl/>
              </w:rPr>
              <w:t xml:space="preserve"> </w:t>
            </w:r>
            <w:r>
              <w:rPr>
                <w:sz w:val="26"/>
                <w:rtl/>
              </w:rPr>
              <w:t xml:space="preserve">נמנים עם ציבור העולים מחבר המדינות, </w:t>
            </w:r>
            <w:r>
              <w:rPr>
                <w:rFonts w:hint="cs"/>
                <w:sz w:val="26"/>
                <w:rtl/>
              </w:rPr>
              <w:t>עם</w:t>
            </w:r>
            <w:r>
              <w:rPr>
                <w:sz w:val="26"/>
                <w:rtl/>
              </w:rPr>
              <w:t xml:space="preserve"> ציבור העולים מאתיופיה או </w:t>
            </w:r>
            <w:r>
              <w:rPr>
                <w:rFonts w:hint="cs"/>
                <w:sz w:val="26"/>
                <w:rtl/>
              </w:rPr>
              <w:t>עם</w:t>
            </w:r>
            <w:r>
              <w:rPr>
                <w:sz w:val="26"/>
                <w:rtl/>
              </w:rPr>
              <w:t xml:space="preserve"> האוכלוסייה הערבית בישראל, תעסיק מטפל מקצועי עיקרי, אשר דובר את השפה הרוסית, האמהרית או הערבית, בהתאמה, אשר יוכל לשמש כמטפל וכמתרגם עבור האוכלוסייה המסוימת כאמור.</w:t>
            </w:r>
          </w:p>
        </w:tc>
      </w:tr>
      <w:tr w:rsidR="00D5759E" w14:paraId="0EEF05EE" w14:textId="77777777" w:rsidTr="00CC7A10">
        <w:trPr>
          <w:cantSplit/>
        </w:trPr>
        <w:tc>
          <w:tcPr>
            <w:tcW w:w="1870" w:type="dxa"/>
            <w:tcBorders>
              <w:top w:val="nil"/>
              <w:left w:val="nil"/>
              <w:bottom w:val="nil"/>
              <w:right w:val="nil"/>
            </w:tcBorders>
          </w:tcPr>
          <w:p w14:paraId="1E388CB7" w14:textId="77777777" w:rsidR="00D5759E" w:rsidRDefault="00D5759E" w:rsidP="00C05066">
            <w:pPr>
              <w:pStyle w:val="TableSideHeading"/>
              <w:rPr>
                <w:sz w:val="26"/>
                <w:rtl/>
              </w:rPr>
            </w:pPr>
            <w:r>
              <w:rPr>
                <w:sz w:val="26"/>
                <w:rtl/>
              </w:rPr>
              <w:t>עובדי התחנה</w:t>
            </w:r>
          </w:p>
        </w:tc>
        <w:tc>
          <w:tcPr>
            <w:tcW w:w="624" w:type="dxa"/>
            <w:tcBorders>
              <w:top w:val="nil"/>
              <w:left w:val="nil"/>
              <w:bottom w:val="nil"/>
              <w:right w:val="nil"/>
            </w:tcBorders>
          </w:tcPr>
          <w:p w14:paraId="7A7B07DE" w14:textId="77777777" w:rsidR="00D5759E" w:rsidRDefault="00D5759E" w:rsidP="00C05066">
            <w:pPr>
              <w:pStyle w:val="TableText"/>
              <w:rPr>
                <w:sz w:val="26"/>
                <w:rtl/>
              </w:rPr>
            </w:pPr>
            <w:r>
              <w:rPr>
                <w:sz w:val="26"/>
                <w:rtl/>
              </w:rPr>
              <w:t>16.</w:t>
            </w:r>
          </w:p>
        </w:tc>
        <w:tc>
          <w:tcPr>
            <w:tcW w:w="7143" w:type="dxa"/>
            <w:gridSpan w:val="2"/>
            <w:tcBorders>
              <w:top w:val="nil"/>
              <w:left w:val="nil"/>
              <w:bottom w:val="nil"/>
              <w:right w:val="nil"/>
            </w:tcBorders>
          </w:tcPr>
          <w:p w14:paraId="5CE9C31D" w14:textId="77777777" w:rsidR="00D5759E" w:rsidRDefault="00D5759E" w:rsidP="00C05066">
            <w:pPr>
              <w:pStyle w:val="TableBlock"/>
              <w:rPr>
                <w:sz w:val="26"/>
                <w:rtl/>
              </w:rPr>
            </w:pPr>
            <w:r>
              <w:rPr>
                <w:sz w:val="26"/>
                <w:rtl/>
              </w:rPr>
              <w:t>עובדי התחנה יהיו עובדי המדינה.</w:t>
            </w:r>
          </w:p>
        </w:tc>
      </w:tr>
      <w:tr w:rsidR="00D5759E" w14:paraId="2959FA1B" w14:textId="77777777" w:rsidTr="00CC7A10">
        <w:trPr>
          <w:cantSplit/>
        </w:trPr>
        <w:tc>
          <w:tcPr>
            <w:tcW w:w="1870" w:type="dxa"/>
            <w:tcBorders>
              <w:top w:val="nil"/>
              <w:left w:val="nil"/>
              <w:bottom w:val="nil"/>
              <w:right w:val="nil"/>
            </w:tcBorders>
          </w:tcPr>
          <w:p w14:paraId="02C33F80" w14:textId="77777777" w:rsidR="00D5759E" w:rsidRDefault="00D5759E" w:rsidP="00C05066">
            <w:pPr>
              <w:pStyle w:val="TableSideHeading"/>
              <w:rPr>
                <w:sz w:val="26"/>
                <w:rtl/>
              </w:rPr>
            </w:pPr>
            <w:r>
              <w:rPr>
                <w:sz w:val="26"/>
                <w:rtl/>
              </w:rPr>
              <w:t>ביצוע ותקנות</w:t>
            </w:r>
          </w:p>
        </w:tc>
        <w:tc>
          <w:tcPr>
            <w:tcW w:w="624" w:type="dxa"/>
            <w:tcBorders>
              <w:top w:val="nil"/>
              <w:left w:val="nil"/>
              <w:bottom w:val="nil"/>
              <w:right w:val="nil"/>
            </w:tcBorders>
          </w:tcPr>
          <w:p w14:paraId="1767C248" w14:textId="77777777" w:rsidR="00D5759E" w:rsidRDefault="00D5759E" w:rsidP="00C05066">
            <w:pPr>
              <w:pStyle w:val="TableText"/>
            </w:pPr>
            <w:r>
              <w:rPr>
                <w:sz w:val="26"/>
                <w:rtl/>
              </w:rPr>
              <w:t>17.</w:t>
            </w:r>
          </w:p>
        </w:tc>
        <w:tc>
          <w:tcPr>
            <w:tcW w:w="7143" w:type="dxa"/>
            <w:gridSpan w:val="2"/>
            <w:tcBorders>
              <w:top w:val="nil"/>
              <w:left w:val="nil"/>
              <w:bottom w:val="nil"/>
              <w:right w:val="nil"/>
            </w:tcBorders>
          </w:tcPr>
          <w:p w14:paraId="02950128" w14:textId="77777777" w:rsidR="00D5759E" w:rsidRDefault="00D5759E" w:rsidP="00C05066">
            <w:pPr>
              <w:pStyle w:val="TableBlock"/>
            </w:pPr>
            <w:r>
              <w:rPr>
                <w:sz w:val="26"/>
                <w:rtl/>
              </w:rPr>
              <w:t>(א)</w:t>
            </w:r>
            <w:r>
              <w:rPr>
                <w:sz w:val="26"/>
                <w:rtl/>
              </w:rPr>
              <w:tab/>
            </w:r>
            <w:r>
              <w:rPr>
                <w:rFonts w:hint="cs"/>
                <w:sz w:val="26"/>
                <w:rtl/>
              </w:rPr>
              <w:t>השר</w:t>
            </w:r>
            <w:r>
              <w:rPr>
                <w:sz w:val="26"/>
                <w:rtl/>
              </w:rPr>
              <w:t xml:space="preserve"> ממונה על ביצוע חוק זה, והוא רשאי להתקין תקנות לביצועו.</w:t>
            </w:r>
          </w:p>
        </w:tc>
      </w:tr>
      <w:tr w:rsidR="00D5759E" w14:paraId="354D81B0" w14:textId="77777777" w:rsidTr="00CC7A10">
        <w:trPr>
          <w:cantSplit/>
        </w:trPr>
        <w:tc>
          <w:tcPr>
            <w:tcW w:w="1870" w:type="dxa"/>
            <w:tcBorders>
              <w:top w:val="nil"/>
              <w:left w:val="nil"/>
              <w:bottom w:val="nil"/>
              <w:right w:val="nil"/>
            </w:tcBorders>
          </w:tcPr>
          <w:p w14:paraId="7BDC957B" w14:textId="77777777" w:rsidR="00D5759E" w:rsidRDefault="00D5759E" w:rsidP="00C05066">
            <w:pPr>
              <w:pStyle w:val="TableSideHeading"/>
              <w:rPr>
                <w:i/>
                <w:iCs/>
                <w:sz w:val="26"/>
                <w:rtl/>
              </w:rPr>
            </w:pPr>
          </w:p>
        </w:tc>
        <w:tc>
          <w:tcPr>
            <w:tcW w:w="624" w:type="dxa"/>
            <w:tcBorders>
              <w:top w:val="nil"/>
              <w:left w:val="nil"/>
              <w:bottom w:val="nil"/>
              <w:right w:val="nil"/>
            </w:tcBorders>
          </w:tcPr>
          <w:p w14:paraId="585F7EF3" w14:textId="77777777" w:rsidR="00D5759E" w:rsidRDefault="00D5759E" w:rsidP="00C05066">
            <w:pPr>
              <w:pStyle w:val="TableText"/>
            </w:pPr>
          </w:p>
        </w:tc>
        <w:tc>
          <w:tcPr>
            <w:tcW w:w="7143" w:type="dxa"/>
            <w:gridSpan w:val="2"/>
            <w:tcBorders>
              <w:top w:val="nil"/>
              <w:left w:val="nil"/>
              <w:bottom w:val="nil"/>
              <w:right w:val="nil"/>
            </w:tcBorders>
          </w:tcPr>
          <w:p w14:paraId="62962670" w14:textId="77777777" w:rsidR="00D5759E" w:rsidRDefault="00D5759E" w:rsidP="00C05066">
            <w:pPr>
              <w:pStyle w:val="TableBlock"/>
            </w:pPr>
            <w:r>
              <w:rPr>
                <w:sz w:val="26"/>
                <w:rtl/>
              </w:rPr>
              <w:t>(ב)</w:t>
            </w:r>
            <w:r>
              <w:rPr>
                <w:sz w:val="26"/>
                <w:rtl/>
              </w:rPr>
              <w:tab/>
            </w:r>
            <w:r>
              <w:rPr>
                <w:rFonts w:hint="cs"/>
                <w:sz w:val="26"/>
                <w:rtl/>
              </w:rPr>
              <w:t>השר</w:t>
            </w:r>
            <w:r>
              <w:rPr>
                <w:sz w:val="26"/>
                <w:rtl/>
              </w:rPr>
              <w:t xml:space="preserve"> יקבע הוראות בדבר פריסה ארצית של התחנות, ויורה על הוספת תחנות, מעבר לאלו הקיימות, בהתחשב בצרכים המיוחדים של תושבי האזור דוגמת המצב הסוציו-אקונומי של תושבי האזור, צפיפות האוכלוסין באזור, והמצב הביטחוני השורר באזור.</w:t>
            </w:r>
          </w:p>
        </w:tc>
      </w:tr>
      <w:tr w:rsidR="00D5759E" w14:paraId="3719E528" w14:textId="77777777" w:rsidTr="00CC7A10">
        <w:trPr>
          <w:cantSplit/>
        </w:trPr>
        <w:tc>
          <w:tcPr>
            <w:tcW w:w="1870" w:type="dxa"/>
            <w:tcBorders>
              <w:top w:val="nil"/>
              <w:left w:val="nil"/>
              <w:bottom w:val="nil"/>
              <w:right w:val="nil"/>
            </w:tcBorders>
          </w:tcPr>
          <w:p w14:paraId="7974FF19" w14:textId="77777777" w:rsidR="00D5759E" w:rsidRDefault="00D5759E" w:rsidP="00C05066">
            <w:pPr>
              <w:pStyle w:val="TableSideHeading"/>
              <w:rPr>
                <w:sz w:val="26"/>
                <w:rtl/>
              </w:rPr>
            </w:pPr>
            <w:r>
              <w:rPr>
                <w:sz w:val="26"/>
                <w:rtl/>
              </w:rPr>
              <w:t>בית הדין לעבודה</w:t>
            </w:r>
          </w:p>
        </w:tc>
        <w:tc>
          <w:tcPr>
            <w:tcW w:w="624" w:type="dxa"/>
            <w:tcBorders>
              <w:top w:val="nil"/>
              <w:left w:val="nil"/>
              <w:bottom w:val="nil"/>
              <w:right w:val="nil"/>
            </w:tcBorders>
          </w:tcPr>
          <w:p w14:paraId="186B4AD6" w14:textId="77777777" w:rsidR="00D5759E" w:rsidRDefault="00D5759E" w:rsidP="00C05066">
            <w:pPr>
              <w:pStyle w:val="TableText"/>
            </w:pPr>
            <w:r>
              <w:rPr>
                <w:sz w:val="26"/>
                <w:rtl/>
              </w:rPr>
              <w:t>18.</w:t>
            </w:r>
          </w:p>
        </w:tc>
        <w:tc>
          <w:tcPr>
            <w:tcW w:w="7143" w:type="dxa"/>
            <w:gridSpan w:val="2"/>
            <w:tcBorders>
              <w:top w:val="nil"/>
              <w:left w:val="nil"/>
              <w:bottom w:val="nil"/>
              <w:right w:val="nil"/>
            </w:tcBorders>
          </w:tcPr>
          <w:p w14:paraId="6722A4D1" w14:textId="77777777" w:rsidR="00D5759E" w:rsidRDefault="00D5759E" w:rsidP="00C05066">
            <w:pPr>
              <w:pStyle w:val="TableBlock"/>
              <w:rPr>
                <w:sz w:val="26"/>
                <w:rtl/>
              </w:rPr>
            </w:pPr>
            <w:r>
              <w:rPr>
                <w:sz w:val="26"/>
                <w:rtl/>
              </w:rPr>
              <w:t>לבית הדין לעבודה כמשמעותו בחוק בית הדין לעבודה, התשכ"ט–1969</w:t>
            </w:r>
            <w:r>
              <w:rPr>
                <w:rStyle w:val="a6"/>
                <w:sz w:val="26"/>
                <w:rtl/>
              </w:rPr>
              <w:footnoteReference w:id="8"/>
            </w:r>
            <w:r>
              <w:rPr>
                <w:sz w:val="26"/>
                <w:rtl/>
              </w:rPr>
              <w:t>, תהיה סמכות ייחודית לדון ולפסוק בכל תובענה לפי חוק זה ובכל הנובע ממנו.</w:t>
            </w:r>
          </w:p>
        </w:tc>
      </w:tr>
      <w:tr w:rsidR="00D5759E" w14:paraId="1E8586EB" w14:textId="77777777" w:rsidTr="00CC7A10">
        <w:trPr>
          <w:cantSplit/>
        </w:trPr>
        <w:tc>
          <w:tcPr>
            <w:tcW w:w="1870" w:type="dxa"/>
            <w:tcBorders>
              <w:top w:val="nil"/>
              <w:left w:val="nil"/>
              <w:bottom w:val="nil"/>
              <w:right w:val="nil"/>
            </w:tcBorders>
          </w:tcPr>
          <w:p w14:paraId="7778F357" w14:textId="77777777" w:rsidR="00D5759E" w:rsidRDefault="00D5759E" w:rsidP="00C05066">
            <w:pPr>
              <w:pStyle w:val="TableSideHeading"/>
              <w:rPr>
                <w:sz w:val="26"/>
                <w:rtl/>
              </w:rPr>
            </w:pPr>
            <w:r>
              <w:rPr>
                <w:sz w:val="26"/>
                <w:rtl/>
              </w:rPr>
              <w:t>תיקון חוק ביטוח בריאות ממלכתי</w:t>
            </w:r>
          </w:p>
        </w:tc>
        <w:tc>
          <w:tcPr>
            <w:tcW w:w="624" w:type="dxa"/>
            <w:tcBorders>
              <w:top w:val="nil"/>
              <w:left w:val="nil"/>
              <w:bottom w:val="nil"/>
              <w:right w:val="nil"/>
            </w:tcBorders>
          </w:tcPr>
          <w:p w14:paraId="761C3934" w14:textId="77777777" w:rsidR="00D5759E" w:rsidRDefault="00D5759E" w:rsidP="00C05066">
            <w:pPr>
              <w:pStyle w:val="TableText"/>
              <w:rPr>
                <w:sz w:val="26"/>
                <w:rtl/>
              </w:rPr>
            </w:pPr>
            <w:r>
              <w:rPr>
                <w:sz w:val="26"/>
                <w:rtl/>
              </w:rPr>
              <w:t>19.</w:t>
            </w:r>
          </w:p>
        </w:tc>
        <w:tc>
          <w:tcPr>
            <w:tcW w:w="7143" w:type="dxa"/>
            <w:gridSpan w:val="2"/>
            <w:tcBorders>
              <w:top w:val="nil"/>
              <w:left w:val="nil"/>
              <w:bottom w:val="nil"/>
              <w:right w:val="nil"/>
            </w:tcBorders>
          </w:tcPr>
          <w:p w14:paraId="33CB6F9C" w14:textId="77777777" w:rsidR="00D5759E" w:rsidRDefault="00D5759E" w:rsidP="00C05066">
            <w:pPr>
              <w:pStyle w:val="TableBlock"/>
              <w:rPr>
                <w:sz w:val="26"/>
                <w:rtl/>
              </w:rPr>
            </w:pPr>
            <w:r>
              <w:rPr>
                <w:sz w:val="26"/>
                <w:rtl/>
              </w:rPr>
              <w:t>בחוק ביטוח בריאות ממלכתי, התשנ"ד–1994</w:t>
            </w:r>
            <w:r>
              <w:rPr>
                <w:rStyle w:val="a6"/>
                <w:sz w:val="26"/>
                <w:rtl/>
              </w:rPr>
              <w:footnoteReference w:id="9"/>
            </w:r>
            <w:r>
              <w:rPr>
                <w:sz w:val="26"/>
                <w:rtl/>
              </w:rPr>
              <w:t xml:space="preserve">, </w:t>
            </w:r>
            <w:r>
              <w:rPr>
                <w:rFonts w:hint="cs"/>
                <w:sz w:val="26"/>
                <w:rtl/>
              </w:rPr>
              <w:t xml:space="preserve">בתוספת השניה, בסעיף 22א, פרט (ב) </w:t>
            </w:r>
            <w:r>
              <w:rPr>
                <w:rFonts w:hint="eastAsia"/>
                <w:sz w:val="26"/>
                <w:rtl/>
              </w:rPr>
              <w:t>–</w:t>
            </w:r>
            <w:r>
              <w:rPr>
                <w:rFonts w:hint="cs"/>
                <w:sz w:val="26"/>
                <w:rtl/>
              </w:rPr>
              <w:t xml:space="preserve"> בטל.</w:t>
            </w:r>
          </w:p>
        </w:tc>
      </w:tr>
      <w:tr w:rsidR="00D5759E" w14:paraId="39E2832D" w14:textId="77777777" w:rsidTr="00CC7A10">
        <w:trPr>
          <w:cantSplit/>
        </w:trPr>
        <w:tc>
          <w:tcPr>
            <w:tcW w:w="1870" w:type="dxa"/>
            <w:tcBorders>
              <w:top w:val="nil"/>
              <w:left w:val="nil"/>
              <w:bottom w:val="nil"/>
              <w:right w:val="nil"/>
            </w:tcBorders>
          </w:tcPr>
          <w:p w14:paraId="0395B7A5" w14:textId="77777777" w:rsidR="00D5759E" w:rsidRDefault="00D5759E" w:rsidP="00C05066">
            <w:pPr>
              <w:pStyle w:val="TableSideHeading"/>
              <w:rPr>
                <w:sz w:val="26"/>
                <w:rtl/>
              </w:rPr>
            </w:pPr>
            <w:r>
              <w:rPr>
                <w:sz w:val="26"/>
                <w:rtl/>
              </w:rPr>
              <w:lastRenderedPageBreak/>
              <w:t>תחילה</w:t>
            </w:r>
          </w:p>
        </w:tc>
        <w:tc>
          <w:tcPr>
            <w:tcW w:w="624" w:type="dxa"/>
            <w:tcBorders>
              <w:top w:val="nil"/>
              <w:left w:val="nil"/>
              <w:bottom w:val="nil"/>
              <w:right w:val="nil"/>
            </w:tcBorders>
          </w:tcPr>
          <w:p w14:paraId="21B2F95A" w14:textId="77777777" w:rsidR="00D5759E" w:rsidRDefault="00D5759E" w:rsidP="00C05066">
            <w:pPr>
              <w:pStyle w:val="TableText"/>
              <w:rPr>
                <w:sz w:val="26"/>
                <w:rtl/>
              </w:rPr>
            </w:pPr>
            <w:r>
              <w:rPr>
                <w:sz w:val="26"/>
                <w:rtl/>
              </w:rPr>
              <w:t>20.</w:t>
            </w:r>
          </w:p>
        </w:tc>
        <w:tc>
          <w:tcPr>
            <w:tcW w:w="7143" w:type="dxa"/>
            <w:gridSpan w:val="2"/>
            <w:tcBorders>
              <w:top w:val="nil"/>
              <w:left w:val="nil"/>
              <w:bottom w:val="nil"/>
              <w:right w:val="nil"/>
            </w:tcBorders>
          </w:tcPr>
          <w:p w14:paraId="6A14C550" w14:textId="77777777" w:rsidR="00D5759E" w:rsidRDefault="00D5759E" w:rsidP="00C05066">
            <w:pPr>
              <w:pStyle w:val="TableBlock"/>
              <w:rPr>
                <w:sz w:val="26"/>
                <w:rtl/>
              </w:rPr>
            </w:pPr>
            <w:r>
              <w:rPr>
                <w:sz w:val="26"/>
                <w:rtl/>
              </w:rPr>
              <w:t>תחילתו של חוק זה ביום ___________.</w:t>
            </w:r>
          </w:p>
        </w:tc>
      </w:tr>
    </w:tbl>
    <w:p w14:paraId="6FACEBCE" w14:textId="77777777" w:rsidR="00D5759E" w:rsidRDefault="00D5759E" w:rsidP="00D5759E">
      <w:pPr>
        <w:pStyle w:val="HeadDivreiHesber"/>
        <w:rPr>
          <w:rtl/>
        </w:rPr>
      </w:pPr>
      <w:r w:rsidRPr="0027450A">
        <w:rPr>
          <w:rFonts w:hint="cs"/>
          <w:rtl/>
        </w:rPr>
        <w:t>דברי הסבר</w:t>
      </w:r>
    </w:p>
    <w:p w14:paraId="57DF2190" w14:textId="77777777" w:rsidR="00D5759E" w:rsidRPr="005A0707" w:rsidRDefault="00D5759E" w:rsidP="005A0707">
      <w:pPr>
        <w:pStyle w:val="Hesber"/>
        <w:rPr>
          <w:rtl/>
        </w:rPr>
      </w:pPr>
      <w:r w:rsidRPr="005A0707">
        <w:rPr>
          <w:rFonts w:hint="cs"/>
          <w:rtl/>
        </w:rPr>
        <w:t xml:space="preserve">מטרתו של חוק זה הינה ראשית, לעגן בחקיקה ראשית את אחריותה של המדינה לבריאותו הנפשית של הציבור בישראל, כמו גם את זכותו של האזרח לטיפול נפשי-מקצועי. ושנית, להבטיח את המשך תהליך הפיתוח וההרחבה של השירותים הקיימים ואת המשך הכשרתו של דור המטפלים בבריאות הנפש לדורות הבאים. </w:t>
      </w:r>
    </w:p>
    <w:p w14:paraId="26178886" w14:textId="77777777" w:rsidR="00D5759E" w:rsidRPr="005A0707" w:rsidRDefault="00D5759E" w:rsidP="005A0707">
      <w:pPr>
        <w:pStyle w:val="Hesber"/>
        <w:rPr>
          <w:rtl/>
        </w:rPr>
      </w:pPr>
      <w:r w:rsidRPr="005A0707">
        <w:rPr>
          <w:rFonts w:hint="cs"/>
          <w:rtl/>
        </w:rPr>
        <w:t xml:space="preserve">ד"ר זיגמונד פרויד הגדיר "בריאות נפשית" כ"יכולת לעבוד ולאהוב". </w:t>
      </w:r>
    </w:p>
    <w:p w14:paraId="6FDD5624" w14:textId="77777777" w:rsidR="00D5759E" w:rsidRPr="005A0707" w:rsidRDefault="00D5759E" w:rsidP="005A0707">
      <w:pPr>
        <w:pStyle w:val="Hesber"/>
        <w:rPr>
          <w:rtl/>
        </w:rPr>
      </w:pPr>
      <w:r w:rsidRPr="005A0707">
        <w:rPr>
          <w:rFonts w:hint="cs"/>
          <w:rtl/>
        </w:rPr>
        <w:t xml:space="preserve">בריאות נפשית היא תנאי לתפקוד תקין במערכת של יחסים בין אישיים, למיצוי פוטנציאל אישי בעבודה וביצירה וכן חיים של סיפוק אישי והרגשה טובה. שמירה על בריאות נפשית תורמת לרווחת הפרט ולהעצמה של החברה כולה. </w:t>
      </w:r>
    </w:p>
    <w:p w14:paraId="193E9EA3" w14:textId="77777777" w:rsidR="00D5759E" w:rsidRPr="005A0707" w:rsidRDefault="00D5759E" w:rsidP="005A0707">
      <w:pPr>
        <w:pStyle w:val="Hesber"/>
        <w:rPr>
          <w:rtl/>
        </w:rPr>
      </w:pPr>
      <w:r w:rsidRPr="005A0707">
        <w:rPr>
          <w:rFonts w:hint="eastAsia"/>
          <w:rtl/>
        </w:rPr>
        <w:t>מדינת</w:t>
      </w:r>
      <w:r w:rsidRPr="005A0707">
        <w:rPr>
          <w:rtl/>
        </w:rPr>
        <w:t xml:space="preserve"> </w:t>
      </w:r>
      <w:r w:rsidRPr="005A0707">
        <w:rPr>
          <w:rFonts w:hint="eastAsia"/>
          <w:rtl/>
        </w:rPr>
        <w:t>ישראל</w:t>
      </w:r>
      <w:r w:rsidRPr="005A0707">
        <w:rPr>
          <w:rtl/>
        </w:rPr>
        <w:t xml:space="preserve"> </w:t>
      </w:r>
      <w:r w:rsidRPr="005A0707">
        <w:rPr>
          <w:rFonts w:hint="eastAsia"/>
          <w:rtl/>
        </w:rPr>
        <w:t>אשר</w:t>
      </w:r>
      <w:r w:rsidRPr="005A0707">
        <w:rPr>
          <w:rtl/>
        </w:rPr>
        <w:t xml:space="preserve"> </w:t>
      </w:r>
      <w:r w:rsidRPr="005A0707">
        <w:rPr>
          <w:rFonts w:hint="eastAsia"/>
          <w:rtl/>
        </w:rPr>
        <w:t>קמה</w:t>
      </w:r>
      <w:r w:rsidRPr="005A0707">
        <w:rPr>
          <w:rtl/>
        </w:rPr>
        <w:t xml:space="preserve"> </w:t>
      </w:r>
      <w:r w:rsidRPr="005A0707">
        <w:rPr>
          <w:rFonts w:hint="eastAsia"/>
          <w:rtl/>
        </w:rPr>
        <w:t>על</w:t>
      </w:r>
      <w:r w:rsidRPr="005A0707">
        <w:rPr>
          <w:rtl/>
        </w:rPr>
        <w:t xml:space="preserve"> </w:t>
      </w:r>
      <w:r w:rsidRPr="005A0707">
        <w:rPr>
          <w:rFonts w:hint="eastAsia"/>
          <w:rtl/>
        </w:rPr>
        <w:t>שרידי</w:t>
      </w:r>
      <w:r w:rsidRPr="005A0707">
        <w:rPr>
          <w:rtl/>
        </w:rPr>
        <w:t xml:space="preserve"> </w:t>
      </w:r>
      <w:r w:rsidRPr="005A0707">
        <w:rPr>
          <w:rFonts w:hint="eastAsia"/>
          <w:rtl/>
        </w:rPr>
        <w:t>חורבן</w:t>
      </w:r>
      <w:r w:rsidRPr="005A0707">
        <w:rPr>
          <w:rtl/>
        </w:rPr>
        <w:t xml:space="preserve"> </w:t>
      </w:r>
      <w:r w:rsidRPr="005A0707">
        <w:rPr>
          <w:rFonts w:hint="eastAsia"/>
          <w:rtl/>
        </w:rPr>
        <w:t>והרס</w:t>
      </w:r>
      <w:r w:rsidRPr="005A0707">
        <w:rPr>
          <w:rtl/>
        </w:rPr>
        <w:t xml:space="preserve"> </w:t>
      </w:r>
      <w:r w:rsidRPr="005A0707">
        <w:rPr>
          <w:rFonts w:hint="eastAsia"/>
          <w:rtl/>
        </w:rPr>
        <w:t>של</w:t>
      </w:r>
      <w:r w:rsidRPr="005A0707">
        <w:rPr>
          <w:rtl/>
        </w:rPr>
        <w:t xml:space="preserve"> </w:t>
      </w:r>
      <w:r w:rsidRPr="005A0707">
        <w:rPr>
          <w:rFonts w:hint="eastAsia"/>
          <w:rtl/>
        </w:rPr>
        <w:t>שנים</w:t>
      </w:r>
      <w:r w:rsidRPr="005A0707">
        <w:rPr>
          <w:rtl/>
        </w:rPr>
        <w:t xml:space="preserve"> </w:t>
      </w:r>
      <w:r w:rsidRPr="005A0707">
        <w:rPr>
          <w:rFonts w:hint="eastAsia"/>
          <w:rtl/>
        </w:rPr>
        <w:t>רבות</w:t>
      </w:r>
      <w:r w:rsidRPr="005A0707">
        <w:rPr>
          <w:rtl/>
        </w:rPr>
        <w:t xml:space="preserve">, </w:t>
      </w:r>
      <w:r w:rsidRPr="005A0707">
        <w:rPr>
          <w:rFonts w:hint="eastAsia"/>
          <w:rtl/>
        </w:rPr>
        <w:t>של</w:t>
      </w:r>
      <w:r w:rsidRPr="005A0707">
        <w:rPr>
          <w:rtl/>
        </w:rPr>
        <w:t xml:space="preserve"> </w:t>
      </w:r>
      <w:r w:rsidRPr="005A0707">
        <w:rPr>
          <w:rFonts w:hint="eastAsia"/>
          <w:rtl/>
        </w:rPr>
        <w:t>פוגרומים</w:t>
      </w:r>
      <w:r w:rsidRPr="005A0707">
        <w:rPr>
          <w:rtl/>
        </w:rPr>
        <w:t xml:space="preserve"> </w:t>
      </w:r>
      <w:r w:rsidRPr="005A0707">
        <w:rPr>
          <w:rFonts w:hint="eastAsia"/>
          <w:rtl/>
        </w:rPr>
        <w:t>ושואה</w:t>
      </w:r>
      <w:r w:rsidRPr="005A0707">
        <w:rPr>
          <w:rtl/>
        </w:rPr>
        <w:t xml:space="preserve"> </w:t>
      </w:r>
      <w:r w:rsidRPr="005A0707">
        <w:rPr>
          <w:rFonts w:hint="eastAsia"/>
          <w:rtl/>
        </w:rPr>
        <w:t>איומה</w:t>
      </w:r>
      <w:r w:rsidRPr="005A0707">
        <w:rPr>
          <w:rtl/>
        </w:rPr>
        <w:t xml:space="preserve">, </w:t>
      </w:r>
      <w:r w:rsidRPr="005A0707">
        <w:rPr>
          <w:rFonts w:hint="eastAsia"/>
          <w:rtl/>
        </w:rPr>
        <w:t>על</w:t>
      </w:r>
      <w:r w:rsidRPr="005A0707">
        <w:rPr>
          <w:rtl/>
        </w:rPr>
        <w:t xml:space="preserve"> </w:t>
      </w:r>
      <w:r w:rsidRPr="005A0707">
        <w:rPr>
          <w:rFonts w:hint="eastAsia"/>
          <w:rtl/>
        </w:rPr>
        <w:t>נפשותיהם</w:t>
      </w:r>
      <w:r w:rsidRPr="005A0707">
        <w:rPr>
          <w:rtl/>
        </w:rPr>
        <w:t xml:space="preserve"> </w:t>
      </w:r>
      <w:r w:rsidRPr="005A0707">
        <w:rPr>
          <w:rFonts w:hint="eastAsia"/>
          <w:rtl/>
        </w:rPr>
        <w:t>החבוטות</w:t>
      </w:r>
      <w:r w:rsidRPr="005A0707">
        <w:rPr>
          <w:rtl/>
        </w:rPr>
        <w:t xml:space="preserve"> </w:t>
      </w:r>
      <w:r w:rsidRPr="005A0707">
        <w:rPr>
          <w:rFonts w:hint="eastAsia"/>
          <w:rtl/>
        </w:rPr>
        <w:t>והמצולקות</w:t>
      </w:r>
      <w:r w:rsidRPr="005A0707">
        <w:rPr>
          <w:rtl/>
        </w:rPr>
        <w:t xml:space="preserve">, </w:t>
      </w:r>
      <w:r w:rsidRPr="005A0707">
        <w:rPr>
          <w:rFonts w:hint="eastAsia"/>
          <w:rtl/>
        </w:rPr>
        <w:t>מדינה</w:t>
      </w:r>
      <w:r w:rsidRPr="005A0707">
        <w:rPr>
          <w:rtl/>
        </w:rPr>
        <w:t xml:space="preserve"> </w:t>
      </w:r>
      <w:r w:rsidRPr="005A0707">
        <w:rPr>
          <w:rFonts w:hint="eastAsia"/>
          <w:rtl/>
        </w:rPr>
        <w:t>שבה</w:t>
      </w:r>
      <w:r w:rsidRPr="005A0707">
        <w:rPr>
          <w:rtl/>
        </w:rPr>
        <w:t xml:space="preserve"> </w:t>
      </w:r>
      <w:r w:rsidRPr="005A0707">
        <w:rPr>
          <w:rFonts w:hint="eastAsia"/>
          <w:rtl/>
        </w:rPr>
        <w:t>מיום</w:t>
      </w:r>
      <w:r w:rsidRPr="005A0707">
        <w:rPr>
          <w:rtl/>
        </w:rPr>
        <w:t xml:space="preserve"> </w:t>
      </w:r>
      <w:r w:rsidRPr="005A0707">
        <w:rPr>
          <w:rFonts w:hint="eastAsia"/>
          <w:rtl/>
        </w:rPr>
        <w:t>הקמתה</w:t>
      </w:r>
      <w:r w:rsidRPr="005A0707">
        <w:rPr>
          <w:rtl/>
        </w:rPr>
        <w:t xml:space="preserve"> </w:t>
      </w:r>
      <w:r w:rsidRPr="005A0707">
        <w:rPr>
          <w:rFonts w:hint="eastAsia"/>
          <w:rtl/>
        </w:rPr>
        <w:t>היא</w:t>
      </w:r>
      <w:r w:rsidRPr="005A0707">
        <w:rPr>
          <w:rtl/>
        </w:rPr>
        <w:t xml:space="preserve"> </w:t>
      </w:r>
      <w:r w:rsidRPr="005A0707">
        <w:rPr>
          <w:rFonts w:hint="eastAsia"/>
          <w:rtl/>
        </w:rPr>
        <w:t>נרדפת</w:t>
      </w:r>
      <w:r w:rsidRPr="005A0707">
        <w:rPr>
          <w:rtl/>
        </w:rPr>
        <w:t xml:space="preserve"> </w:t>
      </w:r>
      <w:r w:rsidRPr="005A0707">
        <w:rPr>
          <w:rFonts w:hint="eastAsia"/>
          <w:rtl/>
        </w:rPr>
        <w:t>על</w:t>
      </w:r>
      <w:r w:rsidRPr="005A0707">
        <w:rPr>
          <w:rtl/>
        </w:rPr>
        <w:t xml:space="preserve"> </w:t>
      </w:r>
      <w:r w:rsidRPr="005A0707">
        <w:rPr>
          <w:rFonts w:hint="eastAsia"/>
          <w:rtl/>
        </w:rPr>
        <w:t>ידי</w:t>
      </w:r>
      <w:r w:rsidRPr="005A0707">
        <w:rPr>
          <w:rtl/>
        </w:rPr>
        <w:t xml:space="preserve"> </w:t>
      </w:r>
      <w:r w:rsidRPr="005A0707">
        <w:rPr>
          <w:rFonts w:hint="eastAsia"/>
          <w:rtl/>
        </w:rPr>
        <w:t>אויביה</w:t>
      </w:r>
      <w:r w:rsidRPr="005A0707">
        <w:rPr>
          <w:rtl/>
        </w:rPr>
        <w:t xml:space="preserve"> , </w:t>
      </w:r>
      <w:r w:rsidRPr="005A0707">
        <w:rPr>
          <w:rFonts w:hint="eastAsia"/>
          <w:rtl/>
        </w:rPr>
        <w:t>סובלת</w:t>
      </w:r>
      <w:r w:rsidRPr="005A0707">
        <w:rPr>
          <w:rtl/>
        </w:rPr>
        <w:t xml:space="preserve"> </w:t>
      </w:r>
      <w:r w:rsidRPr="005A0707">
        <w:rPr>
          <w:rFonts w:hint="eastAsia"/>
          <w:rtl/>
        </w:rPr>
        <w:t>מאיום</w:t>
      </w:r>
      <w:r w:rsidRPr="005A0707">
        <w:rPr>
          <w:rtl/>
        </w:rPr>
        <w:t xml:space="preserve"> </w:t>
      </w:r>
      <w:r w:rsidRPr="005A0707">
        <w:rPr>
          <w:rFonts w:hint="eastAsia"/>
          <w:rtl/>
        </w:rPr>
        <w:t>ביטחוני</w:t>
      </w:r>
      <w:r w:rsidRPr="005A0707">
        <w:rPr>
          <w:rtl/>
        </w:rPr>
        <w:t xml:space="preserve">, </w:t>
      </w:r>
      <w:r w:rsidRPr="005A0707">
        <w:rPr>
          <w:rFonts w:hint="eastAsia"/>
          <w:rtl/>
        </w:rPr>
        <w:t>מפיגועים</w:t>
      </w:r>
      <w:r w:rsidRPr="005A0707">
        <w:rPr>
          <w:rtl/>
        </w:rPr>
        <w:t xml:space="preserve">, </w:t>
      </w:r>
      <w:r w:rsidRPr="005A0707">
        <w:rPr>
          <w:rFonts w:hint="eastAsia"/>
          <w:rtl/>
        </w:rPr>
        <w:t>ומקשיים</w:t>
      </w:r>
      <w:r w:rsidRPr="005A0707">
        <w:rPr>
          <w:rtl/>
        </w:rPr>
        <w:t xml:space="preserve"> </w:t>
      </w:r>
      <w:r w:rsidRPr="005A0707">
        <w:rPr>
          <w:rFonts w:hint="eastAsia"/>
          <w:rtl/>
        </w:rPr>
        <w:t>כלכליים</w:t>
      </w:r>
      <w:r w:rsidRPr="005A0707">
        <w:rPr>
          <w:rtl/>
        </w:rPr>
        <w:t xml:space="preserve"> </w:t>
      </w:r>
      <w:r w:rsidRPr="005A0707">
        <w:rPr>
          <w:rFonts w:hint="eastAsia"/>
          <w:rtl/>
        </w:rPr>
        <w:t>הנלווים</w:t>
      </w:r>
      <w:r w:rsidRPr="005A0707">
        <w:rPr>
          <w:rtl/>
        </w:rPr>
        <w:t xml:space="preserve"> </w:t>
      </w:r>
      <w:r w:rsidRPr="005A0707">
        <w:rPr>
          <w:rFonts w:hint="eastAsia"/>
          <w:rtl/>
        </w:rPr>
        <w:t>אליהם</w:t>
      </w:r>
      <w:r w:rsidRPr="005A0707">
        <w:rPr>
          <w:rtl/>
        </w:rPr>
        <w:t xml:space="preserve">, </w:t>
      </w:r>
      <w:r w:rsidRPr="005A0707">
        <w:rPr>
          <w:rFonts w:hint="eastAsia"/>
          <w:rtl/>
        </w:rPr>
        <w:t>המאבק</w:t>
      </w:r>
      <w:r w:rsidRPr="005A0707">
        <w:rPr>
          <w:rtl/>
        </w:rPr>
        <w:t xml:space="preserve"> </w:t>
      </w:r>
      <w:r w:rsidRPr="005A0707">
        <w:rPr>
          <w:rFonts w:hint="eastAsia"/>
          <w:rtl/>
        </w:rPr>
        <w:t>על</w:t>
      </w:r>
      <w:r w:rsidRPr="005A0707">
        <w:rPr>
          <w:rtl/>
        </w:rPr>
        <w:t xml:space="preserve"> </w:t>
      </w:r>
      <w:r w:rsidRPr="005A0707">
        <w:rPr>
          <w:rFonts w:hint="eastAsia"/>
          <w:rtl/>
        </w:rPr>
        <w:t>שמירת</w:t>
      </w:r>
      <w:r w:rsidRPr="005A0707">
        <w:rPr>
          <w:rtl/>
        </w:rPr>
        <w:t xml:space="preserve"> </w:t>
      </w:r>
      <w:r w:rsidRPr="005A0707">
        <w:rPr>
          <w:rFonts w:hint="eastAsia"/>
          <w:rtl/>
        </w:rPr>
        <w:t>השפיות</w:t>
      </w:r>
      <w:r w:rsidRPr="005A0707">
        <w:rPr>
          <w:rtl/>
        </w:rPr>
        <w:t xml:space="preserve"> </w:t>
      </w:r>
      <w:r w:rsidRPr="005A0707">
        <w:rPr>
          <w:rFonts w:hint="eastAsia"/>
          <w:rtl/>
        </w:rPr>
        <w:t>והחוסן</w:t>
      </w:r>
      <w:r w:rsidRPr="005A0707">
        <w:rPr>
          <w:rtl/>
        </w:rPr>
        <w:t xml:space="preserve"> </w:t>
      </w:r>
      <w:r w:rsidRPr="005A0707">
        <w:rPr>
          <w:rFonts w:hint="eastAsia"/>
          <w:rtl/>
        </w:rPr>
        <w:t>הנפשי</w:t>
      </w:r>
      <w:r w:rsidRPr="005A0707">
        <w:rPr>
          <w:rtl/>
        </w:rPr>
        <w:t xml:space="preserve"> </w:t>
      </w:r>
      <w:r w:rsidRPr="005A0707">
        <w:rPr>
          <w:rFonts w:hint="eastAsia"/>
          <w:rtl/>
        </w:rPr>
        <w:t>הוא</w:t>
      </w:r>
      <w:r w:rsidRPr="005A0707">
        <w:rPr>
          <w:rtl/>
        </w:rPr>
        <w:t xml:space="preserve"> </w:t>
      </w:r>
      <w:r w:rsidRPr="005A0707">
        <w:rPr>
          <w:rFonts w:hint="eastAsia"/>
          <w:rtl/>
        </w:rPr>
        <w:t>מאבק</w:t>
      </w:r>
      <w:r w:rsidRPr="005A0707">
        <w:rPr>
          <w:rtl/>
        </w:rPr>
        <w:t xml:space="preserve"> </w:t>
      </w:r>
      <w:r w:rsidRPr="005A0707">
        <w:rPr>
          <w:rFonts w:hint="eastAsia"/>
          <w:rtl/>
        </w:rPr>
        <w:t>יומיומי</w:t>
      </w:r>
      <w:r w:rsidRPr="005A0707">
        <w:rPr>
          <w:rtl/>
        </w:rPr>
        <w:t xml:space="preserve"> </w:t>
      </w:r>
      <w:r w:rsidRPr="005A0707">
        <w:rPr>
          <w:rFonts w:hint="eastAsia"/>
          <w:rtl/>
        </w:rPr>
        <w:t>שהינו</w:t>
      </w:r>
      <w:r w:rsidRPr="005A0707">
        <w:rPr>
          <w:rtl/>
        </w:rPr>
        <w:t xml:space="preserve"> </w:t>
      </w:r>
      <w:r w:rsidRPr="005A0707">
        <w:rPr>
          <w:rFonts w:hint="eastAsia"/>
          <w:rtl/>
        </w:rPr>
        <w:t>בגדר</w:t>
      </w:r>
      <w:r w:rsidRPr="005A0707">
        <w:rPr>
          <w:rtl/>
        </w:rPr>
        <w:t xml:space="preserve"> </w:t>
      </w:r>
      <w:r w:rsidRPr="005A0707">
        <w:rPr>
          <w:rFonts w:hint="eastAsia"/>
          <w:rtl/>
        </w:rPr>
        <w:t>הכרח</w:t>
      </w:r>
      <w:r w:rsidRPr="005A0707">
        <w:rPr>
          <w:rtl/>
        </w:rPr>
        <w:t xml:space="preserve"> </w:t>
      </w:r>
      <w:r w:rsidRPr="005A0707">
        <w:rPr>
          <w:rFonts w:hint="eastAsia"/>
          <w:rtl/>
        </w:rPr>
        <w:t>קיומי</w:t>
      </w:r>
      <w:r w:rsidRPr="005A0707">
        <w:rPr>
          <w:rtl/>
        </w:rPr>
        <w:t>.</w:t>
      </w:r>
    </w:p>
    <w:p w14:paraId="12589AED" w14:textId="77777777" w:rsidR="00D5759E" w:rsidRPr="005A0707" w:rsidRDefault="00D5759E" w:rsidP="005A0707">
      <w:pPr>
        <w:pStyle w:val="Hesber"/>
        <w:rPr>
          <w:rtl/>
        </w:rPr>
      </w:pPr>
      <w:r w:rsidRPr="005A0707">
        <w:rPr>
          <w:rFonts w:hint="eastAsia"/>
          <w:rtl/>
        </w:rPr>
        <w:t>במשך</w:t>
      </w:r>
      <w:r w:rsidRPr="005A0707">
        <w:rPr>
          <w:rtl/>
        </w:rPr>
        <w:t xml:space="preserve"> </w:t>
      </w:r>
      <w:r w:rsidRPr="005A0707">
        <w:rPr>
          <w:rFonts w:hint="eastAsia"/>
          <w:rtl/>
        </w:rPr>
        <w:t>עשרות</w:t>
      </w:r>
      <w:r w:rsidRPr="005A0707">
        <w:rPr>
          <w:rtl/>
        </w:rPr>
        <w:t xml:space="preserve"> </w:t>
      </w:r>
      <w:r w:rsidRPr="005A0707">
        <w:rPr>
          <w:rFonts w:hint="eastAsia"/>
          <w:rtl/>
        </w:rPr>
        <w:t>שנות</w:t>
      </w:r>
      <w:r w:rsidRPr="005A0707">
        <w:rPr>
          <w:rtl/>
        </w:rPr>
        <w:t xml:space="preserve"> </w:t>
      </w:r>
      <w:r w:rsidRPr="005A0707">
        <w:rPr>
          <w:rFonts w:hint="eastAsia"/>
          <w:rtl/>
        </w:rPr>
        <w:t>קיום</w:t>
      </w:r>
      <w:r w:rsidRPr="005A0707">
        <w:rPr>
          <w:rtl/>
        </w:rPr>
        <w:t xml:space="preserve"> </w:t>
      </w:r>
      <w:r w:rsidRPr="005A0707">
        <w:rPr>
          <w:rFonts w:hint="eastAsia"/>
          <w:rtl/>
        </w:rPr>
        <w:t>המדינה</w:t>
      </w:r>
      <w:r w:rsidRPr="005A0707">
        <w:rPr>
          <w:rtl/>
        </w:rPr>
        <w:t xml:space="preserve">, </w:t>
      </w:r>
      <w:r w:rsidRPr="005A0707">
        <w:rPr>
          <w:rFonts w:hint="eastAsia"/>
          <w:rtl/>
        </w:rPr>
        <w:t>ואף</w:t>
      </w:r>
      <w:r w:rsidRPr="005A0707">
        <w:rPr>
          <w:rtl/>
        </w:rPr>
        <w:t xml:space="preserve"> </w:t>
      </w:r>
      <w:r w:rsidRPr="005A0707">
        <w:rPr>
          <w:rFonts w:hint="eastAsia"/>
          <w:rtl/>
        </w:rPr>
        <w:t>לפני</w:t>
      </w:r>
      <w:r w:rsidRPr="005A0707">
        <w:rPr>
          <w:rtl/>
        </w:rPr>
        <w:t xml:space="preserve"> </w:t>
      </w:r>
      <w:r w:rsidRPr="005A0707">
        <w:rPr>
          <w:rFonts w:hint="eastAsia"/>
          <w:rtl/>
        </w:rPr>
        <w:t>כן</w:t>
      </w:r>
      <w:r w:rsidRPr="005A0707">
        <w:rPr>
          <w:rtl/>
        </w:rPr>
        <w:t xml:space="preserve"> </w:t>
      </w:r>
      <w:r w:rsidRPr="005A0707">
        <w:rPr>
          <w:rFonts w:hint="eastAsia"/>
          <w:rtl/>
        </w:rPr>
        <w:t>עם</w:t>
      </w:r>
      <w:r w:rsidRPr="005A0707">
        <w:rPr>
          <w:rtl/>
        </w:rPr>
        <w:t xml:space="preserve"> </w:t>
      </w:r>
      <w:r w:rsidRPr="005A0707">
        <w:rPr>
          <w:rFonts w:hint="eastAsia"/>
          <w:rtl/>
        </w:rPr>
        <w:t>הבאתם</w:t>
      </w:r>
      <w:r w:rsidRPr="005A0707">
        <w:rPr>
          <w:rtl/>
        </w:rPr>
        <w:t xml:space="preserve"> </w:t>
      </w:r>
      <w:r w:rsidRPr="005A0707">
        <w:rPr>
          <w:rFonts w:hint="eastAsia"/>
          <w:rtl/>
        </w:rPr>
        <w:t>לארץ</w:t>
      </w:r>
      <w:r w:rsidRPr="005A0707">
        <w:rPr>
          <w:rtl/>
        </w:rPr>
        <w:t xml:space="preserve"> </w:t>
      </w:r>
      <w:r w:rsidRPr="005A0707">
        <w:rPr>
          <w:rFonts w:hint="eastAsia"/>
          <w:rtl/>
        </w:rPr>
        <w:t>של</w:t>
      </w:r>
      <w:r w:rsidRPr="005A0707">
        <w:rPr>
          <w:rtl/>
        </w:rPr>
        <w:t xml:space="preserve"> </w:t>
      </w:r>
      <w:r w:rsidRPr="005A0707">
        <w:rPr>
          <w:rFonts w:hint="eastAsia"/>
          <w:rtl/>
        </w:rPr>
        <w:t>הילדים</w:t>
      </w:r>
      <w:r w:rsidRPr="005A0707">
        <w:rPr>
          <w:rtl/>
        </w:rPr>
        <w:t xml:space="preserve"> </w:t>
      </w:r>
      <w:r w:rsidRPr="005A0707">
        <w:rPr>
          <w:rFonts w:hint="eastAsia"/>
          <w:rtl/>
        </w:rPr>
        <w:t>הניצולים</w:t>
      </w:r>
      <w:r w:rsidRPr="005A0707">
        <w:rPr>
          <w:rtl/>
        </w:rPr>
        <w:t xml:space="preserve"> </w:t>
      </w:r>
      <w:r w:rsidRPr="005A0707">
        <w:rPr>
          <w:rFonts w:hint="eastAsia"/>
          <w:rtl/>
        </w:rPr>
        <w:t>פותחה</w:t>
      </w:r>
      <w:r w:rsidRPr="005A0707">
        <w:rPr>
          <w:rtl/>
        </w:rPr>
        <w:t xml:space="preserve"> </w:t>
      </w:r>
      <w:r w:rsidRPr="005A0707">
        <w:rPr>
          <w:rFonts w:hint="eastAsia"/>
          <w:rtl/>
        </w:rPr>
        <w:t>במדינת</w:t>
      </w:r>
      <w:r w:rsidRPr="005A0707">
        <w:rPr>
          <w:rtl/>
        </w:rPr>
        <w:t xml:space="preserve"> </w:t>
      </w:r>
      <w:r w:rsidRPr="005A0707">
        <w:rPr>
          <w:rFonts w:hint="eastAsia"/>
          <w:rtl/>
        </w:rPr>
        <w:t>ישראל</w:t>
      </w:r>
      <w:r w:rsidRPr="005A0707">
        <w:rPr>
          <w:rtl/>
        </w:rPr>
        <w:t xml:space="preserve"> </w:t>
      </w:r>
      <w:r w:rsidRPr="005A0707">
        <w:rPr>
          <w:rFonts w:hint="eastAsia"/>
          <w:rtl/>
        </w:rPr>
        <w:t>מערכת</w:t>
      </w:r>
      <w:r w:rsidRPr="005A0707">
        <w:rPr>
          <w:rtl/>
        </w:rPr>
        <w:t xml:space="preserve"> </w:t>
      </w:r>
      <w:r w:rsidRPr="005A0707">
        <w:rPr>
          <w:rFonts w:hint="eastAsia"/>
          <w:rtl/>
        </w:rPr>
        <w:t>ציבורית</w:t>
      </w:r>
      <w:r w:rsidRPr="005A0707">
        <w:rPr>
          <w:rtl/>
        </w:rPr>
        <w:t xml:space="preserve">, </w:t>
      </w:r>
      <w:r w:rsidRPr="005A0707">
        <w:rPr>
          <w:rFonts w:hint="eastAsia"/>
          <w:rtl/>
        </w:rPr>
        <w:t>מקצועית</w:t>
      </w:r>
      <w:r w:rsidRPr="005A0707">
        <w:rPr>
          <w:rtl/>
        </w:rPr>
        <w:t xml:space="preserve"> </w:t>
      </w:r>
      <w:r w:rsidRPr="005A0707">
        <w:rPr>
          <w:rFonts w:hint="eastAsia"/>
          <w:rtl/>
        </w:rPr>
        <w:t>ביותר</w:t>
      </w:r>
      <w:r w:rsidRPr="005A0707">
        <w:rPr>
          <w:rtl/>
        </w:rPr>
        <w:t xml:space="preserve"> </w:t>
      </w:r>
      <w:r w:rsidRPr="005A0707">
        <w:rPr>
          <w:rFonts w:hint="eastAsia"/>
          <w:rtl/>
        </w:rPr>
        <w:t>ומסורה</w:t>
      </w:r>
      <w:r w:rsidRPr="005A0707">
        <w:rPr>
          <w:rtl/>
        </w:rPr>
        <w:t xml:space="preserve">, </w:t>
      </w:r>
      <w:r w:rsidRPr="005A0707">
        <w:rPr>
          <w:rFonts w:hint="eastAsia"/>
          <w:rtl/>
        </w:rPr>
        <w:t>לקידום</w:t>
      </w:r>
      <w:r w:rsidRPr="005A0707">
        <w:rPr>
          <w:rtl/>
        </w:rPr>
        <w:t xml:space="preserve"> </w:t>
      </w:r>
      <w:r w:rsidRPr="005A0707">
        <w:rPr>
          <w:rFonts w:hint="eastAsia"/>
          <w:rtl/>
        </w:rPr>
        <w:t>בריאות</w:t>
      </w:r>
      <w:r w:rsidRPr="005A0707">
        <w:rPr>
          <w:rtl/>
        </w:rPr>
        <w:t xml:space="preserve"> </w:t>
      </w:r>
      <w:r w:rsidRPr="005A0707">
        <w:rPr>
          <w:rFonts w:hint="eastAsia"/>
          <w:rtl/>
        </w:rPr>
        <w:t>הנפש</w:t>
      </w:r>
      <w:r w:rsidRPr="005A0707">
        <w:rPr>
          <w:rtl/>
        </w:rPr>
        <w:t xml:space="preserve"> </w:t>
      </w:r>
      <w:r w:rsidRPr="005A0707">
        <w:rPr>
          <w:rFonts w:hint="eastAsia"/>
          <w:rtl/>
        </w:rPr>
        <w:t>של</w:t>
      </w:r>
      <w:r w:rsidRPr="005A0707">
        <w:rPr>
          <w:rtl/>
        </w:rPr>
        <w:t xml:space="preserve"> </w:t>
      </w:r>
      <w:r w:rsidRPr="005A0707">
        <w:rPr>
          <w:rFonts w:hint="eastAsia"/>
          <w:rtl/>
        </w:rPr>
        <w:t>הציבור</w:t>
      </w:r>
      <w:r w:rsidRPr="005A0707">
        <w:rPr>
          <w:rtl/>
        </w:rPr>
        <w:t xml:space="preserve"> </w:t>
      </w:r>
      <w:r w:rsidRPr="005A0707">
        <w:rPr>
          <w:rFonts w:hint="eastAsia"/>
          <w:rtl/>
        </w:rPr>
        <w:t>בישראל</w:t>
      </w:r>
      <w:r w:rsidRPr="005A0707">
        <w:rPr>
          <w:rtl/>
        </w:rPr>
        <w:t>.</w:t>
      </w:r>
    </w:p>
    <w:p w14:paraId="6C3C230D" w14:textId="77777777" w:rsidR="00D5759E" w:rsidRPr="005A0707" w:rsidRDefault="00D5759E" w:rsidP="005A0707">
      <w:pPr>
        <w:pStyle w:val="Hesber"/>
        <w:rPr>
          <w:rtl/>
        </w:rPr>
      </w:pPr>
      <w:r w:rsidRPr="005A0707">
        <w:rPr>
          <w:rtl/>
        </w:rPr>
        <w:t xml:space="preserve"> בתחנות אשר נפרשו ברחבי המדינה נבנה מערך של פעולות איתור של אוכלוסיות בסיכון, מתן אבחון וטיפול לאוכלוסיות הסובלות ממצוקה נפשית. </w:t>
      </w:r>
    </w:p>
    <w:p w14:paraId="5A19A953" w14:textId="77777777" w:rsidR="00D5759E" w:rsidRPr="005A0707" w:rsidRDefault="00D5759E" w:rsidP="005A0707">
      <w:pPr>
        <w:pStyle w:val="Hesber"/>
        <w:rPr>
          <w:rtl/>
        </w:rPr>
      </w:pPr>
      <w:r w:rsidRPr="005A0707">
        <w:rPr>
          <w:rFonts w:hint="eastAsia"/>
          <w:rtl/>
        </w:rPr>
        <w:t>יתרונו</w:t>
      </w:r>
      <w:r w:rsidRPr="005A0707">
        <w:rPr>
          <w:rtl/>
        </w:rPr>
        <w:t xml:space="preserve"> </w:t>
      </w:r>
      <w:r w:rsidRPr="005A0707">
        <w:rPr>
          <w:rFonts w:hint="eastAsia"/>
          <w:rtl/>
        </w:rPr>
        <w:t>הגדול</w:t>
      </w:r>
      <w:r w:rsidRPr="005A0707">
        <w:rPr>
          <w:rtl/>
        </w:rPr>
        <w:t xml:space="preserve"> </w:t>
      </w:r>
      <w:r w:rsidRPr="005A0707">
        <w:rPr>
          <w:rFonts w:hint="eastAsia"/>
          <w:rtl/>
        </w:rPr>
        <w:t>של</w:t>
      </w:r>
      <w:r w:rsidRPr="005A0707">
        <w:rPr>
          <w:rtl/>
        </w:rPr>
        <w:t xml:space="preserve"> </w:t>
      </w:r>
      <w:r w:rsidRPr="005A0707">
        <w:rPr>
          <w:rFonts w:hint="eastAsia"/>
          <w:rtl/>
        </w:rPr>
        <w:t>מערך</w:t>
      </w:r>
      <w:r w:rsidRPr="005A0707">
        <w:rPr>
          <w:rtl/>
        </w:rPr>
        <w:t xml:space="preserve"> </w:t>
      </w:r>
      <w:r w:rsidRPr="005A0707">
        <w:rPr>
          <w:rFonts w:hint="eastAsia"/>
          <w:rtl/>
        </w:rPr>
        <w:t>הטיפול</w:t>
      </w:r>
      <w:r w:rsidRPr="005A0707">
        <w:rPr>
          <w:rtl/>
        </w:rPr>
        <w:t xml:space="preserve"> </w:t>
      </w:r>
      <w:r w:rsidRPr="005A0707">
        <w:rPr>
          <w:rFonts w:hint="eastAsia"/>
          <w:rtl/>
        </w:rPr>
        <w:t>בבריאות</w:t>
      </w:r>
      <w:r w:rsidRPr="005A0707">
        <w:rPr>
          <w:rtl/>
        </w:rPr>
        <w:t xml:space="preserve"> </w:t>
      </w:r>
      <w:r w:rsidRPr="005A0707">
        <w:rPr>
          <w:rFonts w:hint="eastAsia"/>
          <w:rtl/>
        </w:rPr>
        <w:t>הנפש</w:t>
      </w:r>
      <w:r w:rsidRPr="005A0707">
        <w:rPr>
          <w:rtl/>
        </w:rPr>
        <w:t xml:space="preserve"> </w:t>
      </w:r>
      <w:r w:rsidRPr="005A0707">
        <w:rPr>
          <w:rFonts w:hint="eastAsia"/>
          <w:rtl/>
        </w:rPr>
        <w:t>הינו</w:t>
      </w:r>
      <w:r w:rsidRPr="005A0707">
        <w:rPr>
          <w:rtl/>
        </w:rPr>
        <w:t xml:space="preserve"> </w:t>
      </w:r>
      <w:r w:rsidRPr="005A0707">
        <w:rPr>
          <w:rFonts w:hint="eastAsia"/>
          <w:rtl/>
        </w:rPr>
        <w:t>בכך</w:t>
      </w:r>
      <w:r w:rsidRPr="005A0707">
        <w:rPr>
          <w:rtl/>
        </w:rPr>
        <w:t xml:space="preserve"> </w:t>
      </w:r>
      <w:r w:rsidRPr="005A0707">
        <w:rPr>
          <w:rFonts w:hint="eastAsia"/>
          <w:rtl/>
        </w:rPr>
        <w:t>שכל</w:t>
      </w:r>
      <w:r w:rsidRPr="005A0707">
        <w:rPr>
          <w:rtl/>
        </w:rPr>
        <w:t xml:space="preserve"> </w:t>
      </w:r>
      <w:r w:rsidRPr="005A0707">
        <w:rPr>
          <w:rFonts w:hint="eastAsia"/>
          <w:rtl/>
        </w:rPr>
        <w:t>אדם</w:t>
      </w:r>
      <w:r w:rsidRPr="005A0707">
        <w:rPr>
          <w:rtl/>
        </w:rPr>
        <w:t xml:space="preserve"> </w:t>
      </w:r>
      <w:r w:rsidRPr="005A0707">
        <w:rPr>
          <w:rFonts w:hint="eastAsia"/>
          <w:rtl/>
        </w:rPr>
        <w:t>במדינה</w:t>
      </w:r>
      <w:r w:rsidRPr="005A0707">
        <w:rPr>
          <w:rtl/>
        </w:rPr>
        <w:t xml:space="preserve"> </w:t>
      </w:r>
      <w:r w:rsidRPr="005A0707">
        <w:rPr>
          <w:rFonts w:hint="eastAsia"/>
          <w:rtl/>
        </w:rPr>
        <w:t>ידע</w:t>
      </w:r>
      <w:r w:rsidRPr="005A0707">
        <w:rPr>
          <w:rtl/>
        </w:rPr>
        <w:t xml:space="preserve"> </w:t>
      </w:r>
      <w:r w:rsidRPr="005A0707">
        <w:rPr>
          <w:rFonts w:hint="eastAsia"/>
          <w:rtl/>
        </w:rPr>
        <w:t>כי</w:t>
      </w:r>
      <w:r w:rsidRPr="005A0707">
        <w:rPr>
          <w:rtl/>
        </w:rPr>
        <w:t xml:space="preserve"> </w:t>
      </w:r>
      <w:r w:rsidRPr="005A0707">
        <w:rPr>
          <w:rFonts w:hint="eastAsia"/>
          <w:rtl/>
        </w:rPr>
        <w:t>בעת</w:t>
      </w:r>
      <w:r w:rsidRPr="005A0707">
        <w:rPr>
          <w:rtl/>
        </w:rPr>
        <w:t xml:space="preserve"> </w:t>
      </w:r>
      <w:r w:rsidRPr="005A0707">
        <w:rPr>
          <w:rFonts w:hint="eastAsia"/>
          <w:rtl/>
        </w:rPr>
        <w:t>מצוקה</w:t>
      </w:r>
      <w:r w:rsidRPr="005A0707">
        <w:rPr>
          <w:rtl/>
        </w:rPr>
        <w:t xml:space="preserve"> </w:t>
      </w:r>
      <w:r w:rsidRPr="005A0707">
        <w:rPr>
          <w:rFonts w:hint="eastAsia"/>
          <w:rtl/>
        </w:rPr>
        <w:t>נפשית</w:t>
      </w:r>
      <w:r w:rsidRPr="005A0707">
        <w:rPr>
          <w:rtl/>
        </w:rPr>
        <w:t xml:space="preserve"> </w:t>
      </w:r>
      <w:r w:rsidRPr="005A0707">
        <w:rPr>
          <w:rFonts w:hint="eastAsia"/>
          <w:rtl/>
        </w:rPr>
        <w:t>קיימת</w:t>
      </w:r>
      <w:r w:rsidRPr="005A0707">
        <w:rPr>
          <w:rtl/>
        </w:rPr>
        <w:t xml:space="preserve"> </w:t>
      </w:r>
      <w:r w:rsidRPr="005A0707">
        <w:rPr>
          <w:rFonts w:hint="eastAsia"/>
          <w:rtl/>
        </w:rPr>
        <w:t>כתובת</w:t>
      </w:r>
      <w:r w:rsidRPr="005A0707">
        <w:rPr>
          <w:rtl/>
        </w:rPr>
        <w:t xml:space="preserve"> </w:t>
      </w:r>
      <w:r w:rsidRPr="005A0707">
        <w:rPr>
          <w:rFonts w:hint="eastAsia"/>
          <w:rtl/>
        </w:rPr>
        <w:t>ברורה</w:t>
      </w:r>
      <w:r w:rsidRPr="005A0707">
        <w:rPr>
          <w:rtl/>
        </w:rPr>
        <w:t xml:space="preserve">, </w:t>
      </w:r>
      <w:r w:rsidRPr="005A0707">
        <w:rPr>
          <w:rFonts w:hint="eastAsia"/>
          <w:rtl/>
        </w:rPr>
        <w:t>מוגדרת</w:t>
      </w:r>
      <w:r w:rsidRPr="005A0707">
        <w:rPr>
          <w:rtl/>
        </w:rPr>
        <w:t xml:space="preserve">, </w:t>
      </w:r>
      <w:r w:rsidRPr="005A0707">
        <w:rPr>
          <w:rFonts w:hint="eastAsia"/>
          <w:rtl/>
        </w:rPr>
        <w:t>מוגנת</w:t>
      </w:r>
      <w:r w:rsidRPr="005A0707">
        <w:rPr>
          <w:rtl/>
        </w:rPr>
        <w:t xml:space="preserve"> </w:t>
      </w:r>
      <w:r w:rsidRPr="005A0707">
        <w:rPr>
          <w:rFonts w:hint="eastAsia"/>
          <w:rtl/>
        </w:rPr>
        <w:t>ומקצועית</w:t>
      </w:r>
      <w:r w:rsidRPr="005A0707">
        <w:rPr>
          <w:rtl/>
        </w:rPr>
        <w:t xml:space="preserve"> </w:t>
      </w:r>
      <w:r w:rsidRPr="005A0707">
        <w:rPr>
          <w:rFonts w:hint="eastAsia"/>
          <w:rtl/>
        </w:rPr>
        <w:t>אליה</w:t>
      </w:r>
      <w:r w:rsidRPr="005A0707">
        <w:rPr>
          <w:rtl/>
        </w:rPr>
        <w:t xml:space="preserve"> </w:t>
      </w:r>
      <w:r w:rsidRPr="005A0707">
        <w:rPr>
          <w:rFonts w:hint="eastAsia"/>
          <w:rtl/>
        </w:rPr>
        <w:t>הוא</w:t>
      </w:r>
      <w:r w:rsidRPr="005A0707">
        <w:rPr>
          <w:rtl/>
        </w:rPr>
        <w:t xml:space="preserve"> </w:t>
      </w:r>
      <w:r w:rsidRPr="005A0707">
        <w:rPr>
          <w:rFonts w:hint="eastAsia"/>
          <w:rtl/>
        </w:rPr>
        <w:t>יכול</w:t>
      </w:r>
      <w:r w:rsidRPr="005A0707">
        <w:rPr>
          <w:rtl/>
        </w:rPr>
        <w:t xml:space="preserve"> </w:t>
      </w:r>
      <w:r w:rsidRPr="005A0707">
        <w:rPr>
          <w:rFonts w:hint="eastAsia"/>
          <w:rtl/>
        </w:rPr>
        <w:t>לפנות</w:t>
      </w:r>
      <w:r w:rsidRPr="005A0707">
        <w:rPr>
          <w:rtl/>
        </w:rPr>
        <w:t xml:space="preserve"> </w:t>
      </w:r>
      <w:r w:rsidRPr="005A0707">
        <w:rPr>
          <w:rFonts w:hint="eastAsia"/>
          <w:rtl/>
        </w:rPr>
        <w:t>כאשר</w:t>
      </w:r>
      <w:r w:rsidRPr="005A0707">
        <w:rPr>
          <w:rtl/>
        </w:rPr>
        <w:t xml:space="preserve"> </w:t>
      </w:r>
      <w:r w:rsidRPr="005A0707">
        <w:rPr>
          <w:rFonts w:hint="eastAsia"/>
          <w:rtl/>
        </w:rPr>
        <w:t>הוא</w:t>
      </w:r>
      <w:r w:rsidRPr="005A0707">
        <w:rPr>
          <w:rtl/>
        </w:rPr>
        <w:t xml:space="preserve"> </w:t>
      </w:r>
      <w:r w:rsidRPr="005A0707">
        <w:rPr>
          <w:rFonts w:hint="eastAsia"/>
          <w:rtl/>
        </w:rPr>
        <w:t>חש</w:t>
      </w:r>
      <w:r w:rsidRPr="005A0707">
        <w:rPr>
          <w:rtl/>
        </w:rPr>
        <w:t xml:space="preserve"> </w:t>
      </w:r>
      <w:r w:rsidRPr="005A0707">
        <w:rPr>
          <w:rFonts w:hint="eastAsia"/>
          <w:rtl/>
        </w:rPr>
        <w:t>צורך</w:t>
      </w:r>
      <w:r w:rsidRPr="005A0707">
        <w:rPr>
          <w:rtl/>
        </w:rPr>
        <w:t xml:space="preserve"> </w:t>
      </w:r>
      <w:r w:rsidRPr="005A0707">
        <w:rPr>
          <w:rFonts w:hint="eastAsia"/>
          <w:rtl/>
        </w:rPr>
        <w:t>לטפל</w:t>
      </w:r>
      <w:r w:rsidRPr="005A0707">
        <w:rPr>
          <w:rtl/>
        </w:rPr>
        <w:t xml:space="preserve"> </w:t>
      </w:r>
      <w:r w:rsidRPr="005A0707">
        <w:rPr>
          <w:rFonts w:hint="eastAsia"/>
          <w:rtl/>
        </w:rPr>
        <w:t>במצוקותיו</w:t>
      </w:r>
      <w:r w:rsidRPr="005A0707">
        <w:rPr>
          <w:rtl/>
        </w:rPr>
        <w:t xml:space="preserve">. </w:t>
      </w:r>
      <w:r w:rsidRPr="005A0707">
        <w:rPr>
          <w:rFonts w:hint="eastAsia"/>
          <w:rtl/>
        </w:rPr>
        <w:t>רק</w:t>
      </w:r>
      <w:r w:rsidRPr="005A0707">
        <w:rPr>
          <w:rtl/>
        </w:rPr>
        <w:t xml:space="preserve"> </w:t>
      </w:r>
      <w:r w:rsidRPr="005A0707">
        <w:rPr>
          <w:rFonts w:hint="eastAsia"/>
          <w:rtl/>
        </w:rPr>
        <w:t>במקום</w:t>
      </w:r>
      <w:r w:rsidRPr="005A0707">
        <w:rPr>
          <w:rtl/>
        </w:rPr>
        <w:t xml:space="preserve"> </w:t>
      </w:r>
      <w:r w:rsidRPr="005A0707">
        <w:rPr>
          <w:rFonts w:hint="eastAsia"/>
          <w:rtl/>
        </w:rPr>
        <w:t>זה</w:t>
      </w:r>
      <w:r w:rsidRPr="005A0707">
        <w:rPr>
          <w:rtl/>
        </w:rPr>
        <w:t xml:space="preserve"> </w:t>
      </w:r>
      <w:r w:rsidRPr="005A0707">
        <w:rPr>
          <w:rFonts w:hint="eastAsia"/>
          <w:rtl/>
        </w:rPr>
        <w:t>ניתן</w:t>
      </w:r>
      <w:r w:rsidRPr="005A0707">
        <w:rPr>
          <w:rtl/>
        </w:rPr>
        <w:t xml:space="preserve"> </w:t>
      </w:r>
      <w:r w:rsidRPr="005A0707">
        <w:rPr>
          <w:rFonts w:hint="eastAsia"/>
          <w:rtl/>
        </w:rPr>
        <w:t>יהיה</w:t>
      </w:r>
      <w:r w:rsidRPr="005A0707">
        <w:rPr>
          <w:rtl/>
        </w:rPr>
        <w:t xml:space="preserve"> </w:t>
      </w:r>
      <w:r w:rsidRPr="005A0707">
        <w:rPr>
          <w:rFonts w:hint="eastAsia"/>
          <w:rtl/>
        </w:rPr>
        <w:t>לאבחן</w:t>
      </w:r>
      <w:r w:rsidRPr="005A0707">
        <w:rPr>
          <w:rtl/>
        </w:rPr>
        <w:t xml:space="preserve"> </w:t>
      </w:r>
      <w:r w:rsidRPr="005A0707">
        <w:rPr>
          <w:rFonts w:hint="eastAsia"/>
          <w:rtl/>
        </w:rPr>
        <w:t>כנדרש</w:t>
      </w:r>
      <w:r w:rsidRPr="005A0707">
        <w:rPr>
          <w:rtl/>
        </w:rPr>
        <w:t xml:space="preserve"> </w:t>
      </w:r>
      <w:r w:rsidRPr="005A0707">
        <w:rPr>
          <w:rFonts w:hint="eastAsia"/>
          <w:rtl/>
        </w:rPr>
        <w:t>את</w:t>
      </w:r>
      <w:r w:rsidRPr="005A0707">
        <w:rPr>
          <w:rtl/>
        </w:rPr>
        <w:t xml:space="preserve"> </w:t>
      </w:r>
      <w:r w:rsidRPr="005A0707">
        <w:rPr>
          <w:rFonts w:hint="eastAsia"/>
          <w:rtl/>
        </w:rPr>
        <w:t>הבעיות</w:t>
      </w:r>
      <w:r w:rsidRPr="005A0707">
        <w:rPr>
          <w:rtl/>
        </w:rPr>
        <w:t xml:space="preserve"> </w:t>
      </w:r>
      <w:r w:rsidRPr="005A0707">
        <w:rPr>
          <w:rFonts w:hint="eastAsia"/>
          <w:rtl/>
        </w:rPr>
        <w:t>ולסייע</w:t>
      </w:r>
      <w:r w:rsidRPr="005A0707">
        <w:rPr>
          <w:rtl/>
        </w:rPr>
        <w:t xml:space="preserve"> </w:t>
      </w:r>
      <w:r w:rsidRPr="005A0707">
        <w:rPr>
          <w:rFonts w:hint="eastAsia"/>
          <w:rtl/>
        </w:rPr>
        <w:t>בטיפול</w:t>
      </w:r>
      <w:r w:rsidRPr="005A0707">
        <w:rPr>
          <w:rtl/>
        </w:rPr>
        <w:t xml:space="preserve"> </w:t>
      </w:r>
      <w:r w:rsidRPr="005A0707">
        <w:rPr>
          <w:rFonts w:hint="eastAsia"/>
          <w:rtl/>
        </w:rPr>
        <w:t>בהן</w:t>
      </w:r>
      <w:r w:rsidRPr="005A0707">
        <w:rPr>
          <w:rtl/>
        </w:rPr>
        <w:t>.</w:t>
      </w:r>
    </w:p>
    <w:p w14:paraId="2581BBE2" w14:textId="77777777" w:rsidR="00D5759E" w:rsidRPr="005A0707" w:rsidRDefault="00D5759E" w:rsidP="005A0707">
      <w:pPr>
        <w:pStyle w:val="Hesber"/>
        <w:rPr>
          <w:rtl/>
        </w:rPr>
      </w:pPr>
      <w:r w:rsidRPr="005A0707">
        <w:rPr>
          <w:rFonts w:hint="eastAsia"/>
          <w:rtl/>
        </w:rPr>
        <w:t>יש</w:t>
      </w:r>
      <w:r w:rsidRPr="005A0707">
        <w:rPr>
          <w:rtl/>
        </w:rPr>
        <w:t xml:space="preserve"> לזכור ולהדגיש כי בשונה מהטיפול לו זוכה הציבור כאשר עסקינן בגוף ולא בנפש, דורש הטיפול </w:t>
      </w:r>
      <w:r w:rsidRPr="005A0707">
        <w:rPr>
          <w:rFonts w:hint="eastAsia"/>
          <w:rtl/>
        </w:rPr>
        <w:t>בנפש</w:t>
      </w:r>
      <w:r w:rsidRPr="005A0707">
        <w:rPr>
          <w:rtl/>
        </w:rPr>
        <w:t xml:space="preserve"> </w:t>
      </w:r>
      <w:r w:rsidRPr="005A0707">
        <w:rPr>
          <w:rFonts w:hint="eastAsia"/>
          <w:rtl/>
        </w:rPr>
        <w:t>שמירה</w:t>
      </w:r>
      <w:r w:rsidRPr="005A0707">
        <w:rPr>
          <w:rtl/>
        </w:rPr>
        <w:t xml:space="preserve"> </w:t>
      </w:r>
      <w:r w:rsidRPr="005A0707">
        <w:rPr>
          <w:rFonts w:hint="eastAsia"/>
          <w:rtl/>
        </w:rPr>
        <w:t>על</w:t>
      </w:r>
      <w:r w:rsidRPr="005A0707">
        <w:rPr>
          <w:rtl/>
        </w:rPr>
        <w:t xml:space="preserve"> </w:t>
      </w:r>
      <w:r w:rsidRPr="005A0707">
        <w:rPr>
          <w:rFonts w:hint="eastAsia"/>
          <w:rtl/>
        </w:rPr>
        <w:t>מידה</w:t>
      </w:r>
      <w:r w:rsidRPr="005A0707">
        <w:rPr>
          <w:rtl/>
        </w:rPr>
        <w:t xml:space="preserve"> </w:t>
      </w:r>
      <w:r w:rsidRPr="005A0707">
        <w:rPr>
          <w:rFonts w:hint="eastAsia"/>
          <w:rtl/>
        </w:rPr>
        <w:t>רבה</w:t>
      </w:r>
      <w:r w:rsidRPr="005A0707">
        <w:rPr>
          <w:rtl/>
        </w:rPr>
        <w:t xml:space="preserve"> </w:t>
      </w:r>
      <w:r w:rsidRPr="005A0707">
        <w:rPr>
          <w:rFonts w:hint="eastAsia"/>
          <w:rtl/>
        </w:rPr>
        <w:t>של</w:t>
      </w:r>
      <w:r w:rsidRPr="005A0707">
        <w:rPr>
          <w:rtl/>
        </w:rPr>
        <w:t xml:space="preserve"> </w:t>
      </w:r>
      <w:r w:rsidRPr="005A0707">
        <w:rPr>
          <w:rFonts w:hint="eastAsia"/>
          <w:rtl/>
        </w:rPr>
        <w:t>גמישות</w:t>
      </w:r>
      <w:r w:rsidRPr="005A0707">
        <w:rPr>
          <w:rtl/>
        </w:rPr>
        <w:t xml:space="preserve"> </w:t>
      </w:r>
      <w:r w:rsidRPr="005A0707">
        <w:rPr>
          <w:rFonts w:hint="eastAsia"/>
          <w:rtl/>
        </w:rPr>
        <w:t>ושיקול</w:t>
      </w:r>
      <w:r w:rsidRPr="005A0707">
        <w:rPr>
          <w:rtl/>
        </w:rPr>
        <w:t xml:space="preserve"> </w:t>
      </w:r>
      <w:r w:rsidRPr="005A0707">
        <w:rPr>
          <w:rFonts w:hint="eastAsia"/>
          <w:rtl/>
        </w:rPr>
        <w:t>דעת</w:t>
      </w:r>
      <w:r w:rsidRPr="005A0707">
        <w:rPr>
          <w:rtl/>
        </w:rPr>
        <w:t xml:space="preserve"> </w:t>
      </w:r>
      <w:r w:rsidRPr="005A0707">
        <w:rPr>
          <w:rFonts w:hint="eastAsia"/>
          <w:rtl/>
        </w:rPr>
        <w:t>אצל</w:t>
      </w:r>
      <w:r w:rsidRPr="005A0707">
        <w:rPr>
          <w:rtl/>
        </w:rPr>
        <w:t xml:space="preserve"> </w:t>
      </w:r>
      <w:r w:rsidRPr="005A0707">
        <w:rPr>
          <w:rFonts w:hint="eastAsia"/>
          <w:rtl/>
        </w:rPr>
        <w:t>הגורמים</w:t>
      </w:r>
      <w:r w:rsidRPr="005A0707">
        <w:rPr>
          <w:rtl/>
        </w:rPr>
        <w:t xml:space="preserve"> </w:t>
      </w:r>
      <w:r w:rsidRPr="005A0707">
        <w:rPr>
          <w:rFonts w:hint="eastAsia"/>
          <w:rtl/>
        </w:rPr>
        <w:t>המטפלים</w:t>
      </w:r>
      <w:r w:rsidRPr="005A0707">
        <w:rPr>
          <w:rtl/>
        </w:rPr>
        <w:t xml:space="preserve">. </w:t>
      </w:r>
      <w:r w:rsidRPr="005A0707">
        <w:rPr>
          <w:rFonts w:hint="eastAsia"/>
          <w:rtl/>
        </w:rPr>
        <w:t>בוודאי</w:t>
      </w:r>
      <w:r w:rsidRPr="005A0707">
        <w:rPr>
          <w:rtl/>
        </w:rPr>
        <w:t xml:space="preserve"> </w:t>
      </w:r>
      <w:r w:rsidRPr="005A0707">
        <w:rPr>
          <w:rFonts w:hint="eastAsia"/>
          <w:rtl/>
        </w:rPr>
        <w:t>שבטיפול</w:t>
      </w:r>
      <w:r w:rsidRPr="005A0707">
        <w:rPr>
          <w:rtl/>
        </w:rPr>
        <w:t xml:space="preserve"> </w:t>
      </w:r>
      <w:r w:rsidRPr="005A0707">
        <w:rPr>
          <w:rFonts w:hint="eastAsia"/>
          <w:rtl/>
        </w:rPr>
        <w:t>בבריאות</w:t>
      </w:r>
      <w:r w:rsidRPr="005A0707">
        <w:rPr>
          <w:rtl/>
        </w:rPr>
        <w:t xml:space="preserve"> </w:t>
      </w:r>
      <w:r w:rsidRPr="005A0707">
        <w:rPr>
          <w:rFonts w:hint="eastAsia"/>
          <w:rtl/>
        </w:rPr>
        <w:t>הנפש</w:t>
      </w:r>
      <w:r w:rsidRPr="005A0707">
        <w:rPr>
          <w:rtl/>
        </w:rPr>
        <w:t xml:space="preserve"> </w:t>
      </w:r>
      <w:r w:rsidRPr="005A0707">
        <w:rPr>
          <w:rFonts w:hint="eastAsia"/>
          <w:rtl/>
        </w:rPr>
        <w:t>לא</w:t>
      </w:r>
      <w:r w:rsidRPr="005A0707">
        <w:rPr>
          <w:rtl/>
        </w:rPr>
        <w:t xml:space="preserve"> </w:t>
      </w:r>
      <w:r w:rsidRPr="005A0707">
        <w:rPr>
          <w:rFonts w:hint="eastAsia"/>
          <w:rtl/>
        </w:rPr>
        <w:t>ניתן</w:t>
      </w:r>
      <w:r w:rsidRPr="005A0707">
        <w:rPr>
          <w:rtl/>
        </w:rPr>
        <w:t xml:space="preserve"> </w:t>
      </w:r>
      <w:r w:rsidRPr="005A0707">
        <w:rPr>
          <w:rFonts w:hint="eastAsia"/>
          <w:rtl/>
        </w:rPr>
        <w:t>להגדיר</w:t>
      </w:r>
      <w:r w:rsidRPr="005A0707">
        <w:rPr>
          <w:rtl/>
        </w:rPr>
        <w:t xml:space="preserve"> </w:t>
      </w:r>
      <w:r w:rsidRPr="005A0707">
        <w:rPr>
          <w:rFonts w:hint="eastAsia"/>
          <w:rtl/>
        </w:rPr>
        <w:t>מראש</w:t>
      </w:r>
      <w:r w:rsidRPr="005A0707">
        <w:rPr>
          <w:rtl/>
        </w:rPr>
        <w:t xml:space="preserve"> "סל" </w:t>
      </w:r>
      <w:r w:rsidRPr="005A0707">
        <w:rPr>
          <w:rFonts w:hint="eastAsia"/>
          <w:rtl/>
        </w:rPr>
        <w:t>טיפולים</w:t>
      </w:r>
      <w:r w:rsidRPr="005A0707">
        <w:rPr>
          <w:rtl/>
        </w:rPr>
        <w:t xml:space="preserve">, </w:t>
      </w:r>
      <w:r w:rsidRPr="005A0707">
        <w:rPr>
          <w:rFonts w:hint="eastAsia"/>
          <w:rtl/>
        </w:rPr>
        <w:t>כפי</w:t>
      </w:r>
      <w:r w:rsidRPr="005A0707">
        <w:rPr>
          <w:rtl/>
        </w:rPr>
        <w:t xml:space="preserve"> </w:t>
      </w:r>
      <w:r w:rsidRPr="005A0707">
        <w:rPr>
          <w:rFonts w:hint="eastAsia"/>
          <w:rtl/>
        </w:rPr>
        <w:t>המצב</w:t>
      </w:r>
      <w:r w:rsidRPr="005A0707">
        <w:rPr>
          <w:rtl/>
        </w:rPr>
        <w:t xml:space="preserve"> </w:t>
      </w:r>
      <w:r w:rsidRPr="005A0707">
        <w:rPr>
          <w:rFonts w:hint="eastAsia"/>
          <w:rtl/>
        </w:rPr>
        <w:t>בבואנו</w:t>
      </w:r>
      <w:r w:rsidRPr="005A0707">
        <w:rPr>
          <w:rtl/>
        </w:rPr>
        <w:t xml:space="preserve"> </w:t>
      </w:r>
      <w:r w:rsidRPr="005A0707">
        <w:rPr>
          <w:rFonts w:hint="eastAsia"/>
          <w:rtl/>
        </w:rPr>
        <w:t>לטפל</w:t>
      </w:r>
      <w:r w:rsidRPr="005A0707">
        <w:rPr>
          <w:rtl/>
        </w:rPr>
        <w:t xml:space="preserve"> </w:t>
      </w:r>
      <w:r w:rsidRPr="005A0707">
        <w:rPr>
          <w:rFonts w:hint="eastAsia"/>
          <w:rtl/>
        </w:rPr>
        <w:t>בתחומי</w:t>
      </w:r>
      <w:r w:rsidRPr="005A0707">
        <w:rPr>
          <w:rtl/>
        </w:rPr>
        <w:t xml:space="preserve"> </w:t>
      </w:r>
      <w:r w:rsidRPr="005A0707">
        <w:rPr>
          <w:rFonts w:hint="eastAsia"/>
          <w:rtl/>
        </w:rPr>
        <w:t>בריאות</w:t>
      </w:r>
      <w:r w:rsidRPr="005A0707">
        <w:rPr>
          <w:rtl/>
        </w:rPr>
        <w:t xml:space="preserve"> </w:t>
      </w:r>
      <w:r w:rsidRPr="005A0707">
        <w:rPr>
          <w:rFonts w:hint="eastAsia"/>
          <w:rtl/>
        </w:rPr>
        <w:t>אחרים</w:t>
      </w:r>
      <w:r w:rsidRPr="005A0707">
        <w:rPr>
          <w:rtl/>
        </w:rPr>
        <w:t>.</w:t>
      </w:r>
    </w:p>
    <w:p w14:paraId="7D1181B3" w14:textId="77777777" w:rsidR="00D5759E" w:rsidRDefault="00D5759E" w:rsidP="005A0707">
      <w:pPr>
        <w:pStyle w:val="Hesber"/>
        <w:rPr>
          <w:rtl/>
        </w:rPr>
      </w:pPr>
      <w:r w:rsidRPr="005A0707">
        <w:rPr>
          <w:rFonts w:hint="eastAsia"/>
          <w:rtl/>
        </w:rPr>
        <w:t>ועל</w:t>
      </w:r>
      <w:r w:rsidRPr="005A0707">
        <w:rPr>
          <w:rtl/>
        </w:rPr>
        <w:t xml:space="preserve"> </w:t>
      </w:r>
      <w:r w:rsidRPr="005A0707">
        <w:rPr>
          <w:rFonts w:hint="eastAsia"/>
          <w:rtl/>
        </w:rPr>
        <w:t>כן</w:t>
      </w:r>
      <w:r w:rsidRPr="005A0707">
        <w:rPr>
          <w:rtl/>
        </w:rPr>
        <w:t xml:space="preserve"> </w:t>
      </w:r>
      <w:r w:rsidRPr="005A0707">
        <w:rPr>
          <w:rFonts w:hint="eastAsia"/>
          <w:rtl/>
        </w:rPr>
        <w:t>מוצע</w:t>
      </w:r>
      <w:r w:rsidRPr="005A0707">
        <w:rPr>
          <w:rtl/>
        </w:rPr>
        <w:t xml:space="preserve">, </w:t>
      </w:r>
      <w:r w:rsidRPr="005A0707">
        <w:rPr>
          <w:rFonts w:hint="eastAsia"/>
          <w:rtl/>
        </w:rPr>
        <w:t>להבטיח</w:t>
      </w:r>
      <w:r w:rsidRPr="005A0707">
        <w:rPr>
          <w:rtl/>
        </w:rPr>
        <w:t xml:space="preserve"> </w:t>
      </w:r>
      <w:r w:rsidRPr="005A0707">
        <w:rPr>
          <w:rFonts w:hint="eastAsia"/>
          <w:rtl/>
        </w:rPr>
        <w:t>את</w:t>
      </w:r>
      <w:r w:rsidRPr="005A0707">
        <w:rPr>
          <w:rtl/>
        </w:rPr>
        <w:t xml:space="preserve"> </w:t>
      </w:r>
      <w:r w:rsidRPr="005A0707">
        <w:rPr>
          <w:rFonts w:hint="eastAsia"/>
          <w:rtl/>
        </w:rPr>
        <w:t>הזכות</w:t>
      </w:r>
      <w:r w:rsidRPr="005A0707">
        <w:rPr>
          <w:rtl/>
        </w:rPr>
        <w:t xml:space="preserve"> </w:t>
      </w:r>
      <w:r w:rsidRPr="005A0707">
        <w:rPr>
          <w:rFonts w:hint="eastAsia"/>
          <w:rtl/>
        </w:rPr>
        <w:t>לעזרה</w:t>
      </w:r>
      <w:r w:rsidRPr="005A0707">
        <w:rPr>
          <w:rtl/>
        </w:rPr>
        <w:t xml:space="preserve">, </w:t>
      </w:r>
      <w:r w:rsidRPr="005A0707">
        <w:rPr>
          <w:rFonts w:hint="eastAsia"/>
          <w:rtl/>
        </w:rPr>
        <w:t>אבחון</w:t>
      </w:r>
      <w:r w:rsidRPr="005A0707">
        <w:rPr>
          <w:rtl/>
        </w:rPr>
        <w:t xml:space="preserve"> </w:t>
      </w:r>
      <w:r w:rsidRPr="005A0707">
        <w:rPr>
          <w:rFonts w:hint="eastAsia"/>
          <w:rtl/>
        </w:rPr>
        <w:t>וטיפול</w:t>
      </w:r>
      <w:r w:rsidRPr="005A0707">
        <w:rPr>
          <w:rtl/>
        </w:rPr>
        <w:t xml:space="preserve"> </w:t>
      </w:r>
      <w:r w:rsidRPr="005A0707">
        <w:rPr>
          <w:rFonts w:hint="eastAsia"/>
          <w:rtl/>
        </w:rPr>
        <w:t>לכל</w:t>
      </w:r>
      <w:r w:rsidRPr="005A0707">
        <w:rPr>
          <w:rtl/>
        </w:rPr>
        <w:t xml:space="preserve"> </w:t>
      </w:r>
      <w:r w:rsidRPr="005A0707">
        <w:rPr>
          <w:rFonts w:hint="eastAsia"/>
          <w:rtl/>
        </w:rPr>
        <w:t>תושב</w:t>
      </w:r>
      <w:r w:rsidRPr="005A0707">
        <w:rPr>
          <w:rtl/>
        </w:rPr>
        <w:t xml:space="preserve"> </w:t>
      </w:r>
      <w:r w:rsidRPr="005A0707">
        <w:rPr>
          <w:rFonts w:hint="eastAsia"/>
          <w:rtl/>
        </w:rPr>
        <w:t>במדינה</w:t>
      </w:r>
      <w:r w:rsidRPr="005A0707">
        <w:rPr>
          <w:rtl/>
        </w:rPr>
        <w:t xml:space="preserve"> </w:t>
      </w:r>
      <w:r w:rsidRPr="005A0707">
        <w:rPr>
          <w:rFonts w:hint="eastAsia"/>
          <w:rtl/>
        </w:rPr>
        <w:t>החש</w:t>
      </w:r>
      <w:r w:rsidRPr="005A0707">
        <w:rPr>
          <w:rtl/>
        </w:rPr>
        <w:t xml:space="preserve"> </w:t>
      </w:r>
      <w:r w:rsidRPr="005A0707">
        <w:rPr>
          <w:rFonts w:hint="eastAsia"/>
          <w:rtl/>
        </w:rPr>
        <w:t>במצוקה</w:t>
      </w:r>
      <w:r w:rsidRPr="005A0707">
        <w:rPr>
          <w:rtl/>
        </w:rPr>
        <w:t xml:space="preserve"> </w:t>
      </w:r>
      <w:r w:rsidRPr="005A0707">
        <w:rPr>
          <w:rFonts w:hint="eastAsia"/>
          <w:rtl/>
        </w:rPr>
        <w:t>נפשית</w:t>
      </w:r>
      <w:r w:rsidRPr="005A0707">
        <w:rPr>
          <w:rtl/>
        </w:rPr>
        <w:t>.</w:t>
      </w:r>
    </w:p>
    <w:p w14:paraId="5B581552" w14:textId="427BE644" w:rsidR="000F20D6" w:rsidRPr="005A0707" w:rsidRDefault="000F20D6" w:rsidP="000F20D6">
      <w:pPr>
        <w:pStyle w:val="Hesber"/>
        <w:rPr>
          <w:rtl/>
        </w:rPr>
      </w:pPr>
      <w:r w:rsidRPr="005A0707">
        <w:rPr>
          <w:rFonts w:hint="cs"/>
          <w:rtl/>
        </w:rPr>
        <w:t>הצע</w:t>
      </w:r>
      <w:r>
        <w:rPr>
          <w:rFonts w:hint="cs"/>
          <w:rtl/>
        </w:rPr>
        <w:t>ו</w:t>
      </w:r>
      <w:r w:rsidRPr="005A0707">
        <w:rPr>
          <w:rFonts w:hint="cs"/>
          <w:rtl/>
        </w:rPr>
        <w:t>ת חוק זה</w:t>
      </w:r>
      <w:r>
        <w:rPr>
          <w:rFonts w:hint="cs"/>
          <w:rtl/>
        </w:rPr>
        <w:t>ות</w:t>
      </w:r>
      <w:r w:rsidRPr="005A0707">
        <w:rPr>
          <w:rFonts w:hint="cs"/>
          <w:rtl/>
        </w:rPr>
        <w:t xml:space="preserve"> הונח</w:t>
      </w:r>
      <w:r>
        <w:rPr>
          <w:rFonts w:hint="cs"/>
          <w:rtl/>
        </w:rPr>
        <w:t>ו</w:t>
      </w:r>
      <w:r w:rsidRPr="005A0707">
        <w:rPr>
          <w:rFonts w:hint="cs"/>
          <w:rtl/>
        </w:rPr>
        <w:t xml:space="preserve"> ע</w:t>
      </w:r>
      <w:r w:rsidR="00C25B3B">
        <w:rPr>
          <w:rFonts w:hint="cs"/>
          <w:rtl/>
        </w:rPr>
        <w:t>ל שולחן הכנסת העשרים על ידי חברי</w:t>
      </w:r>
      <w:r w:rsidRPr="005A0707">
        <w:rPr>
          <w:rFonts w:hint="cs"/>
          <w:rtl/>
        </w:rPr>
        <w:t xml:space="preserve"> הכנסת שלי יחימוביץ' ודב חנין (פ/1495/20)</w:t>
      </w:r>
      <w:r w:rsidR="00B217BD">
        <w:rPr>
          <w:rFonts w:hint="cs"/>
          <w:rtl/>
        </w:rPr>
        <w:t xml:space="preserve"> ועל ידי חברת הכנסת עאידה תומא</w:t>
      </w:r>
      <w:r w:rsidRPr="005A0707">
        <w:rPr>
          <w:rFonts w:hint="cs"/>
          <w:rtl/>
        </w:rPr>
        <w:t xml:space="preserve"> סלימאן וקבוצת חברי </w:t>
      </w:r>
      <w:r>
        <w:rPr>
          <w:rFonts w:hint="cs"/>
          <w:rtl/>
        </w:rPr>
        <w:t>ה</w:t>
      </w:r>
      <w:r w:rsidRPr="005A0707">
        <w:rPr>
          <w:rFonts w:hint="cs"/>
          <w:rtl/>
        </w:rPr>
        <w:t>כנסת (פ/3088/20).</w:t>
      </w:r>
    </w:p>
    <w:p w14:paraId="23A99D80" w14:textId="0130456B" w:rsidR="00D5759E" w:rsidRDefault="00D5759E" w:rsidP="005A0707">
      <w:pPr>
        <w:pStyle w:val="Hesber"/>
        <w:rPr>
          <w:rtl/>
        </w:rPr>
      </w:pPr>
      <w:r w:rsidRPr="005A0707">
        <w:rPr>
          <w:rtl/>
        </w:rPr>
        <w:t xml:space="preserve">הצעות חוק </w:t>
      </w:r>
      <w:r w:rsidRPr="005A0707">
        <w:rPr>
          <w:rFonts w:hint="eastAsia"/>
          <w:rtl/>
        </w:rPr>
        <w:t>דומות</w:t>
      </w:r>
      <w:r w:rsidRPr="005A0707">
        <w:rPr>
          <w:rtl/>
        </w:rPr>
        <w:t xml:space="preserve"> </w:t>
      </w:r>
      <w:r w:rsidRPr="005A0707">
        <w:rPr>
          <w:rFonts w:hint="eastAsia"/>
          <w:rtl/>
        </w:rPr>
        <w:t>בעיקרן</w:t>
      </w:r>
      <w:r w:rsidRPr="005A0707">
        <w:rPr>
          <w:rtl/>
        </w:rPr>
        <w:t xml:space="preserve"> הונחו על שולחן הכנסת השבע-עשרה על ידי חברת הכנסת שלי יחימוביץ' וקבוצת חברי הכנסת (פ/3359/17)</w:t>
      </w:r>
      <w:r w:rsidR="000E6A04">
        <w:rPr>
          <w:rFonts w:hint="cs"/>
          <w:rtl/>
        </w:rPr>
        <w:t>,</w:t>
      </w:r>
      <w:r w:rsidR="00B217BD">
        <w:rPr>
          <w:rFonts w:hint="cs"/>
          <w:rtl/>
        </w:rPr>
        <w:t xml:space="preserve"> </w:t>
      </w:r>
      <w:r w:rsidRPr="005A0707">
        <w:rPr>
          <w:rtl/>
        </w:rPr>
        <w:t xml:space="preserve">על שולחן הכנסת השמונה-עשרה </w:t>
      </w:r>
      <w:r w:rsidRPr="005A0707">
        <w:rPr>
          <w:rFonts w:hint="eastAsia"/>
          <w:rtl/>
        </w:rPr>
        <w:t>ועל</w:t>
      </w:r>
      <w:r w:rsidRPr="005A0707">
        <w:rPr>
          <w:rtl/>
        </w:rPr>
        <w:t xml:space="preserve"> שולחן הכנסת התשע-עשרה על ידי חברי הכנסת שלי יחימוביץ' ודב חנין (פ/1125/18; פ/689/19).</w:t>
      </w:r>
    </w:p>
    <w:p w14:paraId="3B98F61A" w14:textId="127810FE" w:rsidR="00594AAD" w:rsidRDefault="00594AAD" w:rsidP="005A0707">
      <w:pPr>
        <w:pStyle w:val="Hesber"/>
        <w:rPr>
          <w:rtl/>
        </w:rPr>
      </w:pPr>
    </w:p>
    <w:p w14:paraId="6C4E68E4" w14:textId="77777777" w:rsidR="00594AAD" w:rsidRPr="00D73212" w:rsidRDefault="00594AAD" w:rsidP="00594AAD">
      <w:pPr>
        <w:pStyle w:val="Hesber"/>
        <w:ind w:firstLine="0"/>
        <w:rPr>
          <w:color w:val="auto"/>
          <w:rtl/>
          <w:lang w:eastAsia="en-US"/>
        </w:rPr>
      </w:pPr>
      <w:r w:rsidRPr="00D73212">
        <w:rPr>
          <w:color w:val="auto"/>
          <w:rtl/>
          <w:lang w:eastAsia="en-US"/>
        </w:rPr>
        <w:t>---------------------------------</w:t>
      </w:r>
    </w:p>
    <w:p w14:paraId="171AEDA3" w14:textId="77777777" w:rsidR="00594AAD" w:rsidRPr="00D73212" w:rsidRDefault="00594AAD" w:rsidP="00594AAD">
      <w:pPr>
        <w:pStyle w:val="Hesber"/>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7F1B54F6" w14:textId="77777777" w:rsidR="00594AAD" w:rsidRPr="00D73212" w:rsidRDefault="00594AAD" w:rsidP="00594AAD">
      <w:pPr>
        <w:pStyle w:val="Hesber"/>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56975DE6" w14:textId="77777777" w:rsidR="00594AAD" w:rsidRPr="005E6543" w:rsidRDefault="00594AAD" w:rsidP="00594AAD">
      <w:pPr>
        <w:pStyle w:val="Hesber"/>
        <w:ind w:firstLine="0"/>
        <w:rPr>
          <w:rtl/>
        </w:rPr>
      </w:pPr>
      <w:r>
        <w:rPr>
          <w:rFonts w:hint="cs"/>
          <w:color w:val="auto"/>
          <w:rtl/>
          <w:lang w:eastAsia="en-US"/>
        </w:rPr>
        <w:t xml:space="preserve">י"א בכסלו </w:t>
      </w:r>
      <w:r w:rsidRPr="00D73212">
        <w:rPr>
          <w:rFonts w:hint="cs"/>
          <w:color w:val="auto"/>
          <w:rtl/>
          <w:lang w:eastAsia="en-US"/>
        </w:rPr>
        <w:t>התש</w:t>
      </w:r>
      <w:r>
        <w:rPr>
          <w:rFonts w:hint="cs"/>
          <w:color w:val="auto"/>
          <w:rtl/>
          <w:lang w:eastAsia="en-US"/>
        </w:rPr>
        <w:t xml:space="preserve">"ף </w:t>
      </w:r>
      <w:r w:rsidRPr="00D73212">
        <w:rPr>
          <w:color w:val="auto"/>
          <w:rtl/>
          <w:lang w:eastAsia="en-US"/>
        </w:rPr>
        <w:t>–</w:t>
      </w:r>
      <w:r>
        <w:rPr>
          <w:rFonts w:hint="cs"/>
          <w:color w:val="auto"/>
          <w:rtl/>
          <w:lang w:eastAsia="en-US"/>
        </w:rPr>
        <w:t xml:space="preserve"> 9.12</w:t>
      </w:r>
      <w:r w:rsidRPr="00D73212">
        <w:rPr>
          <w:color w:val="auto"/>
          <w:rtl/>
          <w:lang w:eastAsia="en-US"/>
        </w:rPr>
        <w:t>.</w:t>
      </w:r>
      <w:r>
        <w:rPr>
          <w:rFonts w:hint="cs"/>
          <w:color w:val="auto"/>
          <w:rtl/>
          <w:lang w:eastAsia="en-US"/>
        </w:rPr>
        <w:t>19</w:t>
      </w:r>
    </w:p>
    <w:p w14:paraId="3FFE1BAA" w14:textId="77777777" w:rsidR="00594AAD" w:rsidRPr="005A0707" w:rsidRDefault="00594AAD" w:rsidP="005A0707">
      <w:pPr>
        <w:pStyle w:val="Hesber"/>
        <w:rPr>
          <w:rtl/>
        </w:rPr>
      </w:pPr>
      <w:bookmarkStart w:id="8" w:name="_GoBack"/>
      <w:bookmarkEnd w:id="8"/>
    </w:p>
    <w:sectPr w:rsidR="00594AAD" w:rsidRPr="005A070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C38BB68"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94AAD">
      <w:rPr>
        <w:rStyle w:val="ab"/>
        <w:noProof/>
        <w:rtl/>
      </w:rPr>
      <w:t>7</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F6FF168" w14:textId="77777777" w:rsidR="00D5759E" w:rsidRDefault="00D5759E" w:rsidP="00D5759E">
      <w:pPr>
        <w:pStyle w:val="a4"/>
      </w:pPr>
      <w:r>
        <w:rPr>
          <w:rStyle w:val="a6"/>
        </w:rPr>
        <w:footnoteRef/>
      </w:r>
      <w:r>
        <w:rPr>
          <w:sz w:val="20"/>
          <w:rtl/>
        </w:rPr>
        <w:t xml:space="preserve"> ס"ח התשל"ז, עמ' 158.</w:t>
      </w:r>
    </w:p>
  </w:footnote>
  <w:footnote w:id="3">
    <w:p w14:paraId="548CDBF3" w14:textId="77777777" w:rsidR="00D5759E" w:rsidRDefault="00D5759E" w:rsidP="00D5759E">
      <w:pPr>
        <w:pStyle w:val="a4"/>
      </w:pPr>
      <w:r>
        <w:rPr>
          <w:rStyle w:val="a6"/>
        </w:rPr>
        <w:footnoteRef/>
      </w:r>
      <w:r>
        <w:rPr>
          <w:sz w:val="20"/>
          <w:rtl/>
        </w:rPr>
        <w:t xml:space="preserve"> דיני מדינת ישראל, נוסח חדש 30, עמ' 594.</w:t>
      </w:r>
    </w:p>
  </w:footnote>
  <w:footnote w:id="4">
    <w:p w14:paraId="3ADEE9D2" w14:textId="77777777" w:rsidR="00D5759E" w:rsidRDefault="00D5759E" w:rsidP="00D5759E">
      <w:pPr>
        <w:pStyle w:val="a4"/>
      </w:pPr>
      <w:r>
        <w:rPr>
          <w:rStyle w:val="a6"/>
        </w:rPr>
        <w:footnoteRef/>
      </w:r>
      <w:r>
        <w:rPr>
          <w:sz w:val="20"/>
          <w:rtl/>
        </w:rPr>
        <w:t xml:space="preserve"> ס"ח התשנ"ו, עמ' 152.</w:t>
      </w:r>
    </w:p>
  </w:footnote>
  <w:footnote w:id="5">
    <w:p w14:paraId="14BCF063" w14:textId="77777777" w:rsidR="00D5759E" w:rsidRDefault="00D5759E" w:rsidP="00D5759E">
      <w:pPr>
        <w:pStyle w:val="a4"/>
      </w:pPr>
      <w:r>
        <w:rPr>
          <w:rStyle w:val="a6"/>
        </w:rPr>
        <w:footnoteRef/>
      </w:r>
      <w:r>
        <w:rPr>
          <w:sz w:val="20"/>
          <w:rtl/>
        </w:rPr>
        <w:t xml:space="preserve"> ס"ח התש"ט, עמ' 287.</w:t>
      </w:r>
    </w:p>
  </w:footnote>
  <w:footnote w:id="6">
    <w:p w14:paraId="2F5ECA4D" w14:textId="77777777" w:rsidR="00D5759E" w:rsidRDefault="00D5759E" w:rsidP="00D5759E">
      <w:pPr>
        <w:pStyle w:val="a4"/>
      </w:pPr>
      <w:r>
        <w:rPr>
          <w:rStyle w:val="a6"/>
        </w:rPr>
        <w:footnoteRef/>
      </w:r>
      <w:r>
        <w:rPr>
          <w:sz w:val="20"/>
          <w:rtl/>
        </w:rPr>
        <w:t xml:space="preserve"> ס"ח התשי"א, עמ' 78.</w:t>
      </w:r>
    </w:p>
  </w:footnote>
  <w:footnote w:id="7">
    <w:p w14:paraId="6283B89F" w14:textId="77777777" w:rsidR="00D5759E" w:rsidRDefault="00D5759E" w:rsidP="00D5759E">
      <w:pPr>
        <w:pStyle w:val="a4"/>
      </w:pPr>
      <w:r>
        <w:rPr>
          <w:rStyle w:val="a6"/>
        </w:rPr>
        <w:footnoteRef/>
      </w:r>
      <w:r>
        <w:rPr>
          <w:sz w:val="20"/>
          <w:rtl/>
        </w:rPr>
        <w:t xml:space="preserve"> דיני מדינת ישראל, נוסח חדש 17, עמ' 390.</w:t>
      </w:r>
    </w:p>
  </w:footnote>
  <w:footnote w:id="8">
    <w:p w14:paraId="724EA4FE" w14:textId="77777777" w:rsidR="00D5759E" w:rsidRDefault="00D5759E" w:rsidP="00D5759E">
      <w:pPr>
        <w:pStyle w:val="a4"/>
      </w:pPr>
      <w:r>
        <w:rPr>
          <w:rStyle w:val="a6"/>
        </w:rPr>
        <w:footnoteRef/>
      </w:r>
      <w:r>
        <w:rPr>
          <w:sz w:val="20"/>
          <w:rtl/>
        </w:rPr>
        <w:t xml:space="preserve"> ס"ח התשכ"ט, עמ' 70.</w:t>
      </w:r>
    </w:p>
  </w:footnote>
  <w:footnote w:id="9">
    <w:p w14:paraId="4E1CA06E" w14:textId="77777777" w:rsidR="00D5759E" w:rsidRDefault="00D5759E" w:rsidP="00D5759E">
      <w:pPr>
        <w:pStyle w:val="a4"/>
        <w:rPr>
          <w:rtl/>
        </w:rPr>
      </w:pPr>
      <w:r>
        <w:rPr>
          <w:rStyle w:val="a6"/>
        </w:rPr>
        <w:footnoteRef/>
      </w:r>
      <w:r>
        <w:rPr>
          <w:rtl/>
        </w:rPr>
        <w:t xml:space="preserve"> </w:t>
      </w:r>
      <w:r>
        <w:rPr>
          <w:rFonts w:hint="cs"/>
          <w:rtl/>
        </w:rPr>
        <w:t>ס"ח התשנ"ד, עמ' 156.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E6A04"/>
    <w:rsid w:val="000F20D6"/>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94AAD"/>
    <w:rsid w:val="005A0707"/>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217BD"/>
    <w:rsid w:val="00B35784"/>
    <w:rsid w:val="00B733A7"/>
    <w:rsid w:val="00B75C91"/>
    <w:rsid w:val="00B975AD"/>
    <w:rsid w:val="00BC45FB"/>
    <w:rsid w:val="00BF148D"/>
    <w:rsid w:val="00C23B1A"/>
    <w:rsid w:val="00C25B3B"/>
    <w:rsid w:val="00C310EB"/>
    <w:rsid w:val="00C9176A"/>
    <w:rsid w:val="00CC7A10"/>
    <w:rsid w:val="00CF1AA2"/>
    <w:rsid w:val="00D142D3"/>
    <w:rsid w:val="00D17774"/>
    <w:rsid w:val="00D5759E"/>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E10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4473538-73CE-445E-B007-81E8E090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uiPriority w:val="99"/>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uiPriority w:val="99"/>
    <w:rsid w:val="00B975AD"/>
  </w:style>
  <w:style w:type="paragraph" w:customStyle="1" w:styleId="TableBlock">
    <w:name w:val="Table Block"/>
    <w:basedOn w:val="TableText"/>
    <w:uiPriority w:val="99"/>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uiPriority w:val="99"/>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rsid w:val="00D5759E"/>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88E1C8D-4733-4417-B73F-2D52138C5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25AC39EB-5C30-4BBA-A1C2-DF5F57017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1787</Words>
  <Characters>10190</Characters>
  <Application>Microsoft Office Word</Application>
  <DocSecurity>0</DocSecurity>
  <Lines>84</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12</cp:revision>
  <cp:lastPrinted>2019-12-04T13:46:00Z</cp:lastPrinted>
  <dcterms:created xsi:type="dcterms:W3CDTF">2015-04-20T09:58:00Z</dcterms:created>
  <dcterms:modified xsi:type="dcterms:W3CDTF">2019-12-04T13:46:00Z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2082469</vt:r8>
  </property>
</Properties>
</file>