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2083029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יעקב מרגי</w:t>
      </w:r>
      <w:r>
        <w:br/>
      </w:r>
      <w:r>
        <w:rPr>
          <w:rFonts w:hint="cs"/>
          <w:b/>
          <w:bCs/>
          <w:rtl/>
        </w:rPr>
        <w:t xml:space="preserve"> </w:t>
      </w:r>
      <w:r>
        <w:tab/>
      </w:r>
      <w:r>
        <w:tab/>
      </w:r>
      <w:r>
        <w:tab/>
      </w:r>
      <w:r>
        <w:tab/>
      </w:r>
      <w:r>
        <w:rPr>
          <w:rFonts w:hint="cs"/>
          <w:b/>
          <w:bCs/>
          <w:rtl/>
        </w:rPr>
        <w:t>ינון אזולאי</w:t>
      </w:r>
      <w:r>
        <w:br/>
      </w:r>
      <w:r>
        <w:rPr>
          <w:rFonts w:hint="cs"/>
          <w:b/>
          <w:bCs/>
          <w:rtl/>
        </w:rPr>
        <w:t xml:space="preserve"> </w:t>
      </w:r>
      <w:r>
        <w:tab/>
      </w:r>
      <w:r>
        <w:tab/>
      </w:r>
      <w:r>
        <w:tab/>
      </w:r>
      <w:r>
        <w:tab/>
      </w:r>
      <w:r>
        <w:rPr>
          <w:rFonts w:hint="cs"/>
          <w:b/>
          <w:bCs/>
          <w:rtl/>
        </w:rPr>
        <w:t>משה ארבל</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426A884A" w:rsidR="00E13C27" w:rsidRDefault="00904591" w:rsidP="002E1ED1">
      <w:pPr>
        <w:pStyle w:val="David"/>
        <w:spacing w:before="0" w:line="240" w:lineRule="auto"/>
        <w:ind w:left="3544"/>
        <w:rPr>
          <w:rtl/>
        </w:rPr>
      </w:pPr>
      <w:r>
        <w:t xml:space="preserve">                                            </w:t>
      </w:r>
      <w:r w:rsidR="008F1308">
        <w:t xml:space="preserve"> </w:t>
      </w:r>
      <w:bookmarkStart w:id="6" w:name="Private_Number"/>
      <w:r>
        <w:rPr>
          <w:rFonts w:hint="cs"/>
          <w:rtl/>
        </w:rPr>
        <w:t>פ/1095/22</w:t>
      </w:r>
      <w:bookmarkEnd w:id="6"/>
    </w:p>
    <w:p w14:paraId="7F6961AE" w14:textId="09878340" w:rsidR="00E13C27" w:rsidRDefault="00A443CF" w:rsidP="007375CB">
      <w:pPr>
        <w:pStyle w:val="HeadHatzaotHok"/>
        <w:rPr>
          <w:rtl/>
        </w:rPr>
      </w:pPr>
      <w:bookmarkStart w:id="7" w:name="LGS_Subject"/>
      <w:r>
        <w:rPr>
          <w:rFonts w:hint="cs"/>
          <w:rtl/>
        </w:rPr>
        <w:t>הצעת חוק הגנת השכר (תיקון – התיישנות), התש"ף</w:t>
      </w:r>
      <w:r w:rsidR="007375CB">
        <w:rPr>
          <w:rFonts w:hint="eastAsia"/>
          <w:rtl/>
        </w:rPr>
        <w:t>–</w:t>
      </w:r>
      <w:r>
        <w:rPr>
          <w:rFonts w:hint="cs"/>
          <w:rtl/>
        </w:rPr>
        <w:t>2019</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E34550" w:rsidRPr="00C34DE2" w14:paraId="0E82449D" w14:textId="77777777" w:rsidTr="006C257C">
        <w:trPr>
          <w:cantSplit/>
          <w:trHeight w:val="60"/>
        </w:trPr>
        <w:tc>
          <w:tcPr>
            <w:tcW w:w="1871" w:type="dxa"/>
          </w:tcPr>
          <w:p w14:paraId="3C151299" w14:textId="77777777" w:rsidR="00E34550" w:rsidRPr="00DC0E7F" w:rsidRDefault="00E34550" w:rsidP="00DC0E7F">
            <w:pPr>
              <w:pStyle w:val="TableSideHeading"/>
              <w:ind w:right="0"/>
            </w:pPr>
            <w:r w:rsidRPr="00DC0E7F">
              <w:rPr>
                <w:rtl/>
              </w:rPr>
              <w:t xml:space="preserve">תיקון סעיף 17א </w:t>
            </w:r>
          </w:p>
        </w:tc>
        <w:tc>
          <w:tcPr>
            <w:tcW w:w="624" w:type="dxa"/>
          </w:tcPr>
          <w:p w14:paraId="0F775851" w14:textId="77777777" w:rsidR="00E34550" w:rsidRPr="00DC0E7F" w:rsidRDefault="00E34550" w:rsidP="00DC0E7F">
            <w:pPr>
              <w:pStyle w:val="TableText"/>
              <w:ind w:right="0"/>
              <w:jc w:val="both"/>
            </w:pPr>
            <w:r w:rsidRPr="00DC0E7F">
              <w:rPr>
                <w:rtl/>
              </w:rPr>
              <w:t>1.</w:t>
            </w:r>
            <w:r w:rsidRPr="00DC0E7F">
              <w:t xml:space="preserve">  </w:t>
            </w:r>
            <w:r w:rsidRPr="00DC0E7F">
              <w:rPr>
                <w:rtl/>
              </w:rPr>
              <w:t xml:space="preserve"> </w:t>
            </w:r>
          </w:p>
        </w:tc>
        <w:tc>
          <w:tcPr>
            <w:tcW w:w="7146" w:type="dxa"/>
          </w:tcPr>
          <w:p w14:paraId="7083E201" w14:textId="77777777" w:rsidR="00E34550" w:rsidRPr="00DC0E7F" w:rsidRDefault="00E34550" w:rsidP="00DC0E7F">
            <w:pPr>
              <w:pStyle w:val="TableBlock"/>
            </w:pPr>
            <w:r w:rsidRPr="00DC0E7F">
              <w:rPr>
                <w:rtl/>
              </w:rPr>
              <w:t>בחוק הגנת השכר, התשי"ח–1958</w:t>
            </w:r>
            <w:r w:rsidRPr="00DC0E7F">
              <w:rPr>
                <w:vertAlign w:val="superscript"/>
                <w:rtl/>
              </w:rPr>
              <w:footnoteReference w:id="2"/>
            </w:r>
            <w:r w:rsidRPr="00DC0E7F">
              <w:rPr>
                <w:rtl/>
              </w:rPr>
              <w:t>, בסעיף 17א</w:t>
            </w:r>
            <w:r w:rsidRPr="00DC0E7F">
              <w:rPr>
                <w:rFonts w:hint="cs"/>
                <w:rtl/>
              </w:rPr>
              <w:t xml:space="preserve"> </w:t>
            </w:r>
            <w:r w:rsidRPr="00DC0E7F">
              <w:rPr>
                <w:rFonts w:hint="eastAsia"/>
                <w:rtl/>
              </w:rPr>
              <w:t>–</w:t>
            </w:r>
          </w:p>
        </w:tc>
      </w:tr>
      <w:tr w:rsidR="00E34550" w:rsidRPr="00C34DE2" w14:paraId="3C7F1A35" w14:textId="77777777" w:rsidTr="006C257C">
        <w:trPr>
          <w:cantSplit/>
          <w:trHeight w:val="60"/>
        </w:trPr>
        <w:tc>
          <w:tcPr>
            <w:tcW w:w="1871" w:type="dxa"/>
          </w:tcPr>
          <w:p w14:paraId="368F0571" w14:textId="77777777" w:rsidR="00E34550" w:rsidRPr="0030787E" w:rsidRDefault="00E34550" w:rsidP="006C257C">
            <w:pPr>
              <w:pStyle w:val="TableSideHeading"/>
              <w:keepLines w:val="0"/>
              <w:rPr>
                <w:rtl/>
              </w:rPr>
            </w:pPr>
          </w:p>
        </w:tc>
        <w:tc>
          <w:tcPr>
            <w:tcW w:w="624" w:type="dxa"/>
          </w:tcPr>
          <w:p w14:paraId="27D081B1" w14:textId="77777777" w:rsidR="00E34550" w:rsidRPr="00DC0E7F" w:rsidRDefault="00E34550" w:rsidP="00DC0E7F">
            <w:pPr>
              <w:pStyle w:val="TableText"/>
              <w:rPr>
                <w:rtl/>
              </w:rPr>
            </w:pPr>
          </w:p>
        </w:tc>
        <w:tc>
          <w:tcPr>
            <w:tcW w:w="7146" w:type="dxa"/>
          </w:tcPr>
          <w:p w14:paraId="050C1B47" w14:textId="77777777" w:rsidR="00E34550" w:rsidRPr="00DC0E7F" w:rsidRDefault="00E34550" w:rsidP="00DC0E7F">
            <w:pPr>
              <w:pStyle w:val="TableBlock"/>
              <w:rPr>
                <w:rtl/>
              </w:rPr>
            </w:pPr>
            <w:r w:rsidRPr="00DC0E7F">
              <w:rPr>
                <w:rFonts w:hint="cs"/>
                <w:rtl/>
              </w:rPr>
              <w:t>(1)</w:t>
            </w:r>
            <w:r w:rsidRPr="00DC0E7F">
              <w:rPr>
                <w:rtl/>
              </w:rPr>
              <w:tab/>
              <w:t>בסעיף קטן (ב), במקום הסיפה החל במילה "שבתוך" יבוא "תהא תקופת ההתיישנות שלוש שנים מיום שקמה לראשונה הזכות לפיצויי הלנת שכר, אולם אין בכך כדי לקצר את תקופת ההתיישנות האמורה בסעיף קטן (א)";</w:t>
            </w:r>
          </w:p>
        </w:tc>
      </w:tr>
      <w:tr w:rsidR="00E34550" w:rsidRPr="00C34DE2" w14:paraId="6480DD9F" w14:textId="77777777" w:rsidTr="006C257C">
        <w:trPr>
          <w:cantSplit/>
          <w:trHeight w:val="60"/>
        </w:trPr>
        <w:tc>
          <w:tcPr>
            <w:tcW w:w="1871" w:type="dxa"/>
          </w:tcPr>
          <w:p w14:paraId="731D2B8F" w14:textId="77777777" w:rsidR="00E34550" w:rsidRDefault="00E34550" w:rsidP="006C257C">
            <w:pPr>
              <w:pStyle w:val="TableSideHeading"/>
              <w:keepLines w:val="0"/>
              <w:rPr>
                <w:rtl/>
              </w:rPr>
            </w:pPr>
          </w:p>
        </w:tc>
        <w:tc>
          <w:tcPr>
            <w:tcW w:w="624" w:type="dxa"/>
          </w:tcPr>
          <w:p w14:paraId="411CF1A7" w14:textId="77777777" w:rsidR="00E34550" w:rsidRPr="002E1ED1" w:rsidRDefault="00E34550" w:rsidP="002E1ED1">
            <w:pPr>
              <w:pStyle w:val="TableText"/>
              <w:rPr>
                <w:rtl/>
              </w:rPr>
            </w:pPr>
          </w:p>
        </w:tc>
        <w:tc>
          <w:tcPr>
            <w:tcW w:w="7146" w:type="dxa"/>
          </w:tcPr>
          <w:p w14:paraId="0E6F724E" w14:textId="77777777" w:rsidR="00E34550" w:rsidRPr="00DC0E7F" w:rsidRDefault="00E34550" w:rsidP="00DC0E7F">
            <w:pPr>
              <w:pStyle w:val="TableBlock"/>
              <w:rPr>
                <w:rtl/>
              </w:rPr>
            </w:pPr>
            <w:r w:rsidRPr="00DC0E7F">
              <w:rPr>
                <w:rFonts w:hint="cs"/>
                <w:rtl/>
              </w:rPr>
              <w:t>(2)</w:t>
            </w:r>
            <w:r w:rsidRPr="00DC0E7F">
              <w:rPr>
                <w:rtl/>
              </w:rPr>
              <w:tab/>
            </w:r>
            <w:r w:rsidRPr="00DC0E7F">
              <w:rPr>
                <w:rFonts w:hint="cs"/>
                <w:rtl/>
              </w:rPr>
              <w:t xml:space="preserve">סעיף קטן (ג) </w:t>
            </w:r>
            <w:r w:rsidRPr="00DC0E7F">
              <w:rPr>
                <w:rFonts w:hint="eastAsia"/>
                <w:rtl/>
              </w:rPr>
              <w:t>–</w:t>
            </w:r>
            <w:r w:rsidRPr="00DC0E7F">
              <w:rPr>
                <w:rFonts w:hint="cs"/>
                <w:rtl/>
              </w:rPr>
              <w:t xml:space="preserve"> בטל.</w:t>
            </w:r>
          </w:p>
        </w:tc>
      </w:tr>
    </w:tbl>
    <w:p w14:paraId="7F6961CA" w14:textId="77777777" w:rsidR="002D1EE3" w:rsidRDefault="002D1EE3" w:rsidP="002D1EE3">
      <w:pPr>
        <w:pStyle w:val="HeadDivreiHesber"/>
        <w:rPr>
          <w:rtl/>
        </w:rPr>
      </w:pPr>
      <w:r w:rsidRPr="0027450A">
        <w:rPr>
          <w:rFonts w:hint="cs"/>
          <w:rtl/>
        </w:rPr>
        <w:t>דברי הסבר</w:t>
      </w:r>
    </w:p>
    <w:p w14:paraId="6154BB4E" w14:textId="2FA66FD4" w:rsidR="00E34550" w:rsidRPr="002E1ED1" w:rsidRDefault="00E34550" w:rsidP="007375CB">
      <w:pPr>
        <w:pStyle w:val="Hesber"/>
        <w:spacing w:line="276" w:lineRule="auto"/>
        <w:rPr>
          <w:rtl/>
        </w:rPr>
      </w:pPr>
      <w:r w:rsidRPr="002E1ED1">
        <w:rPr>
          <w:rtl/>
        </w:rPr>
        <w:t xml:space="preserve">הצעת חוק </w:t>
      </w:r>
      <w:r w:rsidRPr="002E1ED1">
        <w:rPr>
          <w:rFonts w:hint="cs"/>
          <w:rtl/>
        </w:rPr>
        <w:t>נועדה</w:t>
      </w:r>
      <w:r w:rsidRPr="002E1ED1">
        <w:rPr>
          <w:rtl/>
        </w:rPr>
        <w:t xml:space="preserve"> לתקן בעייתיות העולה מלשון חוק הגנת השכר, התשי"ח–1958</w:t>
      </w:r>
      <w:r w:rsidRPr="002E1ED1">
        <w:rPr>
          <w:rFonts w:hint="cs"/>
          <w:rtl/>
        </w:rPr>
        <w:t xml:space="preserve"> (להלן – חוק הגנת השכר)</w:t>
      </w:r>
      <w:r w:rsidRPr="002E1ED1">
        <w:rPr>
          <w:rtl/>
        </w:rPr>
        <w:t>. על פי סעיף 17א לחוק הגנת השכר</w:t>
      </w:r>
      <w:r w:rsidRPr="002E1ED1">
        <w:rPr>
          <w:rFonts w:hint="cs"/>
          <w:rtl/>
        </w:rPr>
        <w:t xml:space="preserve">, </w:t>
      </w:r>
      <w:r w:rsidRPr="002E1ED1">
        <w:rPr>
          <w:rtl/>
        </w:rPr>
        <w:t>תקופת התיישנות של תביעה לפיצויי הלנה במקרה של הלנה חוזרת, כשהשכר המולן משולם באיחור פעם אחר פעם, עומדת על שלוש שנים. לעומת זאת, אם השכר כלל אינו משולם הרי גם אם הדבר אירע פעם אחר פעם, תקופת ההתיישנות של התביעה אינה עולה על שנה. בע"</w:t>
      </w:r>
      <w:r w:rsidR="002E1ED1" w:rsidRPr="002E1ED1">
        <w:rPr>
          <w:rFonts w:hint="eastAsia"/>
          <w:rtl/>
        </w:rPr>
        <w:t>ע</w:t>
      </w:r>
      <w:r w:rsidR="002E1ED1" w:rsidRPr="002E1ED1">
        <w:rPr>
          <w:rtl/>
        </w:rPr>
        <w:t xml:space="preserve"> </w:t>
      </w:r>
      <w:r w:rsidRPr="002E1ED1">
        <w:rPr>
          <w:rtl/>
        </w:rPr>
        <w:t xml:space="preserve">195/99 </w:t>
      </w:r>
      <w:r w:rsidRPr="00DC0E7F">
        <w:rPr>
          <w:b/>
          <w:bCs/>
          <w:rtl/>
        </w:rPr>
        <w:t>אורלי מרוביץ</w:t>
      </w:r>
      <w:r w:rsidR="002E1ED1" w:rsidRPr="00DC0E7F">
        <w:rPr>
          <w:b/>
          <w:bCs/>
          <w:rtl/>
        </w:rPr>
        <w:t xml:space="preserve"> נ' </w:t>
      </w:r>
      <w:r w:rsidRPr="00DC0E7F">
        <w:rPr>
          <w:b/>
          <w:bCs/>
          <w:rtl/>
        </w:rPr>
        <w:t>עמישב שירותים בע"מ</w:t>
      </w:r>
      <w:r w:rsidRPr="002E1ED1">
        <w:rPr>
          <w:rtl/>
        </w:rPr>
        <w:t xml:space="preserve">, פד"ע לד, עמ' 198, התייחס בית הדין הארצי לעבודה למצב זה באומרו: "אכן יש במצב הדברים היום משום חוסר סבירות שכן, אם הוארכה תקופת ההתיישנות לגבי שכר מולן שכבר שולם, מדוע אין להאריכה לגבי שכר שטרם שולם. אי-תשלום שכר מהווה פגיעה חמורה יותר בעובד מאשר תשלום שכרו באיחור, וסביר היה שגם לגבי פגיעה חמורה שכזו רשאי יהיה העובד להגיש את תביעתו לשכר מולן תוך שלוש שנים".  </w:t>
      </w:r>
    </w:p>
    <w:p w14:paraId="0AA278F4" w14:textId="77777777" w:rsidR="00E34550" w:rsidRPr="002E1ED1" w:rsidRDefault="00E34550" w:rsidP="007375CB">
      <w:pPr>
        <w:pStyle w:val="Hesber"/>
        <w:spacing w:line="276" w:lineRule="auto"/>
        <w:rPr>
          <w:rtl/>
        </w:rPr>
      </w:pPr>
      <w:r w:rsidRPr="002E1ED1">
        <w:rPr>
          <w:rtl/>
        </w:rPr>
        <w:t>לפיכך מוצע לתקן את הוראות הסעיף האמור ולקבוע כי תקופת ההתיישנות בכל מקרה של הלנת שכר חוזרת תהיה שלוש שנים.</w:t>
      </w:r>
    </w:p>
    <w:p w14:paraId="1606E569" w14:textId="77777777" w:rsidR="00E34550" w:rsidRDefault="00E34550" w:rsidP="007375CB">
      <w:pPr>
        <w:pStyle w:val="Hesber"/>
        <w:spacing w:line="276" w:lineRule="auto"/>
        <w:rPr>
          <w:rtl/>
        </w:rPr>
      </w:pPr>
      <w:r w:rsidRPr="002E1ED1">
        <w:rPr>
          <w:rFonts w:hint="eastAsia"/>
          <w:rtl/>
        </w:rPr>
        <w:t>הצעות</w:t>
      </w:r>
      <w:r w:rsidRPr="002E1ED1">
        <w:rPr>
          <w:rtl/>
        </w:rPr>
        <w:t xml:space="preserve"> </w:t>
      </w:r>
      <w:r w:rsidRPr="002E1ED1">
        <w:rPr>
          <w:rFonts w:hint="eastAsia"/>
          <w:rtl/>
        </w:rPr>
        <w:t>חוק</w:t>
      </w:r>
      <w:r w:rsidRPr="002E1ED1">
        <w:rPr>
          <w:rtl/>
        </w:rPr>
        <w:t xml:space="preserve"> </w:t>
      </w:r>
      <w:r w:rsidRPr="002E1ED1">
        <w:rPr>
          <w:rFonts w:hint="eastAsia"/>
          <w:rtl/>
        </w:rPr>
        <w:t>זהות</w:t>
      </w:r>
      <w:r w:rsidRPr="002E1ED1">
        <w:rPr>
          <w:rtl/>
        </w:rPr>
        <w:t xml:space="preserve"> </w:t>
      </w:r>
      <w:r w:rsidRPr="002E1ED1">
        <w:rPr>
          <w:rFonts w:hint="eastAsia"/>
          <w:rtl/>
        </w:rPr>
        <w:t>הונחו</w:t>
      </w:r>
      <w:r w:rsidRPr="002E1ED1">
        <w:rPr>
          <w:rtl/>
        </w:rPr>
        <w:t xml:space="preserve"> </w:t>
      </w:r>
      <w:r w:rsidRPr="002E1ED1">
        <w:rPr>
          <w:rFonts w:hint="eastAsia"/>
          <w:rtl/>
        </w:rPr>
        <w:t>על</w:t>
      </w:r>
      <w:r w:rsidRPr="002E1ED1">
        <w:rPr>
          <w:rtl/>
        </w:rPr>
        <w:t xml:space="preserve"> </w:t>
      </w:r>
      <w:r w:rsidRPr="002E1ED1">
        <w:rPr>
          <w:rFonts w:hint="eastAsia"/>
          <w:rtl/>
        </w:rPr>
        <w:t>שולחן</w:t>
      </w:r>
      <w:r w:rsidRPr="002E1ED1">
        <w:rPr>
          <w:rtl/>
        </w:rPr>
        <w:t xml:space="preserve"> </w:t>
      </w:r>
      <w:r w:rsidRPr="002E1ED1">
        <w:rPr>
          <w:rFonts w:hint="eastAsia"/>
          <w:rtl/>
        </w:rPr>
        <w:t>הכנסת</w:t>
      </w:r>
      <w:r w:rsidRPr="002E1ED1">
        <w:rPr>
          <w:rtl/>
        </w:rPr>
        <w:t xml:space="preserve"> </w:t>
      </w:r>
      <w:r w:rsidRPr="002E1ED1">
        <w:rPr>
          <w:rFonts w:hint="eastAsia"/>
          <w:rtl/>
        </w:rPr>
        <w:t>התשע</w:t>
      </w:r>
      <w:r w:rsidRPr="002E1ED1">
        <w:rPr>
          <w:rtl/>
        </w:rPr>
        <w:t xml:space="preserve">-עשרה </w:t>
      </w:r>
      <w:r w:rsidRPr="002E1ED1">
        <w:rPr>
          <w:rFonts w:hint="eastAsia"/>
          <w:rtl/>
        </w:rPr>
        <w:t>על</w:t>
      </w:r>
      <w:r w:rsidRPr="002E1ED1">
        <w:rPr>
          <w:rtl/>
        </w:rPr>
        <w:t xml:space="preserve"> </w:t>
      </w:r>
      <w:r w:rsidRPr="002E1ED1">
        <w:rPr>
          <w:rFonts w:hint="eastAsia"/>
          <w:rtl/>
        </w:rPr>
        <w:t>ידי</w:t>
      </w:r>
      <w:r w:rsidRPr="002E1ED1">
        <w:rPr>
          <w:rtl/>
        </w:rPr>
        <w:t xml:space="preserve"> </w:t>
      </w:r>
      <w:r w:rsidRPr="002E1ED1">
        <w:rPr>
          <w:rFonts w:hint="eastAsia"/>
          <w:rtl/>
        </w:rPr>
        <w:t>חבר</w:t>
      </w:r>
      <w:r w:rsidRPr="002E1ED1">
        <w:rPr>
          <w:rtl/>
        </w:rPr>
        <w:t xml:space="preserve"> </w:t>
      </w:r>
      <w:r w:rsidRPr="002E1ED1">
        <w:rPr>
          <w:rFonts w:hint="eastAsia"/>
          <w:rtl/>
        </w:rPr>
        <w:t>הכנסת</w:t>
      </w:r>
      <w:r w:rsidRPr="002E1ED1">
        <w:rPr>
          <w:rtl/>
        </w:rPr>
        <w:t xml:space="preserve"> </w:t>
      </w:r>
      <w:r w:rsidRPr="002E1ED1">
        <w:rPr>
          <w:rFonts w:hint="eastAsia"/>
          <w:rtl/>
        </w:rPr>
        <w:t>יעקב</w:t>
      </w:r>
      <w:r w:rsidRPr="002E1ED1">
        <w:rPr>
          <w:rtl/>
        </w:rPr>
        <w:t xml:space="preserve"> </w:t>
      </w:r>
      <w:r w:rsidRPr="002E1ED1">
        <w:rPr>
          <w:rFonts w:hint="eastAsia"/>
          <w:rtl/>
        </w:rPr>
        <w:t>מרגי</w:t>
      </w:r>
      <w:r w:rsidRPr="002E1ED1">
        <w:rPr>
          <w:rtl/>
        </w:rPr>
        <w:t xml:space="preserve"> </w:t>
      </w:r>
      <w:r w:rsidRPr="002E1ED1">
        <w:rPr>
          <w:rFonts w:hint="eastAsia"/>
          <w:rtl/>
        </w:rPr>
        <w:t>וקבוצת</w:t>
      </w:r>
      <w:r w:rsidRPr="002E1ED1">
        <w:rPr>
          <w:rtl/>
        </w:rPr>
        <w:t xml:space="preserve"> </w:t>
      </w:r>
      <w:r w:rsidRPr="002E1ED1">
        <w:rPr>
          <w:rFonts w:hint="eastAsia"/>
          <w:rtl/>
        </w:rPr>
        <w:t>חברי</w:t>
      </w:r>
      <w:r w:rsidRPr="002E1ED1">
        <w:rPr>
          <w:rtl/>
        </w:rPr>
        <w:t xml:space="preserve"> </w:t>
      </w:r>
      <w:r w:rsidRPr="002E1ED1">
        <w:rPr>
          <w:rFonts w:hint="eastAsia"/>
          <w:rtl/>
        </w:rPr>
        <w:t>הכנסת</w:t>
      </w:r>
      <w:r w:rsidRPr="002E1ED1">
        <w:rPr>
          <w:rtl/>
        </w:rPr>
        <w:t xml:space="preserve"> (פ/2298/19; </w:t>
      </w:r>
      <w:r w:rsidRPr="002E1ED1">
        <w:rPr>
          <w:rFonts w:hint="eastAsia"/>
          <w:rtl/>
        </w:rPr>
        <w:t>פ</w:t>
      </w:r>
      <w:r w:rsidRPr="002E1ED1">
        <w:rPr>
          <w:rtl/>
        </w:rPr>
        <w:t>/2621/19).</w:t>
      </w:r>
    </w:p>
    <w:p w14:paraId="2D37662C" w14:textId="3E413321" w:rsidR="007375CB" w:rsidRDefault="007375CB" w:rsidP="007375CB">
      <w:pPr>
        <w:pStyle w:val="Hesber"/>
        <w:spacing w:line="276" w:lineRule="auto"/>
        <w:rPr>
          <w:rtl/>
        </w:rPr>
      </w:pPr>
    </w:p>
    <w:p w14:paraId="5D85E200" w14:textId="77777777" w:rsidR="007375CB" w:rsidRPr="00D73212" w:rsidRDefault="007375CB" w:rsidP="007375CB">
      <w:pPr>
        <w:pStyle w:val="Hesber"/>
        <w:ind w:firstLine="0"/>
        <w:rPr>
          <w:color w:val="auto"/>
          <w:rtl/>
          <w:lang w:eastAsia="en-US"/>
        </w:rPr>
      </w:pPr>
      <w:r w:rsidRPr="00D73212">
        <w:rPr>
          <w:color w:val="auto"/>
          <w:rtl/>
          <w:lang w:eastAsia="en-US"/>
        </w:rPr>
        <w:t>---------------------------------</w:t>
      </w:r>
    </w:p>
    <w:p w14:paraId="743C0E5C" w14:textId="77777777" w:rsidR="007375CB" w:rsidRPr="00D73212" w:rsidRDefault="007375CB" w:rsidP="007375CB">
      <w:pPr>
        <w:pStyle w:val="Hesber"/>
        <w:ind w:firstLine="0"/>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3EFFE2FF" w14:textId="77777777" w:rsidR="007375CB" w:rsidRPr="00D73212" w:rsidRDefault="007375CB" w:rsidP="007375CB">
      <w:pPr>
        <w:pStyle w:val="Hesber"/>
        <w:ind w:firstLine="0"/>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79B428F9" w14:textId="77777777" w:rsidR="007375CB" w:rsidRPr="005E6543" w:rsidRDefault="007375CB" w:rsidP="007375CB">
      <w:pPr>
        <w:pStyle w:val="Hesber"/>
        <w:ind w:firstLine="0"/>
        <w:rPr>
          <w:rtl/>
        </w:rPr>
      </w:pPr>
      <w:r>
        <w:rPr>
          <w:rFonts w:hint="cs"/>
          <w:color w:val="auto"/>
          <w:rtl/>
          <w:lang w:eastAsia="en-US"/>
        </w:rPr>
        <w:t xml:space="preserve">ד' בכסלו </w:t>
      </w:r>
      <w:r w:rsidRPr="00D73212">
        <w:rPr>
          <w:rFonts w:hint="cs"/>
          <w:color w:val="auto"/>
          <w:rtl/>
          <w:lang w:eastAsia="en-US"/>
        </w:rPr>
        <w:t>התש</w:t>
      </w:r>
      <w:r>
        <w:rPr>
          <w:rFonts w:hint="cs"/>
          <w:color w:val="auto"/>
          <w:rtl/>
          <w:lang w:eastAsia="en-US"/>
        </w:rPr>
        <w:t xml:space="preserve">"ף </w:t>
      </w:r>
      <w:r w:rsidRPr="00D73212">
        <w:rPr>
          <w:color w:val="auto"/>
          <w:rtl/>
          <w:lang w:eastAsia="en-US"/>
        </w:rPr>
        <w:t>–</w:t>
      </w:r>
      <w:r>
        <w:rPr>
          <w:rFonts w:hint="cs"/>
          <w:color w:val="auto"/>
          <w:rtl/>
          <w:lang w:eastAsia="en-US"/>
        </w:rPr>
        <w:t xml:space="preserve"> 2.12</w:t>
      </w:r>
      <w:r w:rsidRPr="00D73212">
        <w:rPr>
          <w:color w:val="auto"/>
          <w:rtl/>
          <w:lang w:eastAsia="en-US"/>
        </w:rPr>
        <w:t>.</w:t>
      </w:r>
      <w:r>
        <w:rPr>
          <w:rFonts w:hint="cs"/>
          <w:color w:val="auto"/>
          <w:rtl/>
          <w:lang w:eastAsia="en-US"/>
        </w:rPr>
        <w:t>19</w:t>
      </w:r>
    </w:p>
    <w:p w14:paraId="219BAC89" w14:textId="77777777" w:rsidR="00E34550" w:rsidRDefault="00E34550" w:rsidP="00E34550">
      <w:pPr>
        <w:pStyle w:val="Hesber"/>
        <w:rPr>
          <w:rtl/>
        </w:rPr>
      </w:pPr>
      <w:bookmarkStart w:id="8" w:name="_GoBack"/>
      <w:bookmarkEnd w:id="8"/>
    </w:p>
    <w:sectPr w:rsidR="00E34550"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7375CB">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EC2FAF2" w14:textId="77777777" w:rsidR="00E34550" w:rsidRDefault="00E34550" w:rsidP="00E34550">
      <w:pPr>
        <w:pStyle w:val="a4"/>
      </w:pPr>
      <w:r>
        <w:rPr>
          <w:rStyle w:val="a6"/>
        </w:rPr>
        <w:footnoteRef/>
      </w:r>
      <w:r>
        <w:rPr>
          <w:rtl/>
        </w:rPr>
        <w:t xml:space="preserve"> ס"ח התשי"ח, עמ' 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E1ED1"/>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375CB"/>
    <w:rsid w:val="00741A00"/>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C0E7F"/>
    <w:rsid w:val="00DE3153"/>
    <w:rsid w:val="00E06736"/>
    <w:rsid w:val="00E13C27"/>
    <w:rsid w:val="00E33BBD"/>
    <w:rsid w:val="00E34550"/>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99D3C16-9B72-4766-9DBE-3D5591E8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rsid w:val="00E34550"/>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CDC6A7B-E848-422D-B920-07E98EC60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F4377D45-6EB5-4999-8972-BB8A975C5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248</Words>
  <Characters>1420</Characters>
  <Application>Microsoft Office Word</Application>
  <DocSecurity>0</DocSecurity>
  <Lines>11</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חנה קרליץ</cp:lastModifiedBy>
  <cp:revision>8</cp:revision>
  <cp:lastPrinted>2019-11-27T10:06:00Z</cp:lastPrinted>
  <dcterms:created xsi:type="dcterms:W3CDTF">2015-04-20T09:58:00Z</dcterms:created>
  <dcterms:modified xsi:type="dcterms:W3CDTF">2019-11-27T10:06:00Z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2083029</vt:r8>
  </property>
</Properties>
</file>