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2083016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ושתיים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יעקב מרגי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ינון אזולאי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משה ארבל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2AC762AC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  <w:r w:rsidR="001204B9">
        <w:rPr>
          <w:rFonts w:hint="cs"/>
          <w:rtl/>
        </w:rPr>
        <w:t>פ/1055/22</w:t>
      </w:r>
    </w:p>
    <w:p w14:paraId="7F6961AC" w14:textId="77104B52" w:rsidR="00E13C27" w:rsidRDefault="00904591" w:rsidP="001204B9">
      <w:pPr>
        <w:pStyle w:val="David"/>
        <w:spacing w:before="0" w:line="240" w:lineRule="auto"/>
        <w:ind w:left="3544"/>
        <w:rPr>
          <w:rtl/>
        </w:rPr>
      </w:pPr>
      <w:r>
        <w:t xml:space="preserve">            </w:t>
      </w:r>
      <w:r w:rsidR="001204B9">
        <w:t xml:space="preserve">                           </w:t>
      </w:r>
    </w:p>
    <w:p w14:paraId="7F6961AD" w14:textId="3F01290B" w:rsidR="00E13C27" w:rsidRDefault="00A443CF" w:rsidP="0021633A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>הצעת חוק הביטוח הלאומי (תיקון – זכאות לכפל גמלאות), התש"ף–2019</w:t>
      </w:r>
      <w:bookmarkEnd w:id="6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624"/>
        <w:gridCol w:w="624"/>
        <w:gridCol w:w="5898"/>
      </w:tblGrid>
      <w:tr w:rsidR="0073646B" w:rsidRPr="004827B8" w14:paraId="2B998D2E" w14:textId="77777777" w:rsidTr="00AB29B1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108D9BA6" w14:textId="77777777" w:rsidR="0073646B" w:rsidRPr="004827B8" w:rsidRDefault="0073646B" w:rsidP="00AB29B1">
            <w:pPr>
              <w:pStyle w:val="TableSideHeading"/>
              <w:ind w:right="0"/>
              <w:rPr>
                <w:rtl/>
              </w:rPr>
            </w:pPr>
            <w:r>
              <w:rPr>
                <w:rFonts w:hint="cs"/>
                <w:rtl/>
              </w:rPr>
              <w:t>תיקון סעיף 251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398EE3F" w14:textId="77777777" w:rsidR="0073646B" w:rsidRPr="004827B8" w:rsidRDefault="0073646B" w:rsidP="00AB29B1">
            <w:pPr>
              <w:pStyle w:val="TableText"/>
              <w:ind w:right="0"/>
              <w:jc w:val="both"/>
              <w:rPr>
                <w:rtl/>
              </w:rPr>
            </w:pPr>
            <w:r w:rsidRPr="004827B8">
              <w:rPr>
                <w:rtl/>
              </w:rPr>
              <w:t>1.</w:t>
            </w:r>
          </w:p>
        </w:tc>
        <w:tc>
          <w:tcPr>
            <w:tcW w:w="7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8B08B" w14:textId="299DB058" w:rsidR="0073646B" w:rsidRPr="004827B8" w:rsidRDefault="0073646B" w:rsidP="00AB29B1">
            <w:pPr>
              <w:pStyle w:val="TableBlock"/>
              <w:rPr>
                <w:rtl/>
              </w:rPr>
            </w:pPr>
            <w:r w:rsidRPr="004827B8">
              <w:rPr>
                <w:rtl/>
              </w:rPr>
              <w:t>בחוק הביטוח הלאומי [נוסח משולב], התשנ"ה</w:t>
            </w:r>
            <w:r>
              <w:rPr>
                <w:rFonts w:hint="cs"/>
                <w:rtl/>
              </w:rPr>
              <w:t>–</w:t>
            </w:r>
            <w:r w:rsidRPr="004827B8">
              <w:rPr>
                <w:rtl/>
              </w:rPr>
              <w:t>1995</w:t>
            </w:r>
            <w:r w:rsidRPr="004827B8">
              <w:rPr>
                <w:vertAlign w:val="superscript"/>
                <w:rtl/>
              </w:rPr>
              <w:footnoteReference w:id="2"/>
            </w:r>
            <w:r w:rsidR="00B35280">
              <w:rPr>
                <w:rFonts w:hint="cs"/>
                <w:rtl/>
              </w:rPr>
              <w:t xml:space="preserve"> (להלן </w:t>
            </w:r>
            <w:r w:rsidR="00B35280">
              <w:rPr>
                <w:rFonts w:hint="eastAsia"/>
              </w:rPr>
              <w:t>–</w:t>
            </w:r>
            <w:r w:rsidR="00B35280">
              <w:rPr>
                <w:rFonts w:hint="cs"/>
                <w:rtl/>
              </w:rPr>
              <w:t xml:space="preserve"> החוק העיקרי)</w:t>
            </w:r>
            <w:r>
              <w:rPr>
                <w:rFonts w:hint="cs"/>
                <w:rtl/>
              </w:rPr>
              <w:t>, בסעיף 251 –</w:t>
            </w:r>
          </w:p>
        </w:tc>
      </w:tr>
      <w:tr w:rsidR="0073646B" w:rsidRPr="004827B8" w14:paraId="1F528569" w14:textId="77777777" w:rsidTr="00AB29B1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CC9D888" w14:textId="77777777" w:rsidR="0073646B" w:rsidRDefault="0073646B" w:rsidP="00AB29B1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684A370" w14:textId="77777777" w:rsidR="0073646B" w:rsidRPr="004827B8" w:rsidRDefault="0073646B" w:rsidP="00AB29B1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EC4D9" w14:textId="77777777" w:rsidR="0073646B" w:rsidRPr="004827B8" w:rsidRDefault="0073646B" w:rsidP="00AB29B1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קטן (א) –</w:t>
            </w:r>
          </w:p>
        </w:tc>
      </w:tr>
      <w:tr w:rsidR="0073646B" w14:paraId="4EBAABAB" w14:textId="77777777" w:rsidTr="00AB29B1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3BD4D90C" w14:textId="77777777" w:rsidR="0073646B" w:rsidRDefault="0073646B" w:rsidP="00AB29B1">
            <w:pPr>
              <w:pStyle w:val="TableSideHeading"/>
            </w:pPr>
          </w:p>
        </w:tc>
        <w:tc>
          <w:tcPr>
            <w:tcW w:w="624" w:type="dxa"/>
          </w:tcPr>
          <w:p w14:paraId="6F977B45" w14:textId="77777777" w:rsidR="0073646B" w:rsidRDefault="0073646B" w:rsidP="00AB29B1">
            <w:pPr>
              <w:pStyle w:val="TableText"/>
            </w:pPr>
          </w:p>
        </w:tc>
        <w:tc>
          <w:tcPr>
            <w:tcW w:w="624" w:type="dxa"/>
          </w:tcPr>
          <w:p w14:paraId="21610512" w14:textId="77777777" w:rsidR="0073646B" w:rsidRDefault="0073646B" w:rsidP="00AB29B1">
            <w:pPr>
              <w:pStyle w:val="TableText"/>
            </w:pPr>
          </w:p>
        </w:tc>
        <w:tc>
          <w:tcPr>
            <w:tcW w:w="6522" w:type="dxa"/>
            <w:gridSpan w:val="2"/>
          </w:tcPr>
          <w:p w14:paraId="220C58E2" w14:textId="272F2426" w:rsidR="0073646B" w:rsidRDefault="0073646B" w:rsidP="00810FAC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ההגדרה "סכום קצבת </w:t>
            </w:r>
            <w:r w:rsidR="00810FAC">
              <w:rPr>
                <w:rFonts w:hint="cs"/>
                <w:rtl/>
              </w:rPr>
              <w:t>אזרח ותיק</w:t>
            </w:r>
            <w:r>
              <w:rPr>
                <w:rFonts w:hint="cs"/>
                <w:rtl/>
              </w:rPr>
              <w:t>" – תימחק;</w:t>
            </w:r>
          </w:p>
        </w:tc>
      </w:tr>
      <w:tr w:rsidR="0073646B" w:rsidRPr="0048242D" w14:paraId="016EED74" w14:textId="77777777" w:rsidTr="00AB29B1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6A58A998" w14:textId="77777777" w:rsidR="0073646B" w:rsidRDefault="0073646B" w:rsidP="00AB29B1">
            <w:pPr>
              <w:pStyle w:val="TableSideHeading"/>
            </w:pPr>
          </w:p>
        </w:tc>
        <w:tc>
          <w:tcPr>
            <w:tcW w:w="624" w:type="dxa"/>
          </w:tcPr>
          <w:p w14:paraId="666F0A54" w14:textId="77777777" w:rsidR="0073646B" w:rsidRDefault="0073646B" w:rsidP="00AB29B1">
            <w:pPr>
              <w:pStyle w:val="TableText"/>
            </w:pPr>
          </w:p>
        </w:tc>
        <w:tc>
          <w:tcPr>
            <w:tcW w:w="624" w:type="dxa"/>
          </w:tcPr>
          <w:p w14:paraId="4CEC17C0" w14:textId="77777777" w:rsidR="0073646B" w:rsidRDefault="0073646B" w:rsidP="00AB29B1">
            <w:pPr>
              <w:pStyle w:val="TableText"/>
            </w:pPr>
          </w:p>
        </w:tc>
        <w:tc>
          <w:tcPr>
            <w:tcW w:w="6522" w:type="dxa"/>
            <w:gridSpan w:val="2"/>
          </w:tcPr>
          <w:p w14:paraId="1857F56C" w14:textId="77777777" w:rsidR="0073646B" w:rsidRPr="0048242D" w:rsidRDefault="0073646B" w:rsidP="00AB29B1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במקום ההגדרה "גמלה נוספת לנכה" יבוא:</w:t>
            </w:r>
          </w:p>
        </w:tc>
      </w:tr>
      <w:tr w:rsidR="0073646B" w:rsidRPr="00DC08DF" w14:paraId="41E19B47" w14:textId="77777777" w:rsidTr="00AB29B1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17983DFB" w14:textId="77777777" w:rsidR="0073646B" w:rsidRDefault="0073646B" w:rsidP="00AB29B1">
            <w:pPr>
              <w:pStyle w:val="TableSideHeading"/>
            </w:pPr>
          </w:p>
        </w:tc>
        <w:tc>
          <w:tcPr>
            <w:tcW w:w="624" w:type="dxa"/>
          </w:tcPr>
          <w:p w14:paraId="468E7A8F" w14:textId="77777777" w:rsidR="0073646B" w:rsidRDefault="0073646B" w:rsidP="00AB29B1">
            <w:pPr>
              <w:pStyle w:val="TableText"/>
            </w:pPr>
          </w:p>
        </w:tc>
        <w:tc>
          <w:tcPr>
            <w:tcW w:w="624" w:type="dxa"/>
          </w:tcPr>
          <w:p w14:paraId="6300A404" w14:textId="77777777" w:rsidR="0073646B" w:rsidRDefault="0073646B" w:rsidP="00AB29B1">
            <w:pPr>
              <w:pStyle w:val="TableText"/>
            </w:pPr>
          </w:p>
        </w:tc>
        <w:tc>
          <w:tcPr>
            <w:tcW w:w="624" w:type="dxa"/>
          </w:tcPr>
          <w:p w14:paraId="2AA10A5E" w14:textId="77777777" w:rsidR="0073646B" w:rsidRDefault="0073646B" w:rsidP="00AB29B1">
            <w:pPr>
              <w:pStyle w:val="TableText"/>
            </w:pPr>
          </w:p>
        </w:tc>
        <w:tc>
          <w:tcPr>
            <w:tcW w:w="5898" w:type="dxa"/>
          </w:tcPr>
          <w:p w14:paraId="7F17749D" w14:textId="77777777" w:rsidR="0073646B" w:rsidRPr="00DC08DF" w:rsidRDefault="0073646B" w:rsidP="00AB29B1">
            <w:pPr>
              <w:pStyle w:val="TableBlockOutdent"/>
            </w:pPr>
            <w:r w:rsidRPr="00DC08DF">
              <w:rPr>
                <w:rFonts w:hint="cs"/>
                <w:rtl/>
              </w:rPr>
              <w:t xml:space="preserve">""גמלה נוספת לנכה" – </w:t>
            </w:r>
            <w:r>
              <w:rPr>
                <w:rFonts w:hint="cs"/>
                <w:rtl/>
              </w:rPr>
              <w:t>סכום השווה לסכום קצבת הנכות שה</w:t>
            </w:r>
            <w:r w:rsidRPr="00DC08DF">
              <w:rPr>
                <w:rFonts w:hint="cs"/>
                <w:rtl/>
              </w:rPr>
              <w:t xml:space="preserve">יתה משולמת </w:t>
            </w:r>
            <w:r>
              <w:rPr>
                <w:rFonts w:hint="cs"/>
                <w:rtl/>
              </w:rPr>
              <w:t xml:space="preserve">למבוטח אילולא </w:t>
            </w:r>
            <w:r w:rsidRPr="00DC08DF">
              <w:rPr>
                <w:rFonts w:hint="cs"/>
                <w:rtl/>
              </w:rPr>
              <w:t>היה מגיע לגיל פרישה</w:t>
            </w:r>
            <w:r>
              <w:rPr>
                <w:rFonts w:hint="cs"/>
                <w:rtl/>
              </w:rPr>
              <w:t>,</w:t>
            </w:r>
            <w:r w:rsidRPr="00DC08DF">
              <w:rPr>
                <w:rFonts w:hint="cs"/>
                <w:rtl/>
              </w:rPr>
              <w:t xml:space="preserve"> ואולם</w:t>
            </w:r>
            <w:r>
              <w:rPr>
                <w:rFonts w:hint="cs"/>
                <w:rtl/>
              </w:rPr>
              <w:t>,</w:t>
            </w:r>
            <w:r w:rsidRPr="00DC08DF">
              <w:rPr>
                <w:rFonts w:hint="cs"/>
                <w:rtl/>
              </w:rPr>
              <w:t xml:space="preserve"> תוספת התלויים תחושב בעד כל חודש בהתאם למספר התלויים בנכה באותו חודש כמשמעותם בסעיף 200(ג);";</w:t>
            </w:r>
          </w:p>
        </w:tc>
      </w:tr>
      <w:tr w:rsidR="0073646B" w14:paraId="765C154E" w14:textId="77777777" w:rsidTr="00AB29B1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070ED088" w14:textId="77777777" w:rsidR="0073646B" w:rsidRPr="0048242D" w:rsidRDefault="0073646B" w:rsidP="00AB29B1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E62ADCC" w14:textId="77777777" w:rsidR="0073646B" w:rsidRPr="004827B8" w:rsidRDefault="0073646B" w:rsidP="00AB29B1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25463" w14:textId="568A96A7" w:rsidR="0073646B" w:rsidRDefault="0073646B" w:rsidP="00810FA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בסעיף קטן (ב), המילים "וסכום קצבת </w:t>
            </w:r>
            <w:r w:rsidR="00810FAC">
              <w:rPr>
                <w:rFonts w:hint="cs"/>
                <w:rtl/>
              </w:rPr>
              <w:t xml:space="preserve">האזרח הוותיק </w:t>
            </w:r>
            <w:r>
              <w:rPr>
                <w:rFonts w:hint="cs"/>
                <w:rtl/>
              </w:rPr>
              <w:t xml:space="preserve">שהוא זכאי לו נמוך מסכום קצבת הנכות האמורה"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יימחקו, ובמקום "ואולם תוספת התלויים תחושב בעד כל חודש בהתאם למספר התלויים בנכה באותו נכה כמשמעותם בסעיף 200(ג)" יבוא "כל עוד מתקיימים בו התנאים לפי פסקאות (2) ו-(3) להגדרת נכה שבסעיף 195".</w:t>
            </w:r>
          </w:p>
        </w:tc>
      </w:tr>
      <w:tr w:rsidR="00B35280" w14:paraId="23FB4A2D" w14:textId="77777777" w:rsidTr="00AB29B1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9F760F9" w14:textId="77777777" w:rsidR="00B35280" w:rsidRPr="0048242D" w:rsidRDefault="00B35280" w:rsidP="00AB29B1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2500D4C" w14:textId="77777777" w:rsidR="00B35280" w:rsidRPr="004827B8" w:rsidRDefault="00B35280" w:rsidP="00B35280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1AD21B" w14:textId="562BC80E" w:rsidR="00B35280" w:rsidRDefault="00B35280" w:rsidP="00810FAC">
            <w:pPr>
              <w:pStyle w:val="TableBlock"/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סעיף קטן (ג) </w:t>
            </w:r>
            <w:r>
              <w:rPr>
                <w:rFonts w:hint="eastAsia"/>
              </w:rPr>
              <w:t>–</w:t>
            </w:r>
            <w:r>
              <w:rPr>
                <w:rFonts w:hint="cs"/>
                <w:rtl/>
              </w:rPr>
              <w:t xml:space="preserve"> בטל.</w:t>
            </w:r>
          </w:p>
        </w:tc>
      </w:tr>
      <w:tr w:rsidR="00566D63" w14:paraId="373B5F43" w14:textId="77777777" w:rsidTr="00AB29B1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1435DC2" w14:textId="69B87B81" w:rsidR="00566D63" w:rsidRPr="0048242D" w:rsidRDefault="00566D63" w:rsidP="00AB29B1">
            <w:pPr>
              <w:pStyle w:val="TableSideHeading"/>
              <w:ind w:right="0"/>
              <w:rPr>
                <w:rtl/>
              </w:rPr>
            </w:pPr>
            <w:r>
              <w:rPr>
                <w:rFonts w:hint="cs"/>
                <w:rtl/>
              </w:rPr>
              <w:t>תיקון סעיף 251א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070A2F6" w14:textId="6566F813" w:rsidR="00566D63" w:rsidRPr="004827B8" w:rsidRDefault="00566D63" w:rsidP="00566D63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875C7" w14:textId="6A15E5A6" w:rsidR="00566D63" w:rsidRDefault="00566D63" w:rsidP="00810FA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בסעיף 251א(ב) לחוק העיקרי, במקום "251(ב) ו-(ג)" יבוא 251(ב).</w:t>
            </w:r>
          </w:p>
        </w:tc>
      </w:tr>
    </w:tbl>
    <w:p w14:paraId="57EFA2CB" w14:textId="77777777" w:rsidR="001204B9" w:rsidRDefault="001204B9" w:rsidP="002D1EE3">
      <w:pPr>
        <w:pStyle w:val="HeadDivreiHesber"/>
        <w:rPr>
          <w:rtl/>
        </w:rPr>
      </w:pPr>
      <w:r>
        <w:rPr>
          <w:rtl/>
        </w:rPr>
        <w:br w:type="page"/>
      </w:r>
    </w:p>
    <w:p w14:paraId="7F6961CA" w14:textId="2AAD5DAE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lastRenderedPageBreak/>
        <w:t>דברי הסבר</w:t>
      </w:r>
    </w:p>
    <w:p w14:paraId="7CFA5705" w14:textId="4D0CA530" w:rsidR="0073646B" w:rsidRPr="006E6BB0" w:rsidRDefault="0073646B" w:rsidP="0073646B">
      <w:pPr>
        <w:pStyle w:val="Hesber"/>
        <w:rPr>
          <w:rtl/>
        </w:rPr>
      </w:pPr>
      <w:r>
        <w:rPr>
          <w:rFonts w:hint="cs"/>
          <w:rtl/>
        </w:rPr>
        <w:t>חוק הביטוח הלאומי [נוסח משולב], התשנ"ה</w:t>
      </w:r>
      <w:r>
        <w:rPr>
          <w:rFonts w:hint="eastAsia"/>
          <w:rtl/>
        </w:rPr>
        <w:t>–</w:t>
      </w:r>
      <w:r>
        <w:rPr>
          <w:rFonts w:hint="cs"/>
          <w:rtl/>
        </w:rPr>
        <w:t>1995, קובע בסעיף 251 כי נכה המקבל קצבת נכות והפך לקשיש</w:t>
      </w:r>
      <w:r w:rsidRPr="006E6BB0">
        <w:rPr>
          <w:rtl/>
        </w:rPr>
        <w:t xml:space="preserve"> אינו ז</w:t>
      </w:r>
      <w:r w:rsidRPr="006E6BB0">
        <w:rPr>
          <w:rFonts w:hint="cs"/>
          <w:rtl/>
        </w:rPr>
        <w:t>כאי</w:t>
      </w:r>
      <w:r w:rsidRPr="006E6BB0">
        <w:rPr>
          <w:rtl/>
        </w:rPr>
        <w:t xml:space="preserve"> לקבל כפל קצבאות</w:t>
      </w:r>
      <w:r w:rsidRPr="006E6BB0">
        <w:rPr>
          <w:rFonts w:hint="cs"/>
          <w:rtl/>
        </w:rPr>
        <w:t>,</w:t>
      </w:r>
      <w:r w:rsidRPr="006E6BB0">
        <w:rPr>
          <w:rtl/>
        </w:rPr>
        <w:t xml:space="preserve"> </w:t>
      </w:r>
      <w:r w:rsidRPr="006E6BB0">
        <w:rPr>
          <w:rFonts w:hint="cs"/>
          <w:rtl/>
        </w:rPr>
        <w:t xml:space="preserve">ועליו </w:t>
      </w:r>
      <w:r w:rsidRPr="006E6BB0">
        <w:rPr>
          <w:rtl/>
        </w:rPr>
        <w:t>להסתפק בקצבה אחת</w:t>
      </w:r>
      <w:r>
        <w:rPr>
          <w:rFonts w:hint="cs"/>
          <w:rtl/>
        </w:rPr>
        <w:t xml:space="preserve"> שסכומה לא יהיה נמוך מסכום קצבת הנכות. יחד עם זאת, </w:t>
      </w:r>
      <w:r w:rsidRPr="006E6BB0">
        <w:rPr>
          <w:rtl/>
        </w:rPr>
        <w:t>הוצאותיו</w:t>
      </w:r>
      <w:r>
        <w:rPr>
          <w:rFonts w:hint="cs"/>
          <w:rtl/>
        </w:rPr>
        <w:t xml:space="preserve"> של אותו נכה</w:t>
      </w:r>
      <w:r w:rsidRPr="006E6BB0">
        <w:rPr>
          <w:rtl/>
        </w:rPr>
        <w:t xml:space="preserve"> אינן פוחתות בהגיעו לגיל </w:t>
      </w:r>
      <w:r w:rsidR="00B35280">
        <w:rPr>
          <w:rFonts w:hint="cs"/>
          <w:rtl/>
        </w:rPr>
        <w:t>פרישה</w:t>
      </w:r>
      <w:r w:rsidRPr="006E6BB0">
        <w:rPr>
          <w:rtl/>
        </w:rPr>
        <w:t>.</w:t>
      </w:r>
      <w:r>
        <w:rPr>
          <w:rFonts w:hint="cs"/>
          <w:rtl/>
        </w:rPr>
        <w:t xml:space="preserve"> לפיכך נדרש לתקן מצב זה ולקבוע כי אותו נכה יהיה זכאי להמשיך ולקבל קצבה בסכום שזהה לפחות לסכום קצבת הנכות שקיבל עד להפיכתו לקשיש, יחד עם קצבת ה</w:t>
      </w:r>
      <w:r w:rsidR="00B35280">
        <w:rPr>
          <w:rFonts w:hint="cs"/>
          <w:rtl/>
        </w:rPr>
        <w:t>אזרח הו</w:t>
      </w:r>
      <w:r w:rsidR="0066235E">
        <w:rPr>
          <w:rFonts w:hint="cs"/>
          <w:rtl/>
        </w:rPr>
        <w:t>ו</w:t>
      </w:r>
      <w:r w:rsidR="00B35280">
        <w:rPr>
          <w:rFonts w:hint="cs"/>
          <w:rtl/>
        </w:rPr>
        <w:t>תיק</w:t>
      </w:r>
      <w:r>
        <w:rPr>
          <w:rFonts w:hint="cs"/>
          <w:rtl/>
        </w:rPr>
        <w:t xml:space="preserve"> לה הוא זכאי. </w:t>
      </w:r>
    </w:p>
    <w:p w14:paraId="2AE95853" w14:textId="4ABA222B" w:rsidR="0073646B" w:rsidRDefault="0073646B" w:rsidP="0073646B">
      <w:pPr>
        <w:pStyle w:val="Hesber"/>
        <w:rPr>
          <w:rtl/>
        </w:rPr>
      </w:pPr>
      <w:r>
        <w:rPr>
          <w:rFonts w:hint="cs"/>
          <w:rtl/>
        </w:rPr>
        <w:t>הצע</w:t>
      </w:r>
      <w:r w:rsidR="0039447E">
        <w:rPr>
          <w:rFonts w:hint="cs"/>
          <w:rtl/>
        </w:rPr>
        <w:t>ו</w:t>
      </w:r>
      <w:r>
        <w:rPr>
          <w:rFonts w:hint="cs"/>
          <w:rtl/>
        </w:rPr>
        <w:t xml:space="preserve">ת חוק </w:t>
      </w:r>
      <w:r w:rsidR="00D54B92">
        <w:rPr>
          <w:rFonts w:hint="cs"/>
          <w:rtl/>
        </w:rPr>
        <w:t>דומות בעיקרן</w:t>
      </w:r>
      <w:r>
        <w:rPr>
          <w:rFonts w:hint="cs"/>
          <w:rtl/>
        </w:rPr>
        <w:t xml:space="preserve"> הונח</w:t>
      </w:r>
      <w:r w:rsidR="0039447E">
        <w:rPr>
          <w:rFonts w:hint="cs"/>
          <w:rtl/>
        </w:rPr>
        <w:t>ו</w:t>
      </w:r>
      <w:r>
        <w:rPr>
          <w:rFonts w:hint="cs"/>
          <w:rtl/>
        </w:rPr>
        <w:t xml:space="preserve"> על שולחן הכנסת התשע-עשרה ו</w:t>
      </w:r>
      <w:r w:rsidR="0039447E">
        <w:rPr>
          <w:rFonts w:hint="cs"/>
          <w:rtl/>
        </w:rPr>
        <w:t xml:space="preserve">על שולחן </w:t>
      </w:r>
      <w:r>
        <w:rPr>
          <w:rFonts w:hint="cs"/>
          <w:rtl/>
        </w:rPr>
        <w:t>הכנסת העשרים על ידי חבר הכנסת יעקב מרגי וקבוצת חברי הכנסת (</w:t>
      </w:r>
      <w:r w:rsidRPr="00CC0CCC">
        <w:rPr>
          <w:rtl/>
        </w:rPr>
        <w:t>פ/2035/19</w:t>
      </w:r>
      <w:r w:rsidR="00D54B92">
        <w:rPr>
          <w:rFonts w:hint="cs"/>
          <w:rtl/>
        </w:rPr>
        <w:t xml:space="preserve">; </w:t>
      </w:r>
      <w:r>
        <w:rPr>
          <w:rFonts w:hint="cs"/>
          <w:rtl/>
        </w:rPr>
        <w:t>פ/2200/20).</w:t>
      </w:r>
    </w:p>
    <w:p w14:paraId="2D306DBF" w14:textId="4A8B863C" w:rsidR="001204B9" w:rsidRDefault="001204B9" w:rsidP="0073646B">
      <w:pPr>
        <w:pStyle w:val="Hesber"/>
        <w:rPr>
          <w:rtl/>
        </w:rPr>
      </w:pPr>
    </w:p>
    <w:p w14:paraId="671277D1" w14:textId="77777777" w:rsidR="001204B9" w:rsidRDefault="001204B9" w:rsidP="0073646B">
      <w:pPr>
        <w:pStyle w:val="Hesber"/>
        <w:rPr>
          <w:rtl/>
        </w:rPr>
      </w:pPr>
    </w:p>
    <w:p w14:paraId="55DC316B" w14:textId="77777777" w:rsidR="001204B9" w:rsidRPr="00D73212" w:rsidRDefault="001204B9" w:rsidP="001204B9">
      <w:pPr>
        <w:pStyle w:val="Hesber"/>
        <w:ind w:firstLine="0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7B60C6B6" w14:textId="77777777" w:rsidR="001204B9" w:rsidRPr="00D73212" w:rsidRDefault="001204B9" w:rsidP="001204B9">
      <w:pPr>
        <w:pStyle w:val="Hesber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4AB42316" w14:textId="77777777" w:rsidR="001204B9" w:rsidRPr="00D73212" w:rsidRDefault="001204B9" w:rsidP="001204B9">
      <w:pPr>
        <w:pStyle w:val="Hesber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7BB2DD47" w14:textId="77777777" w:rsidR="001204B9" w:rsidRPr="005E6543" w:rsidRDefault="001204B9" w:rsidP="001204B9">
      <w:pPr>
        <w:pStyle w:val="Hesber"/>
        <w:ind w:firstLine="0"/>
        <w:rPr>
          <w:rtl/>
        </w:rPr>
      </w:pPr>
      <w:r>
        <w:rPr>
          <w:rFonts w:hint="cs"/>
          <w:color w:val="auto"/>
          <w:rtl/>
          <w:lang w:eastAsia="en-US"/>
        </w:rPr>
        <w:t xml:space="preserve">ד' בכסלו </w:t>
      </w:r>
      <w:r w:rsidRPr="00D73212">
        <w:rPr>
          <w:rFonts w:hint="cs"/>
          <w:color w:val="auto"/>
          <w:rtl/>
          <w:lang w:eastAsia="en-US"/>
        </w:rPr>
        <w:t>התש</w:t>
      </w:r>
      <w:r>
        <w:rPr>
          <w:rFonts w:hint="cs"/>
          <w:color w:val="auto"/>
          <w:rtl/>
          <w:lang w:eastAsia="en-US"/>
        </w:rPr>
        <w:t xml:space="preserve">"ף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2.12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19</w:t>
      </w:r>
    </w:p>
    <w:p w14:paraId="0CDD67B2" w14:textId="77777777" w:rsidR="001204B9" w:rsidRDefault="001204B9" w:rsidP="0073646B">
      <w:pPr>
        <w:pStyle w:val="Hesber"/>
        <w:rPr>
          <w:rtl/>
        </w:rPr>
      </w:pPr>
      <w:bookmarkStart w:id="7" w:name="_GoBack"/>
      <w:bookmarkEnd w:id="7"/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1204B9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6D541B2" w14:textId="77777777" w:rsidR="0073646B" w:rsidRDefault="0073646B" w:rsidP="0073646B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sz w:val="20"/>
          <w:rtl/>
        </w:rPr>
        <w:t>ס"ח התשנ"ה, עמ' 210.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4B9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447E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66D63"/>
    <w:rsid w:val="005B064E"/>
    <w:rsid w:val="005D51AE"/>
    <w:rsid w:val="0062674B"/>
    <w:rsid w:val="006363B2"/>
    <w:rsid w:val="00644940"/>
    <w:rsid w:val="0066235E"/>
    <w:rsid w:val="006818A9"/>
    <w:rsid w:val="006A2D81"/>
    <w:rsid w:val="006C1D0D"/>
    <w:rsid w:val="0070601E"/>
    <w:rsid w:val="00712C72"/>
    <w:rsid w:val="00735FE9"/>
    <w:rsid w:val="0073646B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0FAC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B6B92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280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54B92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52E274DC-BC26-4CC8-AE0F-9B15E5C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uiPriority w:val="99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locked/>
    <w:rsid w:val="0073646B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styleId="ae">
    <w:name w:val="annotation reference"/>
    <w:basedOn w:val="a0"/>
    <w:semiHidden/>
    <w:unhideWhenUsed/>
    <w:rsid w:val="009B6B92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B6B92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9B6B92"/>
    <w:rPr>
      <w:rFonts w:ascii="Hadasa Roso SL" w:hAnsi="Hadasa Roso SL" w:cs="Hadasa Roso SL"/>
      <w:color w:val="000000"/>
      <w:spacing w:val="1"/>
      <w:lang w:eastAsia="ja-JP"/>
    </w:rPr>
  </w:style>
  <w:style w:type="paragraph" w:styleId="af1">
    <w:name w:val="annotation subject"/>
    <w:basedOn w:val="af"/>
    <w:next w:val="af"/>
    <w:link w:val="af2"/>
    <w:semiHidden/>
    <w:unhideWhenUsed/>
    <w:rsid w:val="009B6B92"/>
    <w:rPr>
      <w:b/>
      <w:bCs/>
    </w:rPr>
  </w:style>
  <w:style w:type="character" w:customStyle="1" w:styleId="af2">
    <w:name w:val="נושא הערה תו"/>
    <w:basedOn w:val="af0"/>
    <w:link w:val="af1"/>
    <w:semiHidden/>
    <w:rsid w:val="009B6B92"/>
    <w:rPr>
      <w:rFonts w:ascii="Hadasa Roso SL" w:hAnsi="Hadasa Roso SL" w:cs="Hadasa Roso SL"/>
      <w:b/>
      <w:bCs/>
      <w:color w:val="000000"/>
      <w:spacing w:val="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8A8D5-FAC8-4FB0-814B-6D60EC230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9B3A7B-73F0-42AC-83D2-EADCFD05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חנה קרליץ</cp:lastModifiedBy>
  <cp:revision>12</cp:revision>
  <cp:lastPrinted>2019-11-27T08:12:00Z</cp:lastPrinted>
  <dcterms:created xsi:type="dcterms:W3CDTF">2015-04-20T09:58:00Z</dcterms:created>
  <dcterms:modified xsi:type="dcterms:W3CDTF">2019-11-27T08:12:00Z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2083016</vt:r8>
  </property>
</Properties>
</file>