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2083013</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ושתיים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יעקב מרגי</w:t>
      </w:r>
      <w:r>
        <w:br/>
      </w:r>
      <w:r>
        <w:rPr>
          <w:rFonts w:hint="cs"/>
          <w:b/>
          <w:bCs/>
          <w:rtl/>
        </w:rPr>
        <w:t xml:space="preserve"> </w:t>
      </w:r>
      <w:r>
        <w:tab/>
      </w:r>
      <w:r>
        <w:tab/>
      </w:r>
      <w:r>
        <w:tab/>
      </w:r>
      <w:r>
        <w:tab/>
      </w:r>
      <w:r>
        <w:rPr>
          <w:rFonts w:hint="cs"/>
          <w:b/>
          <w:bCs/>
          <w:rtl/>
        </w:rPr>
        <w:t>ינון אזולאי</w:t>
      </w:r>
      <w:r>
        <w:br/>
      </w:r>
      <w:r>
        <w:rPr>
          <w:rFonts w:hint="cs"/>
          <w:b/>
          <w:bCs/>
          <w:rtl/>
        </w:rPr>
        <w:t xml:space="preserve"> </w:t>
      </w:r>
      <w:r>
        <w:tab/>
      </w:r>
      <w:r>
        <w:tab/>
      </w:r>
      <w:r>
        <w:tab/>
      </w:r>
      <w:r>
        <w:tab/>
      </w:r>
      <w:r>
        <w:rPr>
          <w:rFonts w:hint="cs"/>
          <w:b/>
          <w:bCs/>
          <w:rtl/>
        </w:rPr>
        <w:t>משה ארבל</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פ/1064/22</w:t>
      </w:r>
      <w:bookmarkEnd w:id="6"/>
    </w:p>
    <w:p w14:paraId="57F51EFF" w14:textId="77777777" w:rsidR="004D2CF7" w:rsidRPr="004D2CF7" w:rsidRDefault="004D2CF7" w:rsidP="004D2CF7">
      <w:pPr>
        <w:autoSpaceDE/>
        <w:autoSpaceDN/>
        <w:adjustRightInd/>
        <w:spacing w:before="0" w:line="360" w:lineRule="auto"/>
        <w:ind w:left="2880" w:firstLine="720"/>
        <w:contextualSpacing/>
        <w:textAlignment w:val="auto"/>
        <w:rPr>
          <w:rFonts w:ascii="David" w:eastAsiaTheme="minorHAnsi" w:hAnsi="David" w:cs="David"/>
          <w:color w:val="auto"/>
          <w:spacing w:val="0"/>
          <w:sz w:val="26"/>
          <w:szCs w:val="26"/>
          <w:rtl/>
          <w:lang w:eastAsia="en-US"/>
        </w:rPr>
      </w:pPr>
    </w:p>
    <w:p w14:paraId="79199E53" w14:textId="4CD9B720" w:rsidR="004D2CF7" w:rsidRPr="004D2CF7" w:rsidRDefault="004D2CF7" w:rsidP="00F615EF">
      <w:pPr>
        <w:keepNext/>
        <w:keepLines/>
        <w:autoSpaceDE/>
        <w:autoSpaceDN/>
        <w:adjustRightInd/>
        <w:snapToGrid w:val="0"/>
        <w:spacing w:before="240" w:line="360" w:lineRule="auto"/>
        <w:ind w:left="340" w:firstLine="0"/>
        <w:contextualSpacing/>
        <w:jc w:val="center"/>
        <w:textAlignment w:val="auto"/>
        <w:outlineLvl w:val="0"/>
        <w:rPr>
          <w:rFonts w:ascii="Arial" w:eastAsia="Arial Unicode MS" w:hAnsi="Arial" w:cs="David"/>
          <w:b/>
          <w:snapToGrid w:val="0"/>
          <w:color w:val="auto"/>
          <w:spacing w:val="40"/>
          <w:sz w:val="20"/>
          <w:szCs w:val="26"/>
          <w:rtl/>
          <w:lang w:eastAsia="en-US"/>
        </w:rPr>
      </w:pPr>
      <w:bookmarkStart w:id="7" w:name="LGS_Subject"/>
      <w:r w:rsidRPr="004D2CF7">
        <w:rPr>
          <w:rFonts w:ascii="Arial" w:eastAsia="Arial Unicode MS" w:hAnsi="Arial" w:cs="David" w:hint="cs"/>
          <w:b/>
          <w:bCs/>
          <w:snapToGrid w:val="0"/>
          <w:color w:val="auto"/>
          <w:spacing w:val="0"/>
          <w:sz w:val="20"/>
          <w:szCs w:val="26"/>
          <w:rtl/>
          <w:lang w:eastAsia="en-US"/>
        </w:rPr>
        <w:t>הצעת חוק המועצה להשכלה גבוהה (תיקון – עידוד הנגשה להשכלה גבוהה), התש"ף</w:t>
      </w:r>
      <w:r w:rsidRPr="004D2CF7">
        <w:rPr>
          <w:rFonts w:ascii="Arial" w:eastAsia="Arial Unicode MS" w:hAnsi="Arial" w:cs="David" w:hint="eastAsia"/>
          <w:b/>
          <w:bCs/>
          <w:snapToGrid w:val="0"/>
          <w:color w:val="auto"/>
          <w:spacing w:val="0"/>
          <w:sz w:val="20"/>
          <w:szCs w:val="26"/>
          <w:rtl/>
          <w:lang w:eastAsia="en-US"/>
        </w:rPr>
        <w:t>–</w:t>
      </w:r>
      <w:r w:rsidRPr="004D2CF7">
        <w:rPr>
          <w:rFonts w:ascii="Arial" w:eastAsia="Arial Unicode MS" w:hAnsi="Arial" w:cs="David" w:hint="cs"/>
          <w:b/>
          <w:bCs/>
          <w:snapToGrid w:val="0"/>
          <w:color w:val="auto"/>
          <w:spacing w:val="0"/>
          <w:sz w:val="20"/>
          <w:szCs w:val="26"/>
          <w:rtl/>
          <w:lang w:eastAsia="en-US"/>
        </w:rPr>
        <w:t>2019</w:t>
      </w:r>
      <w:bookmarkEnd w:id="7"/>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624"/>
        <w:gridCol w:w="624"/>
        <w:gridCol w:w="4023"/>
      </w:tblGrid>
      <w:tr w:rsidR="004D2CF7" w:rsidRPr="004D2CF7" w14:paraId="23F7A7A1" w14:textId="77777777" w:rsidTr="005E3E8F">
        <w:trPr>
          <w:cantSplit/>
        </w:trPr>
        <w:tc>
          <w:tcPr>
            <w:tcW w:w="1871" w:type="dxa"/>
          </w:tcPr>
          <w:p w14:paraId="66DBE018" w14:textId="77777777" w:rsidR="004D2CF7" w:rsidRPr="004D2CF7" w:rsidRDefault="004D2CF7" w:rsidP="004D2CF7">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r w:rsidRPr="004D2CF7">
              <w:rPr>
                <w:rFonts w:ascii="Arial" w:eastAsia="Arial Unicode MS" w:hAnsi="Arial" w:cs="David"/>
                <w:snapToGrid w:val="0"/>
                <w:color w:val="auto"/>
                <w:spacing w:val="0"/>
                <w:sz w:val="20"/>
                <w:szCs w:val="26"/>
                <w:rtl/>
                <w:lang w:eastAsia="en-US"/>
              </w:rPr>
              <w:t>הוספת סעיף 15ב</w:t>
            </w:r>
            <w:r w:rsidRPr="004D2CF7">
              <w:rPr>
                <w:rFonts w:ascii="Arial" w:eastAsia="Arial Unicode MS" w:hAnsi="Arial" w:cs="David"/>
                <w:snapToGrid w:val="0"/>
                <w:color w:val="auto"/>
                <w:spacing w:val="0"/>
                <w:sz w:val="20"/>
                <w:szCs w:val="26"/>
                <w:lang w:eastAsia="en-US"/>
              </w:rPr>
              <w:t xml:space="preserve"> </w:t>
            </w:r>
          </w:p>
        </w:tc>
        <w:tc>
          <w:tcPr>
            <w:tcW w:w="624" w:type="dxa"/>
          </w:tcPr>
          <w:p w14:paraId="1C30E1FF" w14:textId="77777777" w:rsidR="004D2CF7" w:rsidRPr="004D2CF7" w:rsidRDefault="004D2CF7" w:rsidP="004D2CF7">
            <w:pPr>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r w:rsidRPr="004D2CF7">
              <w:rPr>
                <w:rFonts w:ascii="Arial" w:eastAsia="Arial Unicode MS" w:hAnsi="Arial" w:cs="David"/>
                <w:snapToGrid w:val="0"/>
                <w:color w:val="auto"/>
                <w:spacing w:val="0"/>
                <w:sz w:val="20"/>
                <w:szCs w:val="26"/>
                <w:rtl/>
                <w:lang w:eastAsia="en-US"/>
              </w:rPr>
              <w:t>1.</w:t>
            </w:r>
          </w:p>
        </w:tc>
        <w:tc>
          <w:tcPr>
            <w:tcW w:w="7143" w:type="dxa"/>
            <w:gridSpan w:val="6"/>
          </w:tcPr>
          <w:p w14:paraId="1A5AAEFC" w14:textId="77777777" w:rsidR="004D2CF7" w:rsidRPr="007D729E" w:rsidRDefault="004D2CF7" w:rsidP="00F615EF">
            <w:pPr>
              <w:pStyle w:val="TableBlock"/>
              <w:rPr>
                <w:lang w:eastAsia="en-US"/>
              </w:rPr>
            </w:pPr>
            <w:r w:rsidRPr="007D729E">
              <w:rPr>
                <w:rFonts w:hint="cs"/>
                <w:rtl/>
                <w:lang w:eastAsia="en-US"/>
              </w:rPr>
              <w:t>ב</w:t>
            </w:r>
            <w:r w:rsidRPr="007D729E">
              <w:rPr>
                <w:rtl/>
                <w:lang w:eastAsia="en-US"/>
              </w:rPr>
              <w:t xml:space="preserve">חוק </w:t>
            </w:r>
            <w:r w:rsidRPr="00F615EF">
              <w:rPr>
                <w:rtl/>
              </w:rPr>
              <w:t>המועצה</w:t>
            </w:r>
            <w:r w:rsidRPr="007D729E">
              <w:rPr>
                <w:rtl/>
                <w:lang w:eastAsia="en-US"/>
              </w:rPr>
              <w:t xml:space="preserve"> להשכלה גבוהה, התשי"ח–1958</w:t>
            </w:r>
            <w:r w:rsidRPr="007D729E">
              <w:rPr>
                <w:rFonts w:ascii="David" w:hAnsi="David"/>
                <w:sz w:val="26"/>
                <w:vertAlign w:val="superscript"/>
                <w:rtl/>
                <w:lang w:eastAsia="en-US"/>
              </w:rPr>
              <w:footnoteReference w:id="2"/>
            </w:r>
            <w:r w:rsidRPr="007D729E">
              <w:rPr>
                <w:rtl/>
                <w:lang w:eastAsia="en-US"/>
              </w:rPr>
              <w:t>, אחרי סעיף 15א יבוא:</w:t>
            </w:r>
            <w:r w:rsidRPr="007D729E">
              <w:rPr>
                <w:lang w:eastAsia="en-US"/>
              </w:rPr>
              <w:t xml:space="preserve">  </w:t>
            </w:r>
          </w:p>
        </w:tc>
      </w:tr>
      <w:tr w:rsidR="004D2CF7" w:rsidRPr="004D2CF7" w14:paraId="7D2C12FC" w14:textId="77777777" w:rsidTr="005E3E8F">
        <w:trPr>
          <w:cantSplit/>
        </w:trPr>
        <w:tc>
          <w:tcPr>
            <w:tcW w:w="1871" w:type="dxa"/>
          </w:tcPr>
          <w:p w14:paraId="6EE69A29" w14:textId="77777777" w:rsidR="004D2CF7" w:rsidRPr="004D2CF7" w:rsidRDefault="004D2CF7" w:rsidP="004D2CF7">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14:paraId="1FB50C76" w14:textId="77777777" w:rsidR="004D2CF7" w:rsidRPr="004D2CF7" w:rsidRDefault="004D2CF7" w:rsidP="004D2CF7">
            <w:pPr>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1872" w:type="dxa"/>
            <w:gridSpan w:val="3"/>
          </w:tcPr>
          <w:p w14:paraId="7FABBE31"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r w:rsidRPr="004D2CF7">
              <w:rPr>
                <w:rFonts w:ascii="Arial" w:eastAsia="Arial Unicode MS" w:hAnsi="Arial" w:cs="David"/>
                <w:snapToGrid w:val="0"/>
                <w:color w:val="auto"/>
                <w:spacing w:val="0"/>
                <w:sz w:val="20"/>
                <w:szCs w:val="26"/>
                <w:rtl/>
                <w:lang w:eastAsia="en-US"/>
              </w:rPr>
              <w:t>"</w:t>
            </w:r>
            <w:r w:rsidRPr="004D2CF7">
              <w:rPr>
                <w:rFonts w:ascii="Arial" w:eastAsia="Arial Unicode MS" w:hAnsi="Arial" w:cs="David" w:hint="cs"/>
                <w:snapToGrid w:val="0"/>
                <w:color w:val="auto"/>
                <w:spacing w:val="0"/>
                <w:sz w:val="20"/>
                <w:szCs w:val="26"/>
                <w:rtl/>
                <w:lang w:eastAsia="en-US"/>
              </w:rPr>
              <w:t>עידוד הנגשה להשכלה גבוהה</w:t>
            </w:r>
          </w:p>
        </w:tc>
        <w:tc>
          <w:tcPr>
            <w:tcW w:w="624" w:type="dxa"/>
          </w:tcPr>
          <w:p w14:paraId="7AAC47E5"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r w:rsidRPr="004D2CF7">
              <w:rPr>
                <w:rFonts w:ascii="Arial" w:eastAsia="Arial Unicode MS" w:hAnsi="Arial" w:cs="David"/>
                <w:snapToGrid w:val="0"/>
                <w:color w:val="auto"/>
                <w:spacing w:val="0"/>
                <w:sz w:val="20"/>
                <w:szCs w:val="26"/>
                <w:rtl/>
                <w:lang w:eastAsia="en-US"/>
              </w:rPr>
              <w:t>15ב.</w:t>
            </w:r>
          </w:p>
        </w:tc>
        <w:tc>
          <w:tcPr>
            <w:tcW w:w="4647" w:type="dxa"/>
            <w:gridSpan w:val="2"/>
          </w:tcPr>
          <w:p w14:paraId="3E4F2430"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6"/>
                <w:szCs w:val="26"/>
                <w:lang w:eastAsia="en-US"/>
              </w:rPr>
            </w:pPr>
            <w:r w:rsidRPr="004D2CF7">
              <w:rPr>
                <w:rFonts w:ascii="Arial" w:eastAsia="Arial Unicode MS" w:hAnsi="Arial" w:cs="David"/>
                <w:snapToGrid w:val="0"/>
                <w:color w:val="auto"/>
                <w:spacing w:val="0"/>
                <w:sz w:val="26"/>
                <w:szCs w:val="26"/>
                <w:rtl/>
                <w:lang w:eastAsia="en-US"/>
              </w:rPr>
              <w:t>(א)</w:t>
            </w:r>
            <w:r w:rsidRPr="004D2CF7">
              <w:rPr>
                <w:rFonts w:ascii="Arial" w:eastAsia="Arial Unicode MS" w:hAnsi="Arial" w:cs="David"/>
                <w:snapToGrid w:val="0"/>
                <w:color w:val="auto"/>
                <w:spacing w:val="0"/>
                <w:sz w:val="26"/>
                <w:szCs w:val="26"/>
                <w:rtl/>
                <w:lang w:eastAsia="en-US"/>
              </w:rPr>
              <w:tab/>
            </w:r>
            <w:r w:rsidRPr="004D2CF7">
              <w:rPr>
                <w:rFonts w:ascii="Arial" w:eastAsia="Arial Unicode MS" w:hAnsi="Arial" w:cs="David" w:hint="cs"/>
                <w:snapToGrid w:val="0"/>
                <w:color w:val="auto"/>
                <w:spacing w:val="0"/>
                <w:sz w:val="26"/>
                <w:szCs w:val="26"/>
                <w:rtl/>
                <w:lang w:eastAsia="en-US"/>
              </w:rPr>
              <w:t xml:space="preserve"> </w:t>
            </w:r>
            <w:r w:rsidRPr="004D2CF7">
              <w:rPr>
                <w:rFonts w:ascii="Arial" w:eastAsia="Arial Unicode MS" w:hAnsi="Arial" w:cs="David"/>
                <w:snapToGrid w:val="0"/>
                <w:color w:val="auto"/>
                <w:spacing w:val="0"/>
                <w:sz w:val="26"/>
                <w:szCs w:val="26"/>
                <w:rtl/>
                <w:lang w:eastAsia="en-US"/>
              </w:rPr>
              <w:t xml:space="preserve">מוסד להשכלה גבוהה </w:t>
            </w:r>
            <w:r w:rsidRPr="004D2CF7">
              <w:rPr>
                <w:rFonts w:ascii="Arial" w:eastAsia="Arial Unicode MS" w:hAnsi="Arial" w:cs="David" w:hint="cs"/>
                <w:snapToGrid w:val="0"/>
                <w:color w:val="auto"/>
                <w:spacing w:val="0"/>
                <w:sz w:val="26"/>
                <w:szCs w:val="26"/>
                <w:rtl/>
                <w:lang w:eastAsia="en-US"/>
              </w:rPr>
              <w:t xml:space="preserve">לא </w:t>
            </w:r>
            <w:r w:rsidRPr="004D2CF7">
              <w:rPr>
                <w:rFonts w:ascii="Arial" w:eastAsia="Arial Unicode MS" w:hAnsi="Arial" w:cs="David"/>
                <w:snapToGrid w:val="0"/>
                <w:color w:val="auto"/>
                <w:spacing w:val="0"/>
                <w:sz w:val="26"/>
                <w:szCs w:val="26"/>
                <w:rtl/>
                <w:lang w:eastAsia="en-US"/>
              </w:rPr>
              <w:t xml:space="preserve">יקבל תלמיד ללימודים בו לקראת תואר ראשון </w:t>
            </w:r>
            <w:r w:rsidRPr="004D2CF7">
              <w:rPr>
                <w:rFonts w:ascii="Arial" w:eastAsia="Arial Unicode MS" w:hAnsi="Arial" w:cs="David" w:hint="cs"/>
                <w:snapToGrid w:val="0"/>
                <w:color w:val="auto"/>
                <w:spacing w:val="0"/>
                <w:sz w:val="26"/>
                <w:szCs w:val="26"/>
                <w:rtl/>
                <w:lang w:eastAsia="en-US"/>
              </w:rPr>
              <w:t xml:space="preserve">אלא </w:t>
            </w:r>
            <w:r w:rsidRPr="004D2CF7">
              <w:rPr>
                <w:rFonts w:ascii="Arial" w:eastAsia="Arial Unicode MS" w:hAnsi="Arial" w:cs="David"/>
                <w:snapToGrid w:val="0"/>
                <w:color w:val="auto"/>
                <w:spacing w:val="0"/>
                <w:sz w:val="26"/>
                <w:szCs w:val="26"/>
                <w:rtl/>
                <w:lang w:eastAsia="en-US"/>
              </w:rPr>
              <w:t>על יסוד תעודת בגרות ישראלית או תעודה שוות-ערך.</w:t>
            </w:r>
          </w:p>
        </w:tc>
      </w:tr>
      <w:tr w:rsidR="004D2CF7" w:rsidRPr="004D2CF7" w14:paraId="3483A18B" w14:textId="77777777" w:rsidTr="005E3E8F">
        <w:trPr>
          <w:cantSplit/>
        </w:trPr>
        <w:tc>
          <w:tcPr>
            <w:tcW w:w="1871" w:type="dxa"/>
          </w:tcPr>
          <w:p w14:paraId="1EE14DAD"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14:paraId="446DB0B3"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3F20AE7A"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63D243ED"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1484D17D"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46655B96"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4647" w:type="dxa"/>
            <w:gridSpan w:val="2"/>
          </w:tcPr>
          <w:p w14:paraId="397765A8"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4D2CF7">
              <w:rPr>
                <w:rFonts w:ascii="Arial" w:eastAsia="Arial Unicode MS" w:hAnsi="Arial" w:cs="David" w:hint="cs"/>
                <w:snapToGrid w:val="0"/>
                <w:color w:val="auto"/>
                <w:spacing w:val="0"/>
                <w:sz w:val="26"/>
                <w:szCs w:val="26"/>
                <w:rtl/>
                <w:lang w:eastAsia="en-US"/>
              </w:rPr>
              <w:t>(ב)</w:t>
            </w:r>
            <w:r w:rsidRPr="004D2CF7">
              <w:rPr>
                <w:rFonts w:ascii="Arial" w:eastAsia="Arial Unicode MS" w:hAnsi="Arial" w:cs="David"/>
                <w:snapToGrid w:val="0"/>
                <w:color w:val="auto"/>
                <w:spacing w:val="0"/>
                <w:sz w:val="26"/>
                <w:szCs w:val="26"/>
                <w:rtl/>
                <w:lang w:eastAsia="en-US"/>
              </w:rPr>
              <w:tab/>
            </w:r>
            <w:r w:rsidRPr="004D2CF7">
              <w:rPr>
                <w:rFonts w:ascii="Arial" w:eastAsia="Arial Unicode MS" w:hAnsi="Arial" w:cs="David" w:hint="cs"/>
                <w:snapToGrid w:val="0"/>
                <w:color w:val="auto"/>
                <w:spacing w:val="0"/>
                <w:sz w:val="26"/>
                <w:szCs w:val="26"/>
                <w:rtl/>
                <w:lang w:eastAsia="en-US"/>
              </w:rPr>
              <w:t xml:space="preserve">על אף האמור בסעיף קטן (א), </w:t>
            </w:r>
            <w:r w:rsidRPr="004D2CF7">
              <w:rPr>
                <w:rFonts w:ascii="Calibri" w:eastAsia="Arial Unicode MS" w:hAnsi="Calibri" w:cs="David" w:hint="cs"/>
                <w:noProof/>
                <w:snapToGrid w:val="0"/>
                <w:color w:val="auto"/>
                <w:spacing w:val="0"/>
                <w:sz w:val="26"/>
                <w:szCs w:val="26"/>
                <w:rtl/>
                <w:lang w:eastAsia="en-US"/>
              </w:rPr>
              <w:t>מוסד להשכלה גבוהה רשאי לקבל תלמידים ללימודים בו לקראת תואר ראשון על סמך תעודה המעידה על סיום בהצלחה של מכינה קדם אקדמית, המאושרת על ידי משרד החינוך.</w:t>
            </w:r>
          </w:p>
        </w:tc>
      </w:tr>
      <w:tr w:rsidR="004D2CF7" w:rsidRPr="004D2CF7" w14:paraId="39F70EDC" w14:textId="77777777" w:rsidTr="005E3E8F">
        <w:trPr>
          <w:cantSplit/>
        </w:trPr>
        <w:tc>
          <w:tcPr>
            <w:tcW w:w="1871" w:type="dxa"/>
          </w:tcPr>
          <w:p w14:paraId="38D91E39"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14:paraId="7C694A8B"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6E5DAE87"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1AFD70F3"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07E2D028"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235832A6"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4647" w:type="dxa"/>
            <w:gridSpan w:val="2"/>
          </w:tcPr>
          <w:p w14:paraId="099BD2EA"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6"/>
                <w:szCs w:val="26"/>
                <w:rtl/>
                <w:lang w:eastAsia="en-US"/>
              </w:rPr>
            </w:pPr>
            <w:r w:rsidRPr="004D2CF7">
              <w:rPr>
                <w:rFonts w:ascii="Arial" w:eastAsia="Arial Unicode MS" w:hAnsi="Arial" w:cs="David" w:hint="cs"/>
                <w:snapToGrid w:val="0"/>
                <w:color w:val="auto"/>
                <w:spacing w:val="0"/>
                <w:sz w:val="26"/>
                <w:szCs w:val="26"/>
                <w:rtl/>
                <w:lang w:eastAsia="en-US"/>
              </w:rPr>
              <w:t>(ג)</w:t>
            </w:r>
            <w:r w:rsidRPr="004D2CF7">
              <w:rPr>
                <w:rFonts w:ascii="Arial" w:eastAsia="Arial Unicode MS" w:hAnsi="Arial" w:cs="David"/>
                <w:snapToGrid w:val="0"/>
                <w:color w:val="auto"/>
                <w:spacing w:val="0"/>
                <w:sz w:val="26"/>
                <w:szCs w:val="26"/>
                <w:rtl/>
                <w:lang w:eastAsia="en-US"/>
              </w:rPr>
              <w:tab/>
            </w:r>
            <w:r w:rsidRPr="004D2CF7">
              <w:rPr>
                <w:rFonts w:ascii="Calibri" w:eastAsia="Arial Unicode MS" w:hAnsi="Calibri" w:cs="David" w:hint="cs"/>
                <w:noProof/>
                <w:snapToGrid w:val="0"/>
                <w:color w:val="auto"/>
                <w:spacing w:val="0"/>
                <w:sz w:val="26"/>
                <w:szCs w:val="26"/>
                <w:rtl/>
                <w:lang w:eastAsia="en-US"/>
              </w:rPr>
              <w:t>מוסד להשכלה גבוהה רשאי לקבל תלמיד ללימודים אף אם אינו מחזיק בתעודת בגרות ישראלית או תעודה שוות ערך ובתנאי שהמועמד ללימודים מעל גיל 30 ובתנאי שהמוסד יקבע לאותו תלמיד לימודי הכנה לקראת הלימודים במוסד, בהיקף שיקבע המוסד.</w:t>
            </w:r>
          </w:p>
        </w:tc>
      </w:tr>
      <w:tr w:rsidR="004D2CF7" w:rsidRPr="004D2CF7" w14:paraId="5D8FFD65" w14:textId="77777777" w:rsidTr="005E3E8F">
        <w:trPr>
          <w:cantSplit/>
        </w:trPr>
        <w:tc>
          <w:tcPr>
            <w:tcW w:w="1871" w:type="dxa"/>
          </w:tcPr>
          <w:p w14:paraId="5601DC12"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14:paraId="206489B0"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4C02F509"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287F3AC7"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33FEBC56"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4E8BF320"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4647" w:type="dxa"/>
            <w:gridSpan w:val="2"/>
          </w:tcPr>
          <w:p w14:paraId="69FB0231"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4D2CF7">
              <w:rPr>
                <w:rFonts w:ascii="Arial" w:eastAsia="Arial Unicode MS" w:hAnsi="Arial" w:cs="David" w:hint="cs"/>
                <w:snapToGrid w:val="0"/>
                <w:color w:val="auto"/>
                <w:spacing w:val="0"/>
                <w:sz w:val="20"/>
                <w:szCs w:val="26"/>
                <w:rtl/>
                <w:lang w:eastAsia="en-US"/>
              </w:rPr>
              <w:t>(ד)</w:t>
            </w:r>
            <w:r w:rsidRPr="004D2CF7">
              <w:rPr>
                <w:rFonts w:ascii="Arial" w:eastAsia="Arial Unicode MS" w:hAnsi="Arial" w:cs="David"/>
                <w:snapToGrid w:val="0"/>
                <w:color w:val="auto"/>
                <w:spacing w:val="0"/>
                <w:sz w:val="20"/>
                <w:szCs w:val="26"/>
                <w:rtl/>
                <w:lang w:eastAsia="en-US"/>
              </w:rPr>
              <w:tab/>
            </w:r>
            <w:r w:rsidRPr="004D2CF7">
              <w:rPr>
                <w:rFonts w:ascii="Calibri" w:eastAsia="Arial Unicode MS" w:hAnsi="Calibri" w:cs="David" w:hint="cs"/>
                <w:noProof/>
                <w:snapToGrid w:val="0"/>
                <w:color w:val="auto"/>
                <w:spacing w:val="0"/>
                <w:sz w:val="26"/>
                <w:szCs w:val="26"/>
                <w:rtl/>
                <w:lang w:eastAsia="en-US"/>
              </w:rPr>
              <w:t>מוסד להשכלה גבוהה רשאי להכריז על תכניות לימודים לקראת תואר בוגר כ"תכניות מנגישות" ויתן על כך הודעה בכתב למועצה; מוסד יהיה רשאי לקבל תלמידים ללימודים בתכניות מנגישות גם על בסיס לימודים לא אקדמיים והכל לפי התנאים הבאים:</w:t>
            </w:r>
          </w:p>
        </w:tc>
      </w:tr>
      <w:tr w:rsidR="004D2CF7" w:rsidRPr="004D2CF7" w14:paraId="58FF90BC" w14:textId="77777777" w:rsidTr="005E3E8F">
        <w:trPr>
          <w:cantSplit/>
        </w:trPr>
        <w:tc>
          <w:tcPr>
            <w:tcW w:w="1871" w:type="dxa"/>
          </w:tcPr>
          <w:p w14:paraId="77F90599"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14:paraId="2758ACBA"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0FE73603"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340FCDC8"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5D565070"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5358D046"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113AE360"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4023" w:type="dxa"/>
          </w:tcPr>
          <w:p w14:paraId="1B319A77"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4D2CF7">
              <w:rPr>
                <w:rFonts w:ascii="Arial" w:eastAsia="Arial Unicode MS" w:hAnsi="Arial" w:cs="David" w:hint="cs"/>
                <w:snapToGrid w:val="0"/>
                <w:color w:val="auto"/>
                <w:spacing w:val="0"/>
                <w:sz w:val="20"/>
                <w:szCs w:val="26"/>
                <w:rtl/>
                <w:lang w:eastAsia="en-US"/>
              </w:rPr>
              <w:t>(1)</w:t>
            </w:r>
            <w:r w:rsidRPr="004D2CF7">
              <w:rPr>
                <w:rFonts w:ascii="Arial" w:eastAsia="Arial Unicode MS" w:hAnsi="Arial" w:cs="David"/>
                <w:snapToGrid w:val="0"/>
                <w:color w:val="auto"/>
                <w:spacing w:val="0"/>
                <w:sz w:val="20"/>
                <w:szCs w:val="26"/>
                <w:rtl/>
                <w:lang w:eastAsia="en-US"/>
              </w:rPr>
              <w:tab/>
            </w:r>
            <w:r w:rsidRPr="004D2CF7">
              <w:rPr>
                <w:rFonts w:ascii="Calibri" w:eastAsia="Arial Unicode MS" w:hAnsi="Calibri" w:cs="David" w:hint="cs"/>
                <w:noProof/>
                <w:snapToGrid w:val="0"/>
                <w:color w:val="auto"/>
                <w:spacing w:val="0"/>
                <w:sz w:val="26"/>
                <w:szCs w:val="26"/>
                <w:rtl/>
                <w:lang w:eastAsia="en-US"/>
              </w:rPr>
              <w:t>המוסד יערוך לתלמידים שיתקבלו ללימודים ללא תעודת בגרות מבחן לבחינת רמת ידיעותיהם</w:t>
            </w:r>
            <w:r w:rsidRPr="004D2CF7">
              <w:rPr>
                <w:rFonts w:ascii="Arial" w:eastAsia="Arial Unicode MS" w:hAnsi="Arial" w:cs="David" w:hint="cs"/>
                <w:snapToGrid w:val="0"/>
                <w:color w:val="auto"/>
                <w:spacing w:val="0"/>
                <w:sz w:val="20"/>
                <w:szCs w:val="26"/>
                <w:rtl/>
                <w:lang w:eastAsia="en-US"/>
              </w:rPr>
              <w:t>;</w:t>
            </w:r>
          </w:p>
        </w:tc>
      </w:tr>
      <w:tr w:rsidR="004D2CF7" w:rsidRPr="004D2CF7" w14:paraId="1CAC8AD4" w14:textId="77777777" w:rsidTr="005E3E8F">
        <w:trPr>
          <w:cantSplit/>
        </w:trPr>
        <w:tc>
          <w:tcPr>
            <w:tcW w:w="1871" w:type="dxa"/>
          </w:tcPr>
          <w:p w14:paraId="5F605D67"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14:paraId="0EEC21D8"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13DB24C0"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591DA5F3"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61745110"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4656C155"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0943B0A6"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4023" w:type="dxa"/>
          </w:tcPr>
          <w:p w14:paraId="04DC90D2"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4D2CF7">
              <w:rPr>
                <w:rFonts w:ascii="Arial" w:eastAsia="Arial Unicode MS" w:hAnsi="Arial" w:cs="David" w:hint="cs"/>
                <w:snapToGrid w:val="0"/>
                <w:color w:val="auto"/>
                <w:spacing w:val="0"/>
                <w:sz w:val="20"/>
                <w:szCs w:val="26"/>
                <w:rtl/>
                <w:lang w:eastAsia="en-US"/>
              </w:rPr>
              <w:t>(2)</w:t>
            </w:r>
            <w:r w:rsidRPr="004D2CF7">
              <w:rPr>
                <w:rFonts w:ascii="Arial" w:eastAsia="Arial Unicode MS" w:hAnsi="Arial" w:cs="David"/>
                <w:snapToGrid w:val="0"/>
                <w:color w:val="auto"/>
                <w:spacing w:val="0"/>
                <w:sz w:val="20"/>
                <w:szCs w:val="26"/>
                <w:rtl/>
                <w:lang w:eastAsia="en-US"/>
              </w:rPr>
              <w:tab/>
            </w:r>
            <w:r w:rsidRPr="004D2CF7">
              <w:rPr>
                <w:rFonts w:ascii="Calibri" w:eastAsia="Arial Unicode MS" w:hAnsi="Calibri" w:cs="David" w:hint="cs"/>
                <w:noProof/>
                <w:snapToGrid w:val="0"/>
                <w:color w:val="auto"/>
                <w:spacing w:val="0"/>
                <w:sz w:val="26"/>
                <w:szCs w:val="26"/>
                <w:rtl/>
                <w:lang w:eastAsia="en-US"/>
              </w:rPr>
              <w:t>בהתאם לתוצאות המבחן, יקבע המוסד תכנית לימודים משלימה שתיערך על ידי המוסד בין לפני תחילת הלימודים ובין במהלכה.</w:t>
            </w:r>
          </w:p>
        </w:tc>
      </w:tr>
      <w:tr w:rsidR="004D2CF7" w:rsidRPr="004D2CF7" w14:paraId="6CF38F9F" w14:textId="77777777" w:rsidTr="005E3E8F">
        <w:trPr>
          <w:cantSplit/>
        </w:trPr>
        <w:tc>
          <w:tcPr>
            <w:tcW w:w="1871" w:type="dxa"/>
          </w:tcPr>
          <w:p w14:paraId="2256A5E2"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14:paraId="712691C9"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6FB3BF2F"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5DBA4EF4"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4F73E199"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2BA28732"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4647" w:type="dxa"/>
            <w:gridSpan w:val="2"/>
          </w:tcPr>
          <w:p w14:paraId="15295020"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4D2CF7">
              <w:rPr>
                <w:rFonts w:ascii="Arial" w:eastAsia="Arial Unicode MS" w:hAnsi="Arial" w:cs="David" w:hint="cs"/>
                <w:snapToGrid w:val="0"/>
                <w:color w:val="auto"/>
                <w:spacing w:val="0"/>
                <w:sz w:val="20"/>
                <w:szCs w:val="26"/>
                <w:rtl/>
                <w:lang w:eastAsia="en-US"/>
              </w:rPr>
              <w:t>(ה)</w:t>
            </w:r>
            <w:r w:rsidRPr="004D2CF7">
              <w:rPr>
                <w:rFonts w:ascii="Arial" w:eastAsia="Arial Unicode MS" w:hAnsi="Arial" w:cs="David"/>
                <w:snapToGrid w:val="0"/>
                <w:color w:val="auto"/>
                <w:spacing w:val="0"/>
                <w:sz w:val="20"/>
                <w:szCs w:val="26"/>
                <w:rtl/>
                <w:lang w:eastAsia="en-US"/>
              </w:rPr>
              <w:tab/>
            </w:r>
            <w:r w:rsidRPr="004D2CF7">
              <w:rPr>
                <w:rFonts w:ascii="Calibri" w:eastAsia="Arial Unicode MS" w:hAnsi="Calibri" w:cs="David" w:hint="cs"/>
                <w:noProof/>
                <w:snapToGrid w:val="0"/>
                <w:color w:val="auto"/>
                <w:spacing w:val="0"/>
                <w:sz w:val="26"/>
                <w:szCs w:val="26"/>
                <w:rtl/>
                <w:lang w:eastAsia="en-US"/>
              </w:rPr>
              <w:t>המועצה רשאי לקבוע תנאי קבלה מקלים בנוסף על התנאים האמורים בסעיף זה.</w:t>
            </w:r>
          </w:p>
        </w:tc>
      </w:tr>
      <w:tr w:rsidR="004D2CF7" w:rsidRPr="004D2CF7" w14:paraId="18DD4505" w14:textId="77777777" w:rsidTr="005E3E8F">
        <w:trPr>
          <w:cantSplit/>
        </w:trPr>
        <w:tc>
          <w:tcPr>
            <w:tcW w:w="1871" w:type="dxa"/>
          </w:tcPr>
          <w:p w14:paraId="56D9C936"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14:paraId="7C08FF98"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00426867"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0EABE667"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73B2AC9F"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2895489B"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4647" w:type="dxa"/>
            <w:gridSpan w:val="2"/>
          </w:tcPr>
          <w:p w14:paraId="020F1D22"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4D2CF7">
              <w:rPr>
                <w:rFonts w:ascii="Arial" w:eastAsia="Arial Unicode MS" w:hAnsi="Arial" w:cs="David" w:hint="cs"/>
                <w:snapToGrid w:val="0"/>
                <w:color w:val="auto"/>
                <w:spacing w:val="0"/>
                <w:sz w:val="20"/>
                <w:szCs w:val="26"/>
                <w:rtl/>
                <w:lang w:eastAsia="en-US"/>
              </w:rPr>
              <w:t>(ו)</w:t>
            </w:r>
            <w:r w:rsidRPr="004D2CF7">
              <w:rPr>
                <w:rFonts w:ascii="Arial" w:eastAsia="Arial Unicode MS" w:hAnsi="Arial" w:cs="David"/>
                <w:snapToGrid w:val="0"/>
                <w:color w:val="auto"/>
                <w:spacing w:val="0"/>
                <w:sz w:val="20"/>
                <w:szCs w:val="26"/>
                <w:rtl/>
                <w:lang w:eastAsia="en-US"/>
              </w:rPr>
              <w:tab/>
            </w:r>
            <w:r w:rsidRPr="004D2CF7">
              <w:rPr>
                <w:rFonts w:ascii="Calibri" w:eastAsia="Arial Unicode MS" w:hAnsi="Calibri" w:cs="David" w:hint="cs"/>
                <w:noProof/>
                <w:snapToGrid w:val="0"/>
                <w:color w:val="auto"/>
                <w:spacing w:val="0"/>
                <w:sz w:val="26"/>
                <w:szCs w:val="26"/>
                <w:rtl/>
                <w:lang w:eastAsia="en-US"/>
              </w:rPr>
              <w:t xml:space="preserve">מוסד להשכלה גבוהה רשאי לפרוס את ימי הלימודים על פני שבוע הלימודים ושנת הלימודים כפי שיקבע, ובלבד שלימודים לקראת תואר ראשון ייפרסו על פני שני ימי לימוד בשבוע לכל הפחות. </w:t>
            </w:r>
          </w:p>
        </w:tc>
      </w:tr>
      <w:tr w:rsidR="004D2CF7" w:rsidRPr="004D2CF7" w14:paraId="483B48CF" w14:textId="77777777" w:rsidTr="005E3E8F">
        <w:trPr>
          <w:cantSplit/>
        </w:trPr>
        <w:tc>
          <w:tcPr>
            <w:tcW w:w="1871" w:type="dxa"/>
          </w:tcPr>
          <w:p w14:paraId="7BAD95F9"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14:paraId="4D5F7B66"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630DE154"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268A3539"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1F28A027"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7494C6D7"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4647" w:type="dxa"/>
            <w:gridSpan w:val="2"/>
          </w:tcPr>
          <w:p w14:paraId="0A9D1BAC"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4D2CF7">
              <w:rPr>
                <w:rFonts w:ascii="Arial" w:eastAsia="Arial Unicode MS" w:hAnsi="Arial" w:cs="David" w:hint="cs"/>
                <w:snapToGrid w:val="0"/>
                <w:color w:val="auto"/>
                <w:spacing w:val="0"/>
                <w:sz w:val="20"/>
                <w:szCs w:val="26"/>
                <w:rtl/>
                <w:lang w:eastAsia="en-US"/>
              </w:rPr>
              <w:t>(ז)</w:t>
            </w:r>
            <w:r w:rsidRPr="004D2CF7">
              <w:rPr>
                <w:rFonts w:ascii="Arial" w:eastAsia="Arial Unicode MS" w:hAnsi="Arial" w:cs="David"/>
                <w:snapToGrid w:val="0"/>
                <w:color w:val="auto"/>
                <w:spacing w:val="0"/>
                <w:sz w:val="20"/>
                <w:szCs w:val="26"/>
                <w:rtl/>
                <w:lang w:eastAsia="en-US"/>
              </w:rPr>
              <w:tab/>
            </w:r>
            <w:r w:rsidRPr="004D2CF7">
              <w:rPr>
                <w:rFonts w:ascii="Calibri" w:eastAsia="Arial Unicode MS" w:hAnsi="Calibri" w:cs="David" w:hint="cs"/>
                <w:noProof/>
                <w:snapToGrid w:val="0"/>
                <w:color w:val="auto"/>
                <w:spacing w:val="0"/>
                <w:sz w:val="26"/>
                <w:szCs w:val="26"/>
                <w:rtl/>
                <w:lang w:eastAsia="en-US"/>
              </w:rPr>
              <w:t>מוסד להשכלה גבוהה רשאי לקיים לימודים באופן מקוון.</w:t>
            </w:r>
          </w:p>
        </w:tc>
      </w:tr>
      <w:tr w:rsidR="004D2CF7" w:rsidRPr="004D2CF7" w14:paraId="57AF6B8A" w14:textId="77777777" w:rsidTr="005E3E8F">
        <w:trPr>
          <w:cantSplit/>
        </w:trPr>
        <w:tc>
          <w:tcPr>
            <w:tcW w:w="1871" w:type="dxa"/>
          </w:tcPr>
          <w:p w14:paraId="2565174D"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14:paraId="323BA03E"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347F3800"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0F942ACD"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423AA2EF"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5E8987F5"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4647" w:type="dxa"/>
            <w:gridSpan w:val="2"/>
          </w:tcPr>
          <w:p w14:paraId="5D31B9BD"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4D2CF7">
              <w:rPr>
                <w:rFonts w:ascii="Arial" w:eastAsia="Arial Unicode MS" w:hAnsi="Arial" w:cs="David" w:hint="cs"/>
                <w:snapToGrid w:val="0"/>
                <w:color w:val="auto"/>
                <w:spacing w:val="0"/>
                <w:sz w:val="20"/>
                <w:szCs w:val="26"/>
                <w:rtl/>
                <w:lang w:eastAsia="en-US"/>
              </w:rPr>
              <w:t>(ח)</w:t>
            </w:r>
            <w:r w:rsidRPr="004D2CF7">
              <w:rPr>
                <w:rFonts w:ascii="Arial" w:eastAsia="Arial Unicode MS" w:hAnsi="Arial" w:cs="David"/>
                <w:snapToGrid w:val="0"/>
                <w:color w:val="auto"/>
                <w:spacing w:val="0"/>
                <w:sz w:val="20"/>
                <w:szCs w:val="26"/>
                <w:rtl/>
                <w:lang w:eastAsia="en-US"/>
              </w:rPr>
              <w:tab/>
            </w:r>
            <w:r w:rsidRPr="004D2CF7">
              <w:rPr>
                <w:rFonts w:ascii="Calibri" w:eastAsia="Arial Unicode MS" w:hAnsi="Calibri" w:cs="David" w:hint="cs"/>
                <w:noProof/>
                <w:snapToGrid w:val="0"/>
                <w:color w:val="auto"/>
                <w:spacing w:val="0"/>
                <w:sz w:val="26"/>
                <w:szCs w:val="26"/>
                <w:rtl/>
                <w:lang w:eastAsia="en-US"/>
              </w:rPr>
              <w:t xml:space="preserve">מוסד להשכלה גבוהה רשאי לקבל תלמידים ללימודים בו לקראת תואר ראשון על יסוד תעודת הנדסאי כמשמעותה בחוק ההנדסאים והטכנאים </w:t>
            </w:r>
            <w:r w:rsidRPr="004D2CF7">
              <w:rPr>
                <w:rFonts w:ascii="Calibri" w:eastAsia="Arial Unicode MS" w:hAnsi="Calibri" w:cs="David" w:hint="cs"/>
                <w:noProof/>
                <w:snapToGrid w:val="0"/>
                <w:color w:val="auto"/>
                <w:spacing w:val="-10"/>
                <w:sz w:val="26"/>
                <w:szCs w:val="26"/>
                <w:rtl/>
                <w:lang w:eastAsia="en-US"/>
              </w:rPr>
              <w:t>המוסמכים, התשע"ג–2012</w:t>
            </w:r>
            <w:r w:rsidRPr="004D2CF7">
              <w:rPr>
                <w:rFonts w:ascii="David" w:eastAsia="Arial Unicode MS" w:hAnsi="David" w:cs="David"/>
                <w:snapToGrid w:val="0"/>
                <w:color w:val="auto"/>
                <w:spacing w:val="-10"/>
                <w:sz w:val="26"/>
                <w:szCs w:val="26"/>
                <w:vertAlign w:val="superscript"/>
                <w:rtl/>
                <w:lang w:eastAsia="en-US"/>
              </w:rPr>
              <w:footnoteReference w:id="3"/>
            </w:r>
            <w:r w:rsidRPr="004D2CF7">
              <w:rPr>
                <w:rFonts w:ascii="Calibri" w:eastAsia="Arial Unicode MS" w:hAnsi="Calibri" w:cs="David" w:hint="cs"/>
                <w:noProof/>
                <w:snapToGrid w:val="0"/>
                <w:color w:val="auto"/>
                <w:spacing w:val="-10"/>
                <w:sz w:val="26"/>
                <w:szCs w:val="26"/>
                <w:rtl/>
                <w:lang w:eastAsia="en-US"/>
              </w:rPr>
              <w:t>, ובתנאי</w:t>
            </w:r>
            <w:r w:rsidRPr="004D2CF7">
              <w:rPr>
                <w:rFonts w:ascii="Calibri" w:eastAsia="Arial Unicode MS" w:hAnsi="Calibri" w:cs="David" w:hint="cs"/>
                <w:noProof/>
                <w:snapToGrid w:val="0"/>
                <w:color w:val="auto"/>
                <w:spacing w:val="0"/>
                <w:sz w:val="26"/>
                <w:szCs w:val="26"/>
                <w:rtl/>
                <w:lang w:eastAsia="en-US"/>
              </w:rPr>
              <w:t xml:space="preserve"> שהיקף ההכרה בלימודים כאמור לא יעלה על שתי שנות לימוד אקדמיות או 80 נקודות זכות אקדמיות.</w:t>
            </w:r>
          </w:p>
        </w:tc>
      </w:tr>
      <w:tr w:rsidR="004D2CF7" w:rsidRPr="004D2CF7" w14:paraId="7C21A1BD" w14:textId="77777777" w:rsidTr="005E3E8F">
        <w:trPr>
          <w:cantSplit/>
        </w:trPr>
        <w:tc>
          <w:tcPr>
            <w:tcW w:w="1871" w:type="dxa"/>
          </w:tcPr>
          <w:p w14:paraId="7FBD6BD7"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14:paraId="20DF07BA"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27381E59"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2EF10384"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6F20A7DB"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52D472A5"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4647" w:type="dxa"/>
            <w:gridSpan w:val="2"/>
          </w:tcPr>
          <w:p w14:paraId="3B3F07F9" w14:textId="77777777" w:rsidR="004D2CF7" w:rsidRPr="004D2CF7" w:rsidRDefault="004D2CF7" w:rsidP="004D2CF7">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4D2CF7">
              <w:rPr>
                <w:rFonts w:ascii="Arial" w:eastAsia="Arial Unicode MS" w:hAnsi="Arial" w:cs="David" w:hint="cs"/>
                <w:snapToGrid w:val="0"/>
                <w:color w:val="auto"/>
                <w:spacing w:val="0"/>
                <w:sz w:val="20"/>
                <w:szCs w:val="26"/>
                <w:rtl/>
                <w:lang w:eastAsia="en-US"/>
              </w:rPr>
              <w:t>(ט)</w:t>
            </w:r>
            <w:r w:rsidRPr="004D2CF7">
              <w:rPr>
                <w:rFonts w:ascii="Arial" w:eastAsia="Arial Unicode MS" w:hAnsi="Arial" w:cs="David"/>
                <w:snapToGrid w:val="0"/>
                <w:color w:val="auto"/>
                <w:spacing w:val="0"/>
                <w:sz w:val="20"/>
                <w:szCs w:val="26"/>
                <w:rtl/>
                <w:lang w:eastAsia="en-US"/>
              </w:rPr>
              <w:tab/>
            </w:r>
            <w:r w:rsidRPr="004D2CF7">
              <w:rPr>
                <w:rFonts w:ascii="Arial" w:eastAsia="Arial Unicode MS" w:hAnsi="Arial" w:cs="David"/>
                <w:snapToGrid w:val="0"/>
                <w:color w:val="auto"/>
                <w:spacing w:val="0"/>
                <w:sz w:val="26"/>
                <w:szCs w:val="26"/>
                <w:rtl/>
                <w:lang w:eastAsia="en-US"/>
              </w:rPr>
              <w:t>לעניין סעיף זה, "מוסד להשכלה גבוהה" – מוסד מוכר כאמור בסעיף 9 או מוסד שניתנה לו תעודת היתר כאמור בסעיף 21א."</w:t>
            </w:r>
          </w:p>
        </w:tc>
      </w:tr>
    </w:tbl>
    <w:p w14:paraId="3146B809" w14:textId="77777777" w:rsidR="004D2CF7" w:rsidRPr="004D2CF7" w:rsidRDefault="004D2CF7" w:rsidP="00F615EF">
      <w:pPr>
        <w:pStyle w:val="HeadDivreiHesber"/>
        <w:rPr>
          <w:rtl/>
          <w:lang w:eastAsia="en-US"/>
        </w:rPr>
      </w:pPr>
      <w:r w:rsidRPr="00F615EF">
        <w:rPr>
          <w:rFonts w:hint="cs"/>
          <w:rtl/>
        </w:rPr>
        <w:t>דברי</w:t>
      </w:r>
      <w:r w:rsidRPr="004D2CF7">
        <w:rPr>
          <w:rFonts w:hint="cs"/>
          <w:rtl/>
          <w:lang w:eastAsia="en-US"/>
        </w:rPr>
        <w:t xml:space="preserve"> הסבר</w:t>
      </w:r>
    </w:p>
    <w:p w14:paraId="010F0C29" w14:textId="77777777" w:rsidR="004D2CF7" w:rsidRPr="004D2CF7" w:rsidRDefault="004D2CF7" w:rsidP="00F615EF">
      <w:pPr>
        <w:autoSpaceDE/>
        <w:autoSpaceDN/>
        <w:adjustRightInd/>
        <w:snapToGrid w:val="0"/>
        <w:spacing w:before="0" w:line="276" w:lineRule="auto"/>
        <w:contextualSpacing/>
        <w:textAlignment w:val="auto"/>
        <w:rPr>
          <w:rFonts w:ascii="Arial" w:eastAsia="Arial Unicode MS" w:hAnsi="Arial" w:cs="David"/>
          <w:snapToGrid w:val="0"/>
          <w:color w:val="auto"/>
          <w:spacing w:val="0"/>
          <w:sz w:val="20"/>
          <w:szCs w:val="26"/>
          <w:rtl/>
          <w:lang w:eastAsia="en-US"/>
        </w:rPr>
      </w:pPr>
      <w:bookmarkStart w:id="8" w:name="_GoBack"/>
      <w:r w:rsidRPr="004D2CF7">
        <w:rPr>
          <w:rFonts w:ascii="Arial" w:eastAsia="Arial Unicode MS" w:hAnsi="Arial" w:cs="David" w:hint="cs"/>
          <w:snapToGrid w:val="0"/>
          <w:color w:val="auto"/>
          <w:spacing w:val="0"/>
          <w:sz w:val="20"/>
          <w:szCs w:val="26"/>
          <w:rtl/>
          <w:lang w:eastAsia="en-US"/>
        </w:rPr>
        <w:t xml:space="preserve">במהלך שנות התשעים בוצעה המהפכה הראשונה בתחום הנגשת ההשכלה הגבוהה בישראל, אשר באה לידי ביטוי בהקמת מכללות אקדמיות לצד האוניברסיטאות. המשמעות של מהפכה זו היא שכיום משתתפים בהשכלה הגבוהה כ-50% מבוגרי מחזורי הלימודים, בעוד שבראשית שנות התשעים השתתפו בהשכלה הגבוהה רק כ-19% מביניהם. </w:t>
      </w:r>
    </w:p>
    <w:p w14:paraId="39524109" w14:textId="77777777" w:rsidR="004D2CF7" w:rsidRPr="004D2CF7" w:rsidRDefault="004D2CF7" w:rsidP="00F615EF">
      <w:pPr>
        <w:autoSpaceDE/>
        <w:autoSpaceDN/>
        <w:adjustRightInd/>
        <w:snapToGrid w:val="0"/>
        <w:spacing w:before="0" w:line="276" w:lineRule="auto"/>
        <w:contextualSpacing/>
        <w:textAlignment w:val="auto"/>
        <w:rPr>
          <w:rFonts w:ascii="Arial" w:eastAsia="Arial Unicode MS" w:hAnsi="Arial" w:cs="David"/>
          <w:snapToGrid w:val="0"/>
          <w:color w:val="auto"/>
          <w:spacing w:val="0"/>
          <w:sz w:val="20"/>
          <w:szCs w:val="26"/>
          <w:rtl/>
          <w:lang w:eastAsia="en-US"/>
        </w:rPr>
      </w:pPr>
      <w:r w:rsidRPr="004D2CF7">
        <w:rPr>
          <w:rFonts w:ascii="Arial" w:eastAsia="Arial Unicode MS" w:hAnsi="Arial" w:cs="David" w:hint="cs"/>
          <w:snapToGrid w:val="0"/>
          <w:color w:val="auto"/>
          <w:spacing w:val="0"/>
          <w:sz w:val="20"/>
          <w:szCs w:val="26"/>
          <w:rtl/>
          <w:lang w:eastAsia="en-US"/>
        </w:rPr>
        <w:t xml:space="preserve">בעשור האחרון הגיעו המדינות המפותחות למסקנה שקיימת חשיבות רבה בהרחבת ההנגשה של ההשכלה הגבוהה באופן משמעותי, כך שהיעד הנוכחי הוא לשתף כ-75% מבוגרי מחזורי הלימוד במערכת ההשכלה הגבוהה. מסקנה זו נובעת מן ההבנה שהמשאב המשמעותי ביותר, התורם להגדלת הרווחה החברתית והכלכלית, להגברת הפיריון התעסוקתי, לקידום המוביליות החברתית ולצמצום אי </w:t>
      </w:r>
      <w:r w:rsidRPr="004D2CF7">
        <w:rPr>
          <w:rFonts w:ascii="Arial" w:eastAsia="Arial Unicode MS" w:hAnsi="Arial" w:cs="David" w:hint="cs"/>
          <w:snapToGrid w:val="0"/>
          <w:color w:val="auto"/>
          <w:spacing w:val="0"/>
          <w:sz w:val="20"/>
          <w:szCs w:val="26"/>
          <w:rtl/>
          <w:lang w:eastAsia="en-US"/>
        </w:rPr>
        <w:lastRenderedPageBreak/>
        <w:t xml:space="preserve">השוויון בחברה, הוא רכישת השכלה גבוהה, ולפיכך יש להרחיב את בסיס פירמידת ההשכלה של החברה הישראלית.  </w:t>
      </w:r>
    </w:p>
    <w:p w14:paraId="2395BC55" w14:textId="77777777" w:rsidR="004D2CF7" w:rsidRPr="004D2CF7" w:rsidRDefault="004D2CF7" w:rsidP="00F615EF">
      <w:pPr>
        <w:autoSpaceDE/>
        <w:autoSpaceDN/>
        <w:adjustRightInd/>
        <w:snapToGrid w:val="0"/>
        <w:spacing w:before="0" w:line="276" w:lineRule="auto"/>
        <w:contextualSpacing/>
        <w:textAlignment w:val="auto"/>
        <w:rPr>
          <w:rFonts w:ascii="Arial" w:eastAsia="Arial Unicode MS" w:hAnsi="Arial" w:cs="David"/>
          <w:snapToGrid w:val="0"/>
          <w:color w:val="auto"/>
          <w:spacing w:val="0"/>
          <w:sz w:val="20"/>
          <w:szCs w:val="26"/>
          <w:rtl/>
          <w:lang w:eastAsia="en-US"/>
        </w:rPr>
      </w:pPr>
      <w:r w:rsidRPr="004D2CF7">
        <w:rPr>
          <w:rFonts w:ascii="Arial" w:eastAsia="Arial Unicode MS" w:hAnsi="Arial" w:cs="David" w:hint="cs"/>
          <w:snapToGrid w:val="0"/>
          <w:color w:val="auto"/>
          <w:spacing w:val="0"/>
          <w:sz w:val="20"/>
          <w:szCs w:val="26"/>
          <w:rtl/>
          <w:lang w:eastAsia="en-US"/>
        </w:rPr>
        <w:t>דברים אלו מצאו ביטוי בדוחות של ועדות ציבוריות ושל גורמים בינלאומיים ובכלל זאת בפרק על השכלה גבוהה, בדוח ישראל 2028 משנת 2008, פרק שגובש על ידי פרופ' זאב תדמור, מי ששימש בעבר כנשיא הטכניון, וכן בדוח ה</w:t>
      </w:r>
      <w:r w:rsidRPr="004D2CF7">
        <w:rPr>
          <w:rFonts w:ascii="Arial" w:eastAsia="Arial Unicode MS" w:hAnsi="Arial" w:cs="David"/>
          <w:snapToGrid w:val="0"/>
          <w:color w:val="auto"/>
          <w:spacing w:val="0"/>
          <w:sz w:val="20"/>
          <w:szCs w:val="26"/>
          <w:lang w:eastAsia="en-US"/>
        </w:rPr>
        <w:t>OECD</w:t>
      </w:r>
      <w:r w:rsidRPr="004D2CF7">
        <w:rPr>
          <w:rFonts w:ascii="Arial" w:eastAsia="Arial Unicode MS" w:hAnsi="Arial" w:cs="David" w:hint="cs"/>
          <w:snapToGrid w:val="0"/>
          <w:color w:val="auto"/>
          <w:spacing w:val="0"/>
          <w:sz w:val="20"/>
          <w:szCs w:val="26"/>
          <w:rtl/>
          <w:lang w:eastAsia="en-US"/>
        </w:rPr>
        <w:t xml:space="preserve"> משנת 2010 שהתייחס באופן ספציפי למצב בישראל בעניין זה. </w:t>
      </w:r>
    </w:p>
    <w:p w14:paraId="4266C173" w14:textId="77777777" w:rsidR="004D2CF7" w:rsidRPr="004D2CF7" w:rsidRDefault="004D2CF7" w:rsidP="00F615EF">
      <w:pPr>
        <w:autoSpaceDE/>
        <w:autoSpaceDN/>
        <w:adjustRightInd/>
        <w:snapToGrid w:val="0"/>
        <w:spacing w:before="0" w:line="276" w:lineRule="auto"/>
        <w:contextualSpacing/>
        <w:textAlignment w:val="auto"/>
        <w:rPr>
          <w:rFonts w:ascii="Arial" w:eastAsia="Arial Unicode MS" w:hAnsi="Arial" w:cs="David"/>
          <w:snapToGrid w:val="0"/>
          <w:color w:val="auto"/>
          <w:spacing w:val="0"/>
          <w:sz w:val="20"/>
          <w:szCs w:val="26"/>
          <w:rtl/>
          <w:lang w:eastAsia="en-US"/>
        </w:rPr>
      </w:pPr>
      <w:r w:rsidRPr="004D2CF7">
        <w:rPr>
          <w:rFonts w:ascii="Arial" w:eastAsia="Arial Unicode MS" w:hAnsi="Arial" w:cs="David" w:hint="cs"/>
          <w:snapToGrid w:val="0"/>
          <w:color w:val="auto"/>
          <w:spacing w:val="0"/>
          <w:sz w:val="20"/>
          <w:szCs w:val="26"/>
          <w:rtl/>
          <w:lang w:eastAsia="en-US"/>
        </w:rPr>
        <w:t>כך למשל בפרק על השכלה גבוהה ומחקר מדעי, בדוח ישראל 2028, נקבע כי:</w:t>
      </w:r>
    </w:p>
    <w:p w14:paraId="7B1837EF" w14:textId="77777777" w:rsidR="004D2CF7" w:rsidRPr="004D2CF7" w:rsidRDefault="004D2CF7" w:rsidP="00F615EF">
      <w:pPr>
        <w:autoSpaceDE/>
        <w:autoSpaceDN/>
        <w:adjustRightInd/>
        <w:snapToGrid w:val="0"/>
        <w:spacing w:before="0" w:line="276" w:lineRule="auto"/>
        <w:contextualSpacing/>
        <w:textAlignment w:val="auto"/>
        <w:rPr>
          <w:rFonts w:ascii="Arial" w:eastAsia="Arial Unicode MS" w:hAnsi="Arial" w:cs="David"/>
          <w:snapToGrid w:val="0"/>
          <w:color w:val="auto"/>
          <w:spacing w:val="0"/>
          <w:sz w:val="20"/>
          <w:szCs w:val="26"/>
          <w:rtl/>
          <w:lang w:eastAsia="en-US"/>
        </w:rPr>
      </w:pPr>
      <w:r w:rsidRPr="004D2CF7">
        <w:rPr>
          <w:rFonts w:ascii="Arial" w:eastAsia="Arial Unicode MS" w:hAnsi="Arial" w:cs="David" w:hint="cs"/>
          <w:snapToGrid w:val="0"/>
          <w:color w:val="auto"/>
          <w:spacing w:val="0"/>
          <w:sz w:val="20"/>
          <w:szCs w:val="26"/>
          <w:rtl/>
          <w:lang w:eastAsia="en-US"/>
        </w:rPr>
        <w:t xml:space="preserve">"על פי מפת הדרכים המוצעת, עד 2028 יותר מ-75% מקבוצת הגיל הרלבנטית תרכוש השכלה גבוהה במערכת הכוללת מגוון רחב של מוסדות אקדמיים... הפועלים זה בצד זה, מטפחים תחרות ושאיפה למצוינות ומשלימים זה את זה בתחומים מסוימים". </w:t>
      </w:r>
    </w:p>
    <w:p w14:paraId="6B26BFE3" w14:textId="77777777" w:rsidR="004D2CF7" w:rsidRPr="004D2CF7" w:rsidRDefault="004D2CF7" w:rsidP="00F615EF">
      <w:pPr>
        <w:autoSpaceDE/>
        <w:autoSpaceDN/>
        <w:adjustRightInd/>
        <w:snapToGrid w:val="0"/>
        <w:spacing w:before="0" w:line="276" w:lineRule="auto"/>
        <w:contextualSpacing/>
        <w:textAlignment w:val="auto"/>
        <w:rPr>
          <w:rFonts w:ascii="Arial" w:eastAsia="Arial Unicode MS" w:hAnsi="Arial" w:cs="David"/>
          <w:snapToGrid w:val="0"/>
          <w:color w:val="auto"/>
          <w:spacing w:val="0"/>
          <w:sz w:val="20"/>
          <w:szCs w:val="26"/>
          <w:rtl/>
          <w:lang w:eastAsia="en-US"/>
        </w:rPr>
      </w:pPr>
      <w:r w:rsidRPr="004D2CF7">
        <w:rPr>
          <w:rFonts w:ascii="Arial" w:eastAsia="Arial Unicode MS" w:hAnsi="Arial" w:cs="David" w:hint="cs"/>
          <w:snapToGrid w:val="0"/>
          <w:color w:val="auto"/>
          <w:spacing w:val="0"/>
          <w:sz w:val="20"/>
          <w:szCs w:val="26"/>
          <w:rtl/>
          <w:lang w:eastAsia="en-US"/>
        </w:rPr>
        <w:t xml:space="preserve">גם הוועד הציבורי לשוויון והנגשת ההשכלה הגבוהה (ועד שהוקם ביוזמת התאחדות הסטודנטים בישראל, בהשתתפות </w:t>
      </w:r>
      <w:r w:rsidRPr="004D2CF7">
        <w:rPr>
          <w:rFonts w:ascii="Arial" w:eastAsia="Arial Unicode MS" w:hAnsi="Arial" w:cs="David"/>
          <w:snapToGrid w:val="0"/>
          <w:color w:val="auto"/>
          <w:spacing w:val="0"/>
          <w:sz w:val="20"/>
          <w:szCs w:val="26"/>
          <w:rtl/>
          <w:lang w:eastAsia="en-US"/>
        </w:rPr>
        <w:t>–</w:t>
      </w:r>
      <w:r w:rsidRPr="004D2CF7">
        <w:rPr>
          <w:rFonts w:ascii="Arial" w:eastAsia="Arial Unicode MS" w:hAnsi="Arial" w:cs="David" w:hint="cs"/>
          <w:snapToGrid w:val="0"/>
          <w:color w:val="auto"/>
          <w:spacing w:val="0"/>
          <w:sz w:val="20"/>
          <w:szCs w:val="26"/>
          <w:rtl/>
          <w:lang w:eastAsia="en-US"/>
        </w:rPr>
        <w:t xml:space="preserve"> פרופ' אמנון רובינשטיין, פרופ' עמי וולנסקי, פרופ' עארף אבו-רביעה, פרופ' בן ציון מוניץ, פרופ' אלי וייץ, פרופ' סיד שטראוס, פרופ' תמר הורוביץ, פרופ' אביעד קליינברג, פרופ' דני בן דוד, ד"ר ניסן לימור, ד"ר עדי קול, השייח ריאן כאמל, הרב רפי פוירשטיין, איציק שמולי ובועז טופורובסקי), קבע בנייר עמדה (מס' 1) בנושא נגישות למערכת ההשכלה הגבוהה בישראל כי:</w:t>
      </w:r>
    </w:p>
    <w:p w14:paraId="489C4F3E" w14:textId="77777777" w:rsidR="004D2CF7" w:rsidRPr="004D2CF7" w:rsidRDefault="004D2CF7" w:rsidP="00F615EF">
      <w:pPr>
        <w:autoSpaceDE/>
        <w:autoSpaceDN/>
        <w:adjustRightInd/>
        <w:snapToGrid w:val="0"/>
        <w:spacing w:before="0" w:line="276" w:lineRule="auto"/>
        <w:contextualSpacing/>
        <w:textAlignment w:val="auto"/>
        <w:rPr>
          <w:rFonts w:ascii="Arial" w:eastAsia="Arial Unicode MS" w:hAnsi="Arial" w:cs="David"/>
          <w:snapToGrid w:val="0"/>
          <w:color w:val="auto"/>
          <w:spacing w:val="0"/>
          <w:sz w:val="20"/>
          <w:szCs w:val="26"/>
          <w:rtl/>
          <w:lang w:eastAsia="en-US"/>
        </w:rPr>
      </w:pPr>
      <w:r w:rsidRPr="004D2CF7">
        <w:rPr>
          <w:rFonts w:ascii="Arial" w:eastAsia="Arial Unicode MS" w:hAnsi="Arial" w:cs="David" w:hint="cs"/>
          <w:snapToGrid w:val="0"/>
          <w:color w:val="auto"/>
          <w:spacing w:val="0"/>
          <w:sz w:val="20"/>
          <w:szCs w:val="26"/>
          <w:rtl/>
          <w:lang w:eastAsia="en-US"/>
        </w:rPr>
        <w:t xml:space="preserve">"יש לפעול להרחבת ההנגשה להשכלה הגבוהה ולהגברת השוויון בעניין זה לכל מגזרי האוכלוסייה. המדיניות המקובלת בעולם המערבי היא לפעול להגדלת המשתתפים בהשכלה הגבוהה לרמה של 70-80 אחוזים מכל שנתון. הוועד הציבורי בדעה שיש לשאוף לכך גם בישראל כדי לשמר את יכולת התחרות של ישראל, להישאר בחזית פיתוח ההון האנושי בעולם ולקדם את השוויון החברתי והמוביליות בישראל".  </w:t>
      </w:r>
    </w:p>
    <w:p w14:paraId="2F98C708" w14:textId="77777777" w:rsidR="004D2CF7" w:rsidRPr="004D2CF7" w:rsidRDefault="004D2CF7" w:rsidP="00F615EF">
      <w:pPr>
        <w:autoSpaceDE/>
        <w:autoSpaceDN/>
        <w:adjustRightInd/>
        <w:snapToGrid w:val="0"/>
        <w:spacing w:before="0" w:line="276" w:lineRule="auto"/>
        <w:contextualSpacing/>
        <w:textAlignment w:val="auto"/>
        <w:rPr>
          <w:rFonts w:ascii="Arial" w:eastAsia="Arial Unicode MS" w:hAnsi="Arial" w:cs="David"/>
          <w:snapToGrid w:val="0"/>
          <w:color w:val="auto"/>
          <w:spacing w:val="0"/>
          <w:sz w:val="20"/>
          <w:szCs w:val="26"/>
          <w:rtl/>
          <w:lang w:eastAsia="en-US"/>
        </w:rPr>
      </w:pPr>
      <w:r w:rsidRPr="004D2CF7">
        <w:rPr>
          <w:rFonts w:ascii="Arial" w:eastAsia="Arial Unicode MS" w:hAnsi="Arial" w:cs="David" w:hint="cs"/>
          <w:snapToGrid w:val="0"/>
          <w:color w:val="auto"/>
          <w:spacing w:val="0"/>
          <w:sz w:val="20"/>
          <w:szCs w:val="26"/>
          <w:rtl/>
          <w:lang w:eastAsia="en-US"/>
        </w:rPr>
        <w:t>הצעת החוק שלהלן מבקשת להתמודד עם האתגר הלאומי והחברתי של הנגשת ההשכלה הגבוהה לכלל האוכלוסייה, ובכלל זה הנגשתה בקרב קבוצות אוכלוסייה מיוחדות שברוב המקרים אינן לוקחות חלק במערכת ההשכלה הגבוהה כגון האוכלוסייה הערבית, האוכלוסייה החרדית ואוכלוסייה הנמצאת במעמד סוציו-אקונומי נמוך.</w:t>
      </w:r>
    </w:p>
    <w:p w14:paraId="131838A7" w14:textId="77777777" w:rsidR="004D2CF7" w:rsidRPr="004D2CF7" w:rsidRDefault="004D2CF7" w:rsidP="00F615EF">
      <w:pPr>
        <w:autoSpaceDE/>
        <w:autoSpaceDN/>
        <w:adjustRightInd/>
        <w:snapToGrid w:val="0"/>
        <w:spacing w:before="0" w:line="276" w:lineRule="auto"/>
        <w:contextualSpacing/>
        <w:textAlignment w:val="auto"/>
        <w:rPr>
          <w:rFonts w:ascii="Arial" w:eastAsia="Arial Unicode MS" w:hAnsi="Arial" w:cs="David"/>
          <w:snapToGrid w:val="0"/>
          <w:color w:val="auto"/>
          <w:spacing w:val="0"/>
          <w:sz w:val="20"/>
          <w:szCs w:val="26"/>
          <w:rtl/>
          <w:lang w:eastAsia="en-US"/>
        </w:rPr>
      </w:pPr>
      <w:r w:rsidRPr="004D2CF7">
        <w:rPr>
          <w:rFonts w:ascii="Arial" w:eastAsia="Arial Unicode MS" w:hAnsi="Arial" w:cs="David" w:hint="cs"/>
          <w:snapToGrid w:val="0"/>
          <w:color w:val="auto"/>
          <w:spacing w:val="0"/>
          <w:sz w:val="20"/>
          <w:szCs w:val="26"/>
          <w:rtl/>
          <w:lang w:eastAsia="en-US"/>
        </w:rPr>
        <w:t>הצעת החוק מאמצת את עמדותיהם של הועדות הציבוריות-מקצועיות, את עמדת ה-</w:t>
      </w:r>
      <w:r w:rsidRPr="004D2CF7">
        <w:rPr>
          <w:rFonts w:ascii="Arial" w:eastAsia="Arial Unicode MS" w:hAnsi="Arial" w:cs="David"/>
          <w:snapToGrid w:val="0"/>
          <w:color w:val="auto"/>
          <w:spacing w:val="0"/>
          <w:sz w:val="20"/>
          <w:szCs w:val="26"/>
          <w:lang w:eastAsia="en-US"/>
        </w:rPr>
        <w:t>OECD</w:t>
      </w:r>
      <w:r w:rsidRPr="004D2CF7">
        <w:rPr>
          <w:rFonts w:ascii="Arial" w:eastAsia="Arial Unicode MS" w:hAnsi="Arial" w:cs="David" w:hint="cs"/>
          <w:snapToGrid w:val="0"/>
          <w:color w:val="auto"/>
          <w:spacing w:val="0"/>
          <w:sz w:val="20"/>
          <w:szCs w:val="26"/>
          <w:rtl/>
          <w:lang w:eastAsia="en-US"/>
        </w:rPr>
        <w:t xml:space="preserve"> ואת עמדת הוועד הציבורי לשוויון והנגשת ההשכלה הגבוהה. הצעת החוק מביאה לביטוי את ההסכמות הרחבות הקיימות בנושא הרחבת ההנגשה להשכלה גבוהה. </w:t>
      </w:r>
    </w:p>
    <w:p w14:paraId="234221BB" w14:textId="77777777" w:rsidR="004D2CF7" w:rsidRPr="004D2CF7" w:rsidRDefault="004D2CF7" w:rsidP="00F615EF">
      <w:pPr>
        <w:autoSpaceDE/>
        <w:autoSpaceDN/>
        <w:adjustRightInd/>
        <w:snapToGrid w:val="0"/>
        <w:spacing w:before="0" w:line="276" w:lineRule="auto"/>
        <w:contextualSpacing/>
        <w:textAlignment w:val="auto"/>
        <w:rPr>
          <w:rFonts w:ascii="Arial" w:eastAsia="Arial Unicode MS" w:hAnsi="Arial" w:cs="David"/>
          <w:snapToGrid w:val="0"/>
          <w:color w:val="auto"/>
          <w:spacing w:val="0"/>
          <w:sz w:val="20"/>
          <w:szCs w:val="26"/>
          <w:rtl/>
          <w:lang w:eastAsia="en-US"/>
        </w:rPr>
      </w:pPr>
      <w:r w:rsidRPr="004D2CF7">
        <w:rPr>
          <w:rFonts w:ascii="Arial" w:eastAsia="Arial Unicode MS" w:hAnsi="Arial" w:cs="David" w:hint="cs"/>
          <w:snapToGrid w:val="0"/>
          <w:color w:val="auto"/>
          <w:spacing w:val="0"/>
          <w:sz w:val="20"/>
          <w:szCs w:val="26"/>
          <w:rtl/>
          <w:lang w:eastAsia="en-US"/>
        </w:rPr>
        <w:t xml:space="preserve">מטרת הצעת החוק להרחיב את בסיס פירמידת ההשכלה של החברה הישראלית, על ידי הורדת חסמי הכניסה הגבוהים למערכת ההשכלה הגבוהה, יצירת תכניות מיוחדות אשר יאפשרו את שילובן של קבוצות אוכלוסייה מיוחדות במערכת ההשכלה הגבוהה, פריסת הלימודים אשר תאפשר לאזן בין עבודה וחיי משפחה במהלך הלימודים, והכרה בלימודים במוסדות לימוד דו שנתיים. </w:t>
      </w:r>
    </w:p>
    <w:p w14:paraId="3B14CC37" w14:textId="77777777" w:rsidR="004D2CF7" w:rsidRPr="004D2CF7" w:rsidRDefault="004D2CF7" w:rsidP="00F615EF">
      <w:pPr>
        <w:autoSpaceDE/>
        <w:autoSpaceDN/>
        <w:adjustRightInd/>
        <w:snapToGrid w:val="0"/>
        <w:spacing w:before="0" w:line="276" w:lineRule="auto"/>
        <w:contextualSpacing/>
        <w:textAlignment w:val="auto"/>
        <w:rPr>
          <w:rFonts w:ascii="Arial" w:eastAsia="Arial Unicode MS" w:hAnsi="Arial" w:cs="David"/>
          <w:snapToGrid w:val="0"/>
          <w:color w:val="auto"/>
          <w:spacing w:val="0"/>
          <w:sz w:val="20"/>
          <w:szCs w:val="26"/>
          <w:rtl/>
          <w:lang w:eastAsia="en-US"/>
        </w:rPr>
      </w:pPr>
      <w:r w:rsidRPr="004D2CF7">
        <w:rPr>
          <w:rFonts w:ascii="Arial" w:eastAsia="Arial Unicode MS" w:hAnsi="Arial" w:cs="David" w:hint="cs"/>
          <w:snapToGrid w:val="0"/>
          <w:color w:val="auto"/>
          <w:spacing w:val="0"/>
          <w:sz w:val="20"/>
          <w:szCs w:val="26"/>
          <w:rtl/>
          <w:lang w:eastAsia="en-US"/>
        </w:rPr>
        <w:t xml:space="preserve">סעיף 15ב(א) ו-(ב) בהצעת החוק קובע את העיקרון הבסיסי הראשון והוא שתתאפשר קבלה ללימודים על יסוד תעודת בגרות או תעודה שוות ערך. עקרון זה מבקש להנגיש את ההשכלה הגבוהה גם לאוכלוסיות המיוחדות ולמגזרים נוספים באוכלוסייה, שהמבחן הפסיכומטרי ומקביליו, אינם מותאמים להם ולפיכך פוגעים ביכולתם להתקבל ללימודים.   </w:t>
      </w:r>
    </w:p>
    <w:p w14:paraId="27EB262F" w14:textId="77777777" w:rsidR="004D2CF7" w:rsidRPr="004D2CF7" w:rsidRDefault="004D2CF7" w:rsidP="00F615EF">
      <w:pPr>
        <w:autoSpaceDE/>
        <w:autoSpaceDN/>
        <w:adjustRightInd/>
        <w:snapToGrid w:val="0"/>
        <w:spacing w:before="0" w:line="276" w:lineRule="auto"/>
        <w:contextualSpacing/>
        <w:textAlignment w:val="auto"/>
        <w:rPr>
          <w:rFonts w:ascii="Arial" w:eastAsia="Arial Unicode MS" w:hAnsi="Arial" w:cs="David"/>
          <w:snapToGrid w:val="0"/>
          <w:color w:val="auto"/>
          <w:spacing w:val="0"/>
          <w:sz w:val="20"/>
          <w:szCs w:val="26"/>
          <w:rtl/>
          <w:lang w:eastAsia="en-US"/>
        </w:rPr>
      </w:pPr>
      <w:r w:rsidRPr="004D2CF7">
        <w:rPr>
          <w:rFonts w:ascii="Arial" w:eastAsia="Arial Unicode MS" w:hAnsi="Arial" w:cs="David" w:hint="cs"/>
          <w:snapToGrid w:val="0"/>
          <w:color w:val="auto"/>
          <w:spacing w:val="0"/>
          <w:sz w:val="20"/>
          <w:szCs w:val="26"/>
          <w:rtl/>
          <w:lang w:eastAsia="en-US"/>
        </w:rPr>
        <w:t xml:space="preserve">סעיף 15ב(ג) בהצעת החוק קובע שמוסד רשאי לקבל תלמידים מעל גיל 30 גם ללא תעודת בגרות בכפוף לכך שהמוסד יקבע תכנית לימודים מכינה לפני תחילת לימודיו. מטרת הסעיף לאפשר גם לאוכלוסייה מבוגרת להשתלב במערכת ההשכלה הגבוהה.  </w:t>
      </w:r>
    </w:p>
    <w:p w14:paraId="0324A881" w14:textId="77777777" w:rsidR="004D2CF7" w:rsidRPr="004D2CF7" w:rsidRDefault="004D2CF7" w:rsidP="00F615EF">
      <w:pPr>
        <w:autoSpaceDE/>
        <w:autoSpaceDN/>
        <w:adjustRightInd/>
        <w:snapToGrid w:val="0"/>
        <w:spacing w:before="0" w:line="276" w:lineRule="auto"/>
        <w:contextualSpacing/>
        <w:textAlignment w:val="auto"/>
        <w:rPr>
          <w:rFonts w:ascii="Arial" w:eastAsia="Arial Unicode MS" w:hAnsi="Arial" w:cs="David"/>
          <w:snapToGrid w:val="0"/>
          <w:color w:val="auto"/>
          <w:spacing w:val="0"/>
          <w:sz w:val="20"/>
          <w:szCs w:val="26"/>
          <w:rtl/>
          <w:lang w:eastAsia="en-US"/>
        </w:rPr>
      </w:pPr>
      <w:r w:rsidRPr="004D2CF7">
        <w:rPr>
          <w:rFonts w:ascii="Arial" w:eastAsia="Arial Unicode MS" w:hAnsi="Arial" w:cs="David" w:hint="cs"/>
          <w:snapToGrid w:val="0"/>
          <w:color w:val="auto"/>
          <w:spacing w:val="0"/>
          <w:sz w:val="20"/>
          <w:szCs w:val="26"/>
          <w:rtl/>
          <w:lang w:eastAsia="en-US"/>
        </w:rPr>
        <w:t xml:space="preserve">סעיף 15ב(ד) בהצעת החוק הוא אחד מהיסודות החשובים שבהצעת החוק. הסעיף קובע שהשכלה גבוהה תונגש גם לאוכלוסייה שאינה מחזיקה בתעודת בגרות או תעודה ממכינה קדם אקדמית. </w:t>
      </w:r>
    </w:p>
    <w:p w14:paraId="3060FEA8" w14:textId="77777777" w:rsidR="004D2CF7" w:rsidRPr="004D2CF7" w:rsidRDefault="004D2CF7" w:rsidP="00F615EF">
      <w:pPr>
        <w:autoSpaceDE/>
        <w:autoSpaceDN/>
        <w:adjustRightInd/>
        <w:snapToGrid w:val="0"/>
        <w:spacing w:before="0" w:line="276" w:lineRule="auto"/>
        <w:contextualSpacing/>
        <w:textAlignment w:val="auto"/>
        <w:rPr>
          <w:rFonts w:ascii="Arial" w:eastAsia="Arial Unicode MS" w:hAnsi="Arial" w:cs="David"/>
          <w:snapToGrid w:val="0"/>
          <w:color w:val="auto"/>
          <w:spacing w:val="0"/>
          <w:sz w:val="20"/>
          <w:szCs w:val="26"/>
          <w:rtl/>
          <w:lang w:eastAsia="en-US"/>
        </w:rPr>
      </w:pPr>
      <w:r w:rsidRPr="004D2CF7">
        <w:rPr>
          <w:rFonts w:ascii="Arial" w:eastAsia="Arial Unicode MS" w:hAnsi="Arial" w:cs="David" w:hint="cs"/>
          <w:snapToGrid w:val="0"/>
          <w:color w:val="auto"/>
          <w:spacing w:val="0"/>
          <w:sz w:val="20"/>
          <w:szCs w:val="26"/>
          <w:rtl/>
          <w:lang w:eastAsia="en-US"/>
        </w:rPr>
        <w:t>הסעיף מאפשר למוסדות להשכלה גבוהה לשלב תלמידים, שלא השלימו לימודיהם במסגרות החינוך הבסיסיות השונות או שאינם מחזיקים בתעודת בגרות או תעודה ממכינה קדם אקדמית, בתכניות מנגישות, כשבצד מתן האפשרות להתקבל לתכנית מנגישה ללא תעודה, מחויב המוסד המקיים תכנית מנגישה לערוך לתלמידים שיתקבלו ללא תעודה, מבחן לבחינת רמת ידיעותיהם, ובהתאם לתוצאות המבחן, יקבע המוסד תכנית לימודים משלימה שתיערך על ידי המוסד על מנת להעלות את רמתם של אותם התלמידים.</w:t>
      </w:r>
    </w:p>
    <w:p w14:paraId="141649CE" w14:textId="77777777" w:rsidR="004D2CF7" w:rsidRPr="004D2CF7" w:rsidRDefault="004D2CF7" w:rsidP="00F615EF">
      <w:pPr>
        <w:autoSpaceDE/>
        <w:autoSpaceDN/>
        <w:adjustRightInd/>
        <w:snapToGrid w:val="0"/>
        <w:spacing w:before="0" w:line="276" w:lineRule="auto"/>
        <w:contextualSpacing/>
        <w:textAlignment w:val="auto"/>
        <w:rPr>
          <w:rFonts w:ascii="Arial" w:eastAsia="Arial Unicode MS" w:hAnsi="Arial" w:cs="David"/>
          <w:snapToGrid w:val="0"/>
          <w:color w:val="auto"/>
          <w:spacing w:val="0"/>
          <w:sz w:val="20"/>
          <w:szCs w:val="26"/>
          <w:rtl/>
          <w:lang w:eastAsia="en-US"/>
        </w:rPr>
      </w:pPr>
      <w:r w:rsidRPr="004D2CF7">
        <w:rPr>
          <w:rFonts w:ascii="Arial" w:eastAsia="Arial Unicode MS" w:hAnsi="Arial" w:cs="David" w:hint="cs"/>
          <w:snapToGrid w:val="0"/>
          <w:color w:val="auto"/>
          <w:spacing w:val="0"/>
          <w:sz w:val="20"/>
          <w:szCs w:val="26"/>
          <w:rtl/>
          <w:lang w:eastAsia="en-US"/>
        </w:rPr>
        <w:t xml:space="preserve">בעולם המערבי קיימות אפשרויות קבלה למערכות ההשכלה הגבוהה ללא תעודת בגרות או תעודה ממכינה קדם אקדמית. אפשרויות אלה מחויבות על מנת להגיע ליעד של שיתוף מעל 75% משנתון לימודים בהשכלה הגבוהה, כמו גם שהן מחויבות על מנת לשתף בהשכלה הגבוהה אוכלוסיות מיוחדות, בדגש על האוכלוסייה החרדית ואוכלוסיות חלשות מבחינה סוציו-אקונומית. </w:t>
      </w:r>
    </w:p>
    <w:p w14:paraId="361A14FD" w14:textId="77777777" w:rsidR="004D2CF7" w:rsidRPr="004D2CF7" w:rsidRDefault="004D2CF7" w:rsidP="00F615EF">
      <w:pPr>
        <w:autoSpaceDE/>
        <w:autoSpaceDN/>
        <w:adjustRightInd/>
        <w:snapToGrid w:val="0"/>
        <w:spacing w:before="0" w:line="276" w:lineRule="auto"/>
        <w:contextualSpacing/>
        <w:textAlignment w:val="auto"/>
        <w:rPr>
          <w:rFonts w:ascii="Arial" w:eastAsia="Arial Unicode MS" w:hAnsi="Arial" w:cs="David"/>
          <w:snapToGrid w:val="0"/>
          <w:color w:val="auto"/>
          <w:spacing w:val="0"/>
          <w:sz w:val="20"/>
          <w:szCs w:val="26"/>
          <w:rtl/>
          <w:lang w:eastAsia="en-US"/>
        </w:rPr>
      </w:pPr>
      <w:r w:rsidRPr="004D2CF7">
        <w:rPr>
          <w:rFonts w:ascii="Arial" w:eastAsia="Arial Unicode MS" w:hAnsi="Arial" w:cs="David" w:hint="cs"/>
          <w:snapToGrid w:val="0"/>
          <w:color w:val="auto"/>
          <w:spacing w:val="0"/>
          <w:sz w:val="20"/>
          <w:szCs w:val="26"/>
          <w:rtl/>
          <w:lang w:eastAsia="en-US"/>
        </w:rPr>
        <w:t xml:space="preserve">סעיף 15ב(ה) בהצעת החוק קובע כי המועצה להשכלה גבוהה לא תהיה רשאית לקבוע תנאי קבלה </w:t>
      </w:r>
      <w:r w:rsidRPr="004D2CF7">
        <w:rPr>
          <w:rFonts w:ascii="Arial" w:eastAsia="Arial Unicode MS" w:hAnsi="Arial" w:cs="David" w:hint="cs"/>
          <w:snapToGrid w:val="0"/>
          <w:color w:val="auto"/>
          <w:spacing w:val="0"/>
          <w:sz w:val="20"/>
          <w:szCs w:val="26"/>
          <w:rtl/>
          <w:lang w:eastAsia="en-US"/>
        </w:rPr>
        <w:lastRenderedPageBreak/>
        <w:t xml:space="preserve">מחמירים למוסדות להשכלה גבוהה, אלא מקלים בלבד, וזאת על מנת לעודד את הנגשת ההשכלה הגבוהה ולסייע לה. </w:t>
      </w:r>
    </w:p>
    <w:p w14:paraId="21A40DBF" w14:textId="77777777" w:rsidR="004D2CF7" w:rsidRPr="004D2CF7" w:rsidRDefault="004D2CF7" w:rsidP="00F615EF">
      <w:pPr>
        <w:autoSpaceDE/>
        <w:autoSpaceDN/>
        <w:adjustRightInd/>
        <w:snapToGrid w:val="0"/>
        <w:spacing w:before="0" w:line="276" w:lineRule="auto"/>
        <w:contextualSpacing/>
        <w:textAlignment w:val="auto"/>
        <w:rPr>
          <w:rFonts w:ascii="Arial" w:eastAsia="Arial Unicode MS" w:hAnsi="Arial" w:cs="David"/>
          <w:snapToGrid w:val="0"/>
          <w:color w:val="auto"/>
          <w:spacing w:val="0"/>
          <w:sz w:val="20"/>
          <w:szCs w:val="26"/>
          <w:rtl/>
          <w:lang w:eastAsia="en-US"/>
        </w:rPr>
      </w:pPr>
      <w:r w:rsidRPr="004D2CF7">
        <w:rPr>
          <w:rFonts w:ascii="Arial" w:eastAsia="Arial Unicode MS" w:hAnsi="Arial" w:cs="David" w:hint="cs"/>
          <w:snapToGrid w:val="0"/>
          <w:color w:val="auto"/>
          <w:spacing w:val="0"/>
          <w:sz w:val="20"/>
          <w:szCs w:val="26"/>
          <w:rtl/>
          <w:lang w:eastAsia="en-US"/>
        </w:rPr>
        <w:t xml:space="preserve">סעיף 15ב(ו) בהצעת החוק מאפשר למוסדות להשכלה גבוהה לפרוס את תכניות הלימודים על חלק מימות השבוע באופן שיאפשר לתלמידיהם לשלב את הלימודים עם עבודה וחיי משפחה. סעיף זה חיוני לצורך הרחבת הנגשת ההשכלה הגבוהה לכלל האוכלוסייה כמו גם לתלמידים ממעמד סוציו-אקונומי נמוך המבקשים לרכוש השכלה גבוהה ונדרשים לממן את שכר הלימוד באמצעות עבודה מאומצת במהלך הלימודים. סעיף זה חיוני גם לאוכלוסיות אחרות המבקשות לשלב לימודים לצד חיי משפחה.  </w:t>
      </w:r>
      <w:r w:rsidRPr="004D2CF7">
        <w:rPr>
          <w:rFonts w:ascii="Arial" w:eastAsia="Arial Unicode MS" w:hAnsi="Arial" w:cs="David"/>
          <w:snapToGrid w:val="0"/>
          <w:color w:val="auto"/>
          <w:spacing w:val="0"/>
          <w:sz w:val="20"/>
          <w:szCs w:val="26"/>
          <w:lang w:eastAsia="en-US"/>
        </w:rPr>
        <w:t xml:space="preserve"> </w:t>
      </w:r>
    </w:p>
    <w:p w14:paraId="2DB01814" w14:textId="77777777" w:rsidR="004D2CF7" w:rsidRPr="004D2CF7" w:rsidRDefault="004D2CF7" w:rsidP="00F615EF">
      <w:pPr>
        <w:autoSpaceDE/>
        <w:autoSpaceDN/>
        <w:adjustRightInd/>
        <w:snapToGrid w:val="0"/>
        <w:spacing w:before="0" w:line="276" w:lineRule="auto"/>
        <w:contextualSpacing/>
        <w:textAlignment w:val="auto"/>
        <w:rPr>
          <w:rFonts w:ascii="Arial" w:eastAsia="Arial Unicode MS" w:hAnsi="Arial" w:cs="David"/>
          <w:snapToGrid w:val="0"/>
          <w:color w:val="auto"/>
          <w:spacing w:val="0"/>
          <w:sz w:val="20"/>
          <w:szCs w:val="26"/>
          <w:rtl/>
          <w:lang w:eastAsia="en-US"/>
        </w:rPr>
      </w:pPr>
      <w:r w:rsidRPr="004D2CF7">
        <w:rPr>
          <w:rFonts w:ascii="Arial" w:eastAsia="Arial Unicode MS" w:hAnsi="Arial" w:cs="David" w:hint="cs"/>
          <w:snapToGrid w:val="0"/>
          <w:color w:val="auto"/>
          <w:spacing w:val="0"/>
          <w:sz w:val="20"/>
          <w:szCs w:val="26"/>
          <w:rtl/>
          <w:lang w:eastAsia="en-US"/>
        </w:rPr>
        <w:t xml:space="preserve">סקרים שנערכו על ידי התאחדות הסטודנטים הארצית בשנים האחרונות מצאו כי הרוב המכריע מבין המשתתפים בהשכלה הגבוהה עובד במהלך הלימודים. לכך יש להוסיף כי במציאות הישראלית הצטרפות למערכת ההשכלה הגבוהה מתחילה בגיל מבוגר יותר, לנוכח השירות הצבאי, וכך נוצרת מציאות בה הרוב המכריע מהתלמידים נאלצים לעבוד למחייתם במהלך הלימודים.  </w:t>
      </w:r>
    </w:p>
    <w:p w14:paraId="579879E0" w14:textId="77777777" w:rsidR="004D2CF7" w:rsidRPr="004D2CF7" w:rsidRDefault="004D2CF7" w:rsidP="00F615EF">
      <w:pPr>
        <w:autoSpaceDE/>
        <w:autoSpaceDN/>
        <w:adjustRightInd/>
        <w:snapToGrid w:val="0"/>
        <w:spacing w:before="0" w:line="276" w:lineRule="auto"/>
        <w:contextualSpacing/>
        <w:textAlignment w:val="auto"/>
        <w:rPr>
          <w:rFonts w:ascii="Arial" w:eastAsia="Arial Unicode MS" w:hAnsi="Arial" w:cs="David"/>
          <w:snapToGrid w:val="0"/>
          <w:color w:val="auto"/>
          <w:spacing w:val="0"/>
          <w:sz w:val="20"/>
          <w:szCs w:val="26"/>
          <w:rtl/>
          <w:lang w:eastAsia="en-US"/>
        </w:rPr>
      </w:pPr>
      <w:r w:rsidRPr="004D2CF7">
        <w:rPr>
          <w:rFonts w:ascii="Arial" w:eastAsia="Arial Unicode MS" w:hAnsi="Arial" w:cs="David" w:hint="cs"/>
          <w:snapToGrid w:val="0"/>
          <w:color w:val="auto"/>
          <w:spacing w:val="0"/>
          <w:sz w:val="20"/>
          <w:szCs w:val="26"/>
          <w:rtl/>
          <w:lang w:eastAsia="en-US"/>
        </w:rPr>
        <w:t xml:space="preserve">סעיף 15ב(ז)  בהצעת החוק קובע כי מוסד רשאי לקיים לימודים באמצעים מתוקשבים. קיום לימודים באמצעים מתוקשבים אינה רק כורח המציאות ונוכח השינויים הטכנולוגיים אלא גם מאפשרת זירוז והרחבה של הנגשת ההשכלה הגבוהה כמו גם את הוזלתה. </w:t>
      </w:r>
    </w:p>
    <w:p w14:paraId="0F887293" w14:textId="77777777" w:rsidR="004D2CF7" w:rsidRPr="004D2CF7" w:rsidRDefault="004D2CF7" w:rsidP="00F615EF">
      <w:pPr>
        <w:autoSpaceDE/>
        <w:autoSpaceDN/>
        <w:adjustRightInd/>
        <w:snapToGrid w:val="0"/>
        <w:spacing w:before="0" w:line="276" w:lineRule="auto"/>
        <w:contextualSpacing/>
        <w:textAlignment w:val="auto"/>
        <w:rPr>
          <w:rFonts w:ascii="Arial" w:eastAsia="Arial Unicode MS" w:hAnsi="Arial" w:cs="David"/>
          <w:snapToGrid w:val="0"/>
          <w:color w:val="auto"/>
          <w:spacing w:val="0"/>
          <w:sz w:val="20"/>
          <w:szCs w:val="26"/>
          <w:rtl/>
          <w:lang w:eastAsia="en-US"/>
        </w:rPr>
      </w:pPr>
      <w:r w:rsidRPr="004D2CF7">
        <w:rPr>
          <w:rFonts w:ascii="Arial" w:eastAsia="Arial Unicode MS" w:hAnsi="Arial" w:cs="David" w:hint="cs"/>
          <w:snapToGrid w:val="0"/>
          <w:color w:val="auto"/>
          <w:spacing w:val="0"/>
          <w:sz w:val="20"/>
          <w:szCs w:val="26"/>
          <w:rtl/>
          <w:lang w:eastAsia="en-US"/>
        </w:rPr>
        <w:t xml:space="preserve">סעיף 15ב(ח) בהצעת החוק מאמץ את הנהוג במדינות שונות בעולם שבהן קיימת הכרה בלימודים במוסדות לימוד דו שנתיים המעניקים תואר מקצועי או מהווים שלב לימודים מכין לצורך לימודי המשך אקדמיים. הסעיף מבקש לאפשר למוסדות להשכלה גבוהה בישראל להכיר בלימודים במכללות טכנולוגיות מוכרות (מוסדות לימוד דו שנתיים). </w:t>
      </w:r>
    </w:p>
    <w:p w14:paraId="00A02FF9" w14:textId="77777777" w:rsidR="004D2CF7" w:rsidRPr="004D2CF7" w:rsidRDefault="004D2CF7" w:rsidP="00F615EF">
      <w:pPr>
        <w:autoSpaceDE/>
        <w:autoSpaceDN/>
        <w:adjustRightInd/>
        <w:snapToGrid w:val="0"/>
        <w:spacing w:before="0" w:line="276" w:lineRule="auto"/>
        <w:contextualSpacing/>
        <w:textAlignment w:val="auto"/>
        <w:rPr>
          <w:rFonts w:ascii="Arial" w:eastAsia="Arial Unicode MS" w:hAnsi="Arial" w:cs="David"/>
          <w:snapToGrid w:val="0"/>
          <w:color w:val="auto"/>
          <w:spacing w:val="0"/>
          <w:sz w:val="20"/>
          <w:szCs w:val="26"/>
          <w:rtl/>
          <w:lang w:eastAsia="en-US"/>
        </w:rPr>
      </w:pPr>
      <w:r w:rsidRPr="004D2CF7">
        <w:rPr>
          <w:rFonts w:ascii="Arial" w:eastAsia="Arial Unicode MS" w:hAnsi="Arial" w:cs="David" w:hint="cs"/>
          <w:snapToGrid w:val="0"/>
          <w:color w:val="auto"/>
          <w:spacing w:val="0"/>
          <w:sz w:val="20"/>
          <w:szCs w:val="26"/>
          <w:rtl/>
          <w:lang w:eastAsia="en-US"/>
        </w:rPr>
        <w:t>אחת ההמלצות המרכזיות המוצאות ביטוי בדוחות ציבוריים מקצועיים היא הרחבת ההנגשה באמצעות עידוד מתן אקרדיטציה ללימודים במוסדות קדם אקדמיים דו-שנתיים. גם הוועד הציבורי לשוויון והנגשת ההשכלה הגבוהה קבע בנייר עמדה (מס' 1) בנושא נגישות למערכת ההשכלה הגבוהה בישראל כי:</w:t>
      </w:r>
    </w:p>
    <w:p w14:paraId="1C5D0A46" w14:textId="77777777" w:rsidR="004D2CF7" w:rsidRPr="004D2CF7" w:rsidRDefault="004D2CF7" w:rsidP="00F615EF">
      <w:pPr>
        <w:autoSpaceDE/>
        <w:autoSpaceDN/>
        <w:adjustRightInd/>
        <w:snapToGrid w:val="0"/>
        <w:spacing w:before="0" w:line="276" w:lineRule="auto"/>
        <w:contextualSpacing/>
        <w:textAlignment w:val="auto"/>
        <w:rPr>
          <w:rFonts w:ascii="Arial" w:eastAsia="Arial Unicode MS" w:hAnsi="Arial" w:cs="David"/>
          <w:snapToGrid w:val="0"/>
          <w:color w:val="auto"/>
          <w:spacing w:val="0"/>
          <w:sz w:val="20"/>
          <w:szCs w:val="26"/>
          <w:rtl/>
          <w:lang w:eastAsia="en-US"/>
        </w:rPr>
      </w:pPr>
      <w:r w:rsidRPr="004D2CF7">
        <w:rPr>
          <w:rFonts w:ascii="Arial" w:eastAsia="Arial Unicode MS" w:hAnsi="Arial" w:cs="David" w:hint="cs"/>
          <w:snapToGrid w:val="0"/>
          <w:color w:val="auto"/>
          <w:spacing w:val="0"/>
          <w:sz w:val="20"/>
          <w:szCs w:val="26"/>
          <w:rtl/>
          <w:lang w:eastAsia="en-US"/>
        </w:rPr>
        <w:t>"אחת הדרכים לקדם את נושא השוויון וההנגשה להשכלה הגבוהה היא באמצעות מוסדות "דו שנתיים", שיפעלו בדומה למודל ה"קומיוניטי קולג'" (</w:t>
      </w:r>
      <w:r w:rsidRPr="004D2CF7">
        <w:rPr>
          <w:rFonts w:ascii="Arial" w:eastAsia="Arial Unicode MS" w:hAnsi="Arial" w:cs="David"/>
          <w:snapToGrid w:val="0"/>
          <w:color w:val="auto"/>
          <w:spacing w:val="0"/>
          <w:sz w:val="20"/>
          <w:szCs w:val="26"/>
          <w:lang w:eastAsia="en-US"/>
        </w:rPr>
        <w:t>Community College</w:t>
      </w:r>
      <w:r w:rsidRPr="004D2CF7">
        <w:rPr>
          <w:rFonts w:ascii="Arial" w:eastAsia="Arial Unicode MS" w:hAnsi="Arial" w:cs="David" w:hint="cs"/>
          <w:snapToGrid w:val="0"/>
          <w:color w:val="auto"/>
          <w:spacing w:val="0"/>
          <w:sz w:val="20"/>
          <w:szCs w:val="26"/>
          <w:rtl/>
          <w:lang w:eastAsia="en-US"/>
        </w:rPr>
        <w:t xml:space="preserve">) הקיים בארה"ב. מוסדות "דו שנתיים" אלה יהוו גורם מתווך בין בוגרי בית ספר תיכון להשכלה הגבוהה. הלימודים במוסד "דו שנתי" יזכו את בוגריהם בקרדיט אקדמי, אשר ייחשב במסגרת המשך לימודיהם במוסדות להשכלה גבוהה. בכך, קיומם של מוסדות "דו שנתיים" יקלו על המוביליות החברתית והגדלת הנגישות להשכלה גבוהה בכלל, ובקרב אוכלוסיות חלשות בפרט. </w:t>
      </w:r>
    </w:p>
    <w:p w14:paraId="385FD65B" w14:textId="77777777" w:rsidR="004D2CF7" w:rsidRPr="004D2CF7" w:rsidRDefault="004D2CF7" w:rsidP="00F615EF">
      <w:pPr>
        <w:autoSpaceDE/>
        <w:autoSpaceDN/>
        <w:adjustRightInd/>
        <w:snapToGrid w:val="0"/>
        <w:spacing w:before="0" w:line="276" w:lineRule="auto"/>
        <w:contextualSpacing/>
        <w:textAlignment w:val="auto"/>
        <w:rPr>
          <w:rFonts w:ascii="Arial" w:eastAsia="Arial Unicode MS" w:hAnsi="Arial" w:cs="David"/>
          <w:snapToGrid w:val="0"/>
          <w:color w:val="auto"/>
          <w:spacing w:val="0"/>
          <w:sz w:val="20"/>
          <w:szCs w:val="26"/>
          <w:rtl/>
          <w:lang w:eastAsia="en-US"/>
        </w:rPr>
      </w:pPr>
      <w:r w:rsidRPr="004D2CF7">
        <w:rPr>
          <w:rFonts w:ascii="Arial" w:eastAsia="Arial Unicode MS" w:hAnsi="Arial" w:cs="David" w:hint="cs"/>
          <w:snapToGrid w:val="0"/>
          <w:color w:val="auto"/>
          <w:spacing w:val="0"/>
          <w:sz w:val="20"/>
          <w:szCs w:val="26"/>
          <w:rtl/>
          <w:lang w:eastAsia="en-US"/>
        </w:rPr>
        <w:t xml:space="preserve">יצוין כי קיימת הצעה בנוגע לבתי ספר להנדסאים לפיה לימודים בבתי ספר להנדסאים יוכלו להקנות עד 80 נקודות זכות אקדמיות. הוועד הציבורי תומך בהצעה זו. הרחבת ההנגשה להשכלה גבוהה בדרך זו תתרום לגידול ההנגשה במקצועות ההנדסיים החיוניים במשק. בתי הספר להנדסאים יכולים להיות בסיס ליישום מודל הקומיוניטי קולג' בישראל". </w:t>
      </w:r>
    </w:p>
    <w:p w14:paraId="4FAF2581" w14:textId="77777777" w:rsidR="004D2CF7" w:rsidRPr="004D2CF7" w:rsidRDefault="004D2CF7" w:rsidP="00F615EF">
      <w:pPr>
        <w:autoSpaceDE/>
        <w:autoSpaceDN/>
        <w:adjustRightInd/>
        <w:snapToGrid w:val="0"/>
        <w:spacing w:before="0" w:line="276" w:lineRule="auto"/>
        <w:contextualSpacing/>
        <w:textAlignment w:val="auto"/>
        <w:rPr>
          <w:rFonts w:ascii="Arial" w:eastAsia="Arial Unicode MS" w:hAnsi="Arial" w:cs="David"/>
          <w:snapToGrid w:val="0"/>
          <w:color w:val="auto"/>
          <w:spacing w:val="0"/>
          <w:sz w:val="20"/>
          <w:szCs w:val="26"/>
          <w:rtl/>
          <w:lang w:eastAsia="en-US"/>
        </w:rPr>
      </w:pPr>
      <w:r w:rsidRPr="004D2CF7">
        <w:rPr>
          <w:rFonts w:ascii="Arial" w:eastAsia="Arial Unicode MS" w:hAnsi="Arial" w:cs="David" w:hint="cs"/>
          <w:snapToGrid w:val="0"/>
          <w:color w:val="auto"/>
          <w:spacing w:val="0"/>
          <w:sz w:val="20"/>
          <w:szCs w:val="26"/>
          <w:rtl/>
          <w:lang w:eastAsia="en-US"/>
        </w:rPr>
        <w:t>במדינות המערב ובראשן ארה"ב, בריטניה, אוסטרליה, הונג קונג ומדינות נוספות, נהוגה אקרדיטציה סדורה הניתנת ללימודים במוסדות המקבילים למכללות להנדסאים כאשר היקף נקודות הזכות המוכר נע בין  60 נקודות זכות ל-80 נקודות זכות.</w:t>
      </w:r>
    </w:p>
    <w:p w14:paraId="0D3EB01D" w14:textId="0C9CC8E3" w:rsidR="004D2CF7" w:rsidRDefault="004D2CF7" w:rsidP="00F615EF">
      <w:pPr>
        <w:autoSpaceDE/>
        <w:autoSpaceDN/>
        <w:adjustRightInd/>
        <w:snapToGrid w:val="0"/>
        <w:spacing w:before="0" w:line="276" w:lineRule="auto"/>
        <w:contextualSpacing/>
        <w:textAlignment w:val="auto"/>
        <w:rPr>
          <w:rFonts w:ascii="Arial" w:eastAsia="Arial Unicode MS" w:hAnsi="Arial" w:cs="David"/>
          <w:snapToGrid w:val="0"/>
          <w:color w:val="auto"/>
          <w:spacing w:val="0"/>
          <w:sz w:val="20"/>
          <w:szCs w:val="26"/>
          <w:rtl/>
          <w:lang w:eastAsia="en-US"/>
        </w:rPr>
      </w:pPr>
      <w:r w:rsidRPr="004D2CF7">
        <w:rPr>
          <w:rFonts w:ascii="Arial" w:eastAsia="Arial Unicode MS" w:hAnsi="Arial" w:cs="David" w:hint="cs"/>
          <w:snapToGrid w:val="0"/>
          <w:color w:val="auto"/>
          <w:spacing w:val="0"/>
          <w:sz w:val="20"/>
          <w:szCs w:val="26"/>
          <w:rtl/>
          <w:lang w:eastAsia="en-US"/>
        </w:rPr>
        <w:t xml:space="preserve">הצעת חוק זהה </w:t>
      </w:r>
      <w:r w:rsidR="00F615EF">
        <w:rPr>
          <w:rFonts w:ascii="Arial" w:eastAsia="Arial Unicode MS" w:hAnsi="Arial" w:cs="David" w:hint="cs"/>
          <w:snapToGrid w:val="0"/>
          <w:color w:val="auto"/>
          <w:spacing w:val="0"/>
          <w:sz w:val="20"/>
          <w:szCs w:val="26"/>
          <w:rtl/>
          <w:lang w:eastAsia="en-US"/>
        </w:rPr>
        <w:t>הונחה על שולחן הכנסת העשרים</w:t>
      </w:r>
      <w:r w:rsidRPr="004D2CF7">
        <w:rPr>
          <w:rFonts w:ascii="Arial" w:eastAsia="Arial Unicode MS" w:hAnsi="Arial" w:cs="David" w:hint="cs"/>
          <w:snapToGrid w:val="0"/>
          <w:color w:val="auto"/>
          <w:spacing w:val="0"/>
          <w:sz w:val="20"/>
          <w:szCs w:val="26"/>
          <w:rtl/>
          <w:lang w:eastAsia="en-US"/>
        </w:rPr>
        <w:t xml:space="preserve"> על ידי חבר הכנסת יעקב מרגי וקבוצת חברי </w:t>
      </w:r>
      <w:r w:rsidR="00F615EF">
        <w:rPr>
          <w:rFonts w:ascii="Arial" w:eastAsia="Arial Unicode MS" w:hAnsi="Arial" w:cs="David" w:hint="cs"/>
          <w:snapToGrid w:val="0"/>
          <w:color w:val="auto"/>
          <w:spacing w:val="0"/>
          <w:sz w:val="20"/>
          <w:szCs w:val="26"/>
          <w:rtl/>
          <w:lang w:eastAsia="en-US"/>
        </w:rPr>
        <w:t>ה</w:t>
      </w:r>
      <w:r w:rsidRPr="004D2CF7">
        <w:rPr>
          <w:rFonts w:ascii="Arial" w:eastAsia="Arial Unicode MS" w:hAnsi="Arial" w:cs="David" w:hint="cs"/>
          <w:snapToGrid w:val="0"/>
          <w:color w:val="auto"/>
          <w:spacing w:val="0"/>
          <w:sz w:val="20"/>
          <w:szCs w:val="26"/>
          <w:rtl/>
          <w:lang w:eastAsia="en-US"/>
        </w:rPr>
        <w:t>כנסת (פ/2176/20).</w:t>
      </w:r>
    </w:p>
    <w:p w14:paraId="75D35346" w14:textId="77777777" w:rsidR="00F615EF" w:rsidRDefault="00F615EF" w:rsidP="00F615EF">
      <w:pPr>
        <w:autoSpaceDE/>
        <w:autoSpaceDN/>
        <w:adjustRightInd/>
        <w:snapToGrid w:val="0"/>
        <w:spacing w:before="0" w:line="276" w:lineRule="auto"/>
        <w:contextualSpacing/>
        <w:textAlignment w:val="auto"/>
        <w:rPr>
          <w:rFonts w:ascii="Arial" w:eastAsia="Arial Unicode MS" w:hAnsi="Arial" w:cs="David"/>
          <w:snapToGrid w:val="0"/>
          <w:color w:val="auto"/>
          <w:spacing w:val="0"/>
          <w:sz w:val="20"/>
          <w:szCs w:val="26"/>
          <w:rtl/>
          <w:lang w:eastAsia="en-US"/>
        </w:rPr>
      </w:pPr>
    </w:p>
    <w:p w14:paraId="19008598" w14:textId="77777777" w:rsidR="00F615EF" w:rsidRPr="00A83796" w:rsidRDefault="00F615EF" w:rsidP="00F615EF">
      <w:pPr>
        <w:pStyle w:val="Hesber"/>
        <w:spacing w:line="276" w:lineRule="auto"/>
        <w:rPr>
          <w:rtl/>
        </w:rPr>
      </w:pPr>
      <w:r w:rsidRPr="00A83796">
        <w:rPr>
          <w:rtl/>
        </w:rPr>
        <w:t>---------------------------------</w:t>
      </w:r>
    </w:p>
    <w:p w14:paraId="4411CEFE" w14:textId="77777777" w:rsidR="00F615EF" w:rsidRPr="00A83796" w:rsidRDefault="00F615EF" w:rsidP="00F615EF">
      <w:pPr>
        <w:pStyle w:val="Hesber"/>
        <w:spacing w:line="276" w:lineRule="auto"/>
        <w:rPr>
          <w:rtl/>
        </w:rPr>
      </w:pPr>
      <w:r w:rsidRPr="00A83796">
        <w:rPr>
          <w:rFonts w:hint="cs"/>
          <w:rtl/>
        </w:rPr>
        <w:t>הוגשה</w:t>
      </w:r>
      <w:r w:rsidRPr="00A83796">
        <w:rPr>
          <w:rtl/>
        </w:rPr>
        <w:t xml:space="preserve"> </w:t>
      </w:r>
      <w:r w:rsidRPr="00A83796">
        <w:rPr>
          <w:rFonts w:hint="cs"/>
          <w:rtl/>
        </w:rPr>
        <w:t>ליו</w:t>
      </w:r>
      <w:r w:rsidRPr="00A83796">
        <w:rPr>
          <w:rtl/>
        </w:rPr>
        <w:t>"</w:t>
      </w:r>
      <w:r w:rsidRPr="00A83796">
        <w:rPr>
          <w:rFonts w:hint="cs"/>
          <w:rtl/>
        </w:rPr>
        <w:t>ר</w:t>
      </w:r>
      <w:r w:rsidRPr="00A83796">
        <w:rPr>
          <w:rtl/>
        </w:rPr>
        <w:t xml:space="preserve"> </w:t>
      </w:r>
      <w:r w:rsidRPr="00A83796">
        <w:rPr>
          <w:rFonts w:hint="cs"/>
          <w:rtl/>
        </w:rPr>
        <w:t>הכנסת</w:t>
      </w:r>
      <w:r w:rsidRPr="00A83796">
        <w:rPr>
          <w:rtl/>
        </w:rPr>
        <w:t xml:space="preserve"> </w:t>
      </w:r>
      <w:r w:rsidRPr="00A83796">
        <w:rPr>
          <w:rFonts w:hint="cs"/>
          <w:rtl/>
        </w:rPr>
        <w:t>והסגנים</w:t>
      </w:r>
    </w:p>
    <w:p w14:paraId="7A3EB7A4" w14:textId="77777777" w:rsidR="00F615EF" w:rsidRPr="00A83796" w:rsidRDefault="00F615EF" w:rsidP="00F615EF">
      <w:pPr>
        <w:pStyle w:val="Hesber"/>
        <w:spacing w:line="276" w:lineRule="auto"/>
        <w:rPr>
          <w:rtl/>
        </w:rPr>
      </w:pPr>
      <w:r w:rsidRPr="00A83796">
        <w:rPr>
          <w:rFonts w:hint="cs"/>
          <w:rtl/>
        </w:rPr>
        <w:t>והונחה</w:t>
      </w:r>
      <w:r w:rsidRPr="00A83796">
        <w:rPr>
          <w:rtl/>
        </w:rPr>
        <w:t xml:space="preserve"> </w:t>
      </w:r>
      <w:r w:rsidRPr="00A83796">
        <w:rPr>
          <w:rFonts w:hint="cs"/>
          <w:rtl/>
        </w:rPr>
        <w:t>על</w:t>
      </w:r>
      <w:r w:rsidRPr="00A83796">
        <w:rPr>
          <w:rtl/>
        </w:rPr>
        <w:t xml:space="preserve"> </w:t>
      </w:r>
      <w:r w:rsidRPr="00A83796">
        <w:rPr>
          <w:rFonts w:hint="cs"/>
          <w:rtl/>
        </w:rPr>
        <w:t>שולחן</w:t>
      </w:r>
      <w:r w:rsidRPr="00A83796">
        <w:rPr>
          <w:rtl/>
        </w:rPr>
        <w:t xml:space="preserve"> </w:t>
      </w:r>
      <w:r w:rsidRPr="00A83796">
        <w:rPr>
          <w:rFonts w:hint="cs"/>
          <w:rtl/>
        </w:rPr>
        <w:t>הכנסת</w:t>
      </w:r>
      <w:r w:rsidRPr="00A83796">
        <w:rPr>
          <w:rtl/>
        </w:rPr>
        <w:t xml:space="preserve"> </w:t>
      </w:r>
      <w:r w:rsidRPr="00A83796">
        <w:rPr>
          <w:rFonts w:hint="cs"/>
          <w:rtl/>
        </w:rPr>
        <w:t>ביום</w:t>
      </w:r>
    </w:p>
    <w:p w14:paraId="7F6961CB" w14:textId="7EB81D1F" w:rsidR="00E13C27" w:rsidRDefault="00F615EF" w:rsidP="00F615EF">
      <w:pPr>
        <w:pStyle w:val="Hesber"/>
        <w:spacing w:line="276" w:lineRule="auto"/>
        <w:rPr>
          <w:rtl/>
        </w:rPr>
      </w:pPr>
      <w:r w:rsidRPr="00A83796">
        <w:rPr>
          <w:rFonts w:hint="cs"/>
          <w:rtl/>
        </w:rPr>
        <w:t xml:space="preserve">ד' בכסלו התש"ף </w:t>
      </w:r>
      <w:r w:rsidRPr="00A83796">
        <w:rPr>
          <w:rtl/>
        </w:rPr>
        <w:t>–</w:t>
      </w:r>
      <w:r w:rsidRPr="00A83796">
        <w:rPr>
          <w:rFonts w:hint="cs"/>
          <w:rtl/>
        </w:rPr>
        <w:t xml:space="preserve"> 2.12</w:t>
      </w:r>
      <w:r w:rsidRPr="00A83796">
        <w:rPr>
          <w:rtl/>
        </w:rPr>
        <w:t>.</w:t>
      </w:r>
      <w:r w:rsidRPr="00A83796">
        <w:rPr>
          <w:rFonts w:hint="cs"/>
          <w:rtl/>
        </w:rPr>
        <w:t>19</w:t>
      </w:r>
      <w:bookmarkEnd w:id="8"/>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F615EF">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38F711BE" w14:textId="77777777" w:rsidR="004D2CF7" w:rsidRDefault="004D2CF7" w:rsidP="004D2CF7">
      <w:pPr>
        <w:pStyle w:val="a4"/>
      </w:pPr>
      <w:r>
        <w:rPr>
          <w:rStyle w:val="a6"/>
        </w:rPr>
        <w:footnoteRef/>
      </w:r>
      <w:r>
        <w:rPr>
          <w:rtl/>
        </w:rPr>
        <w:t xml:space="preserve"> </w:t>
      </w:r>
      <w:r w:rsidRPr="003D65CD">
        <w:rPr>
          <w:rtl/>
        </w:rPr>
        <w:t>ס"ח התשי"ח, עמ' 191</w:t>
      </w:r>
      <w:r>
        <w:rPr>
          <w:rtl/>
        </w:rPr>
        <w:t>.</w:t>
      </w:r>
    </w:p>
  </w:footnote>
  <w:footnote w:id="3">
    <w:p w14:paraId="79706B41" w14:textId="77777777" w:rsidR="004D2CF7" w:rsidRDefault="004D2CF7" w:rsidP="004D2CF7">
      <w:pPr>
        <w:pStyle w:val="a4"/>
      </w:pPr>
      <w:r>
        <w:rPr>
          <w:rStyle w:val="a6"/>
        </w:rPr>
        <w:footnoteRef/>
      </w:r>
      <w:r>
        <w:rPr>
          <w:rtl/>
        </w:rPr>
        <w:t xml:space="preserve"> ס"ח התשע"ג, עמ' 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CF7"/>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D729E"/>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34EBD"/>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15EF"/>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4F3802D9-76B4-470C-BD2B-C90470D1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semiHidden/>
    <w:rsid w:val="00934EBD"/>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DDD30-A1FB-4031-B09C-399C3E7A8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43FED81-D8BA-4AA6-B58F-6F286F074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1541</Words>
  <Characters>7708</Characters>
  <Application>Microsoft Office Word</Application>
  <DocSecurity>0</DocSecurity>
  <Lines>64</Lines>
  <Paragraphs>18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9231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7</cp:revision>
  <cp:lastPrinted>2019-11-27T08:46:00Z</cp:lastPrinted>
  <dcterms:created xsi:type="dcterms:W3CDTF">2015-04-20T09:58:00Z</dcterms:created>
  <dcterms:modified xsi:type="dcterms:W3CDTF">2019-11-27T08:46:00Z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2083013</vt:r8>
  </property>
</Properties>
</file>