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E635A2" w:rsidR="002C2E29" w:rsidP="00E635A2" w:rsidRDefault="004033D8" w14:paraId="7F6961A1" w14:textId="77777777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name="LGS_Internal_ID" w:id="0"/>
      <w:r>
        <w:rPr>
          <w:rFonts w:hint="cs"/>
          <w:sz w:val="20"/>
          <w:szCs w:val="20"/>
          <w:rtl/>
        </w:rPr>
        <w:t>2083008</w:t>
      </w:r>
      <w:bookmarkEnd w:id="0"/>
    </w:p>
    <w:p w:rsidRPr="00DB7060" w:rsidR="00E13C27" w:rsidP="00A443CF" w:rsidRDefault="00E13C27" w14:paraId="7F6961A2" w14:textId="53D639AE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name="LGS_Knesset_Num" w:id="1"/>
      <w:r>
        <w:rPr>
          <w:rFonts w:hint="cs"/>
          <w:sz w:val="28"/>
          <w:szCs w:val="28"/>
          <w:rtl/>
        </w:rPr>
        <w:t>העשרים ושתיים</w:t>
      </w:r>
      <w:bookmarkEnd w:id="1"/>
    </w:p>
    <w:p w:rsidRPr="00F67051" w:rsidR="00E13C27" w:rsidP="00E13C27" w:rsidRDefault="00E13C27" w14:paraId="7F6961A3" w14:textId="77777777">
      <w:pPr>
        <w:rPr>
          <w:b/>
          <w:bCs/>
          <w:sz w:val="26"/>
          <w:szCs w:val="26"/>
          <w:rtl/>
        </w:rPr>
      </w:pPr>
    </w:p>
    <w:p w:rsidRPr="00CF1AA2" w:rsidR="00E13C27" w:rsidP="001439DB" w:rsidRDefault="008F6665" w14:paraId="7F6961AA" w14:textId="227E9BDC">
      <w:pPr>
        <w:pStyle w:val="David"/>
        <w:ind w:left="3544"/>
        <w:rPr>
          <w:b/>
          <w:bCs/>
          <w:sz w:val="16"/>
          <w:szCs w:val="16"/>
          <w:rtl/>
        </w:rPr>
      </w:pPr>
      <w:bookmarkStart w:name="LGS_Initiators_List" w:id="2"/>
      <w:r>
        <w:rPr>
          <w:b/>
          <w:bCs/>
          <w:rtl/>
        </w:rPr>
        <w:t>יוזמים:      חברי הכנסת</w:t>
      </w:r>
      <w:bookmarkEnd w:id="2"/>
      <w:r w:rsidRPr="00F67051" w:rsidR="00B35784">
        <w:rPr>
          <w:b/>
          <w:bCs/>
        </w:rPr>
        <w:tab/>
      </w:r>
      <w:bookmarkStart w:name="LGS_PM_Names" w:id="3"/>
      <w:r>
        <w:rPr>
          <w:rFonts w:hint="cs"/>
          <w:b/>
          <w:bCs/>
          <w:rtl/>
        </w:rPr>
        <w:t>שלמה קרעי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חוה אתי עטייה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שרן מרים השכל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משה אבוטבול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מיכאל מלכיאלי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ינון אזולאי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אופיר כץ</w:t>
      </w:r>
      <w:bookmarkStart w:name="LGS_Join_List" w:id="4"/>
      <w:bookmarkEnd w:id="3"/>
      <w:r w:rsidR="007D585A">
        <w:rPr>
          <w:rtl/>
        </w:rPr>
        <w:t xml:space="preserve"> </w:t>
      </w:r>
      <w:bookmarkEnd w:id="4"/>
      <w:r w:rsidRPr="00CF1AA2" w:rsidR="002200A1">
        <w:rPr>
          <w:rFonts w:hint="cs"/>
          <w:rtl/>
        </w:rPr>
        <w:tab/>
      </w:r>
      <w:bookmarkStart w:name="LGS_PM_NamesJoin" w:id="5"/>
      <w:r w:rsidR="007D585A">
        <w:rPr>
          <w:rFonts w:hint="cs"/>
          <w:rtl/>
        </w:rPr>
        <w:t xml:space="preserve"> </w:t>
      </w:r>
      <w:bookmarkEnd w:id="5"/>
    </w:p>
    <w:p w:rsidRPr="00904591" w:rsidR="00904591" w:rsidP="0036422C" w:rsidRDefault="00266D86" w14:paraId="34DB4103" w14:textId="77777777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Pr="00E06736" w:rsidR="00E06736"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Pr="00E06736" w:rsidR="00E13C27">
        <w:rPr>
          <w:rFonts w:hint="cs"/>
          <w:rtl/>
        </w:rPr>
        <w:tab/>
      </w:r>
      <w:r w:rsidR="00904591">
        <w:t xml:space="preserve">           </w:t>
      </w:r>
    </w:p>
    <w:p w:rsidR="00E13C27" w:rsidP="001439DB" w:rsidRDefault="00904591" w14:paraId="7F6961AC" w14:textId="1DF21481">
      <w:pPr>
        <w:pStyle w:val="David"/>
        <w:spacing w:line="240" w:lineRule="auto"/>
        <w:ind w:left="6424" w:firstLine="56"/>
        <w:rPr>
          <w:rtl/>
        </w:rPr>
      </w:pPr>
      <w:bookmarkStart w:name="Private_Number" w:id="6"/>
      <w:r>
        <w:rPr>
          <w:rFonts w:hint="cs"/>
          <w:rtl/>
        </w:rPr>
        <w:t>פ/1185/22</w:t>
      </w:r>
      <w:bookmarkEnd w:id="6"/>
    </w:p>
    <w:p w:rsidR="00A60068" w:rsidP="00A60068" w:rsidRDefault="00A60068" w14:paraId="2CCD716B" w14:textId="77777777">
      <w:pPr>
        <w:pStyle w:val="HeadHatzaotHok"/>
        <w:rPr>
          <w:rtl/>
        </w:rPr>
      </w:pPr>
      <w:r>
        <w:rPr>
          <w:rFonts w:hint="cs"/>
          <w:rtl/>
        </w:rPr>
        <w:t xml:space="preserve">הצעת חוק הנוער (שפיטה, ענישה ודרכי טיפול) (תיקון מס' 22 </w:t>
      </w:r>
      <w:r>
        <w:rPr>
          <w:rFonts w:hint="eastAsia"/>
          <w:rtl/>
        </w:rPr>
        <w:t xml:space="preserve">– </w:t>
      </w:r>
      <w:r>
        <w:rPr>
          <w:rFonts w:hint="cs"/>
          <w:rtl/>
        </w:rPr>
        <w:t>הוראת שעה) (תיקון – ענישת קטין שהורשע בנסיבות טרור כהוראת קבע), התש"ף–2019</w:t>
      </w: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2C110D" w:rsidTr="00D62029" w14:paraId="79FCBE30" w14:textId="77777777">
        <w:trPr>
          <w:cantSplit/>
        </w:trPr>
        <w:tc>
          <w:tcPr>
            <w:tcW w:w="1871" w:type="dxa"/>
          </w:tcPr>
          <w:p w:rsidR="002C110D" w:rsidRDefault="002C110D" w14:paraId="409F8B4A" w14:textId="77777777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שם החוק</w:t>
            </w:r>
          </w:p>
        </w:tc>
        <w:tc>
          <w:tcPr>
            <w:tcW w:w="624" w:type="dxa"/>
          </w:tcPr>
          <w:p w:rsidR="002C110D" w:rsidP="002C110D" w:rsidRDefault="002C110D" w14:paraId="43AF726B" w14:textId="77777777">
            <w:pPr>
              <w:pStyle w:val="TableText"/>
              <w:keepLines w:val="0"/>
              <w:numPr>
                <w:ilvl w:val="0"/>
                <w:numId w:val="16"/>
              </w:numPr>
              <w:rPr>
                <w:rtl/>
              </w:rPr>
            </w:pPr>
          </w:p>
        </w:tc>
        <w:tc>
          <w:tcPr>
            <w:tcW w:w="7143" w:type="dxa"/>
          </w:tcPr>
          <w:p w:rsidR="002C110D" w:rsidP="00765674" w:rsidRDefault="002C110D" w14:paraId="3CC55939" w14:textId="61BAD9D4">
            <w:pPr>
              <w:pStyle w:val="TableBlock"/>
            </w:pPr>
            <w:r>
              <w:rPr>
                <w:rFonts w:hint="cs"/>
                <w:rtl/>
              </w:rPr>
              <w:t>בחוק הנוער (שפיטה, ענישה ודרכי טיפול) (תיקון מס' 22 – הוראת שעה), התשע"ו–2016</w:t>
            </w:r>
            <w:r w:rsidRPr="00D62029">
              <w:rPr>
                <w:rStyle w:val="a6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hint="cs"/>
                <w:rtl/>
              </w:rPr>
              <w:t xml:space="preserve"> (להלן</w:t>
            </w:r>
            <w:r w:rsidR="00765674">
              <w:rPr>
                <w:rFonts w:hint="cs"/>
                <w:rtl/>
              </w:rPr>
              <w:t xml:space="preserve"> </w:t>
            </w:r>
            <w:r w:rsidR="00765674"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החוק</w:t>
            </w:r>
            <w:r w:rsidR="00D62029">
              <w:rPr>
                <w:rFonts w:hint="cs"/>
                <w:rtl/>
              </w:rPr>
              <w:t xml:space="preserve"> העיקרי</w:t>
            </w:r>
            <w:r>
              <w:rPr>
                <w:rFonts w:hint="cs"/>
                <w:rtl/>
              </w:rPr>
              <w:t>), בשם החוק, המילים "הוראת שעה"</w:t>
            </w:r>
            <w:r w:rsidR="009A5664">
              <w:rPr>
                <w:rFonts w:hint="cs"/>
                <w:rtl/>
              </w:rPr>
              <w:t xml:space="preserve"> </w:t>
            </w:r>
            <w:r w:rsidR="009A5664">
              <w:rPr>
                <w:rFonts w:hint="eastAsia"/>
                <w:rtl/>
              </w:rPr>
              <w:t>–</w:t>
            </w:r>
            <w:r w:rsidR="009A5664">
              <w:rPr>
                <w:rFonts w:hint="cs"/>
                <w:rtl/>
              </w:rPr>
              <w:t xml:space="preserve"> יימחקו.</w:t>
            </w:r>
          </w:p>
        </w:tc>
      </w:tr>
      <w:tr w:rsidR="002C110D" w:rsidTr="00D62029" w14:paraId="18C626BF" w14:textId="77777777">
        <w:trPr>
          <w:cantSplit/>
        </w:trPr>
        <w:tc>
          <w:tcPr>
            <w:tcW w:w="1871" w:type="dxa"/>
          </w:tcPr>
          <w:p w:rsidR="002C110D" w:rsidRDefault="002C110D" w14:paraId="70193983" w14:textId="77777777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תיקון סעיף 1</w:t>
            </w:r>
          </w:p>
        </w:tc>
        <w:tc>
          <w:tcPr>
            <w:tcW w:w="624" w:type="dxa"/>
          </w:tcPr>
          <w:p w:rsidR="002C110D" w:rsidP="002C110D" w:rsidRDefault="002C110D" w14:paraId="12C03D05" w14:textId="77777777">
            <w:pPr>
              <w:pStyle w:val="TableText"/>
              <w:keepLines w:val="0"/>
              <w:tabs>
                <w:tab w:val="num" w:pos="0"/>
              </w:tabs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3" w:type="dxa"/>
          </w:tcPr>
          <w:p w:rsidR="002C110D" w:rsidP="00D62029" w:rsidRDefault="00D62029" w14:paraId="73F1A7FA" w14:textId="56BC9AB2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בסעיף 1 לחוק העיקרי, במקום הרישה עד המילים "כך שבסעיף 25</w:t>
            </w:r>
            <w:r w:rsidR="002C110D">
              <w:rPr>
                <w:rFonts w:hint="cs"/>
                <w:rtl/>
              </w:rPr>
              <w:t>" יבוא "בחוק הנוער (שפיטה, ענישה ודרכי טיפול), התשל"א–1971</w:t>
            </w:r>
            <w:r w:rsidRPr="00D62029" w:rsidR="002C110D">
              <w:rPr>
                <w:rStyle w:val="a6"/>
                <w:rFonts w:ascii="David" w:hAnsi="David"/>
                <w:sz w:val="26"/>
                <w:rtl/>
              </w:rPr>
              <w:footnoteReference w:id="3"/>
            </w:r>
            <w:r w:rsidR="002C110D">
              <w:rPr>
                <w:rFonts w:hint="cs"/>
                <w:rtl/>
              </w:rPr>
              <w:t>, בסעיף 25".</w:t>
            </w:r>
          </w:p>
        </w:tc>
      </w:tr>
      <w:tr w:rsidR="002C110D" w:rsidTr="00D62029" w14:paraId="0DB42040" w14:textId="77777777">
        <w:trPr>
          <w:cantSplit/>
        </w:trPr>
        <w:tc>
          <w:tcPr>
            <w:tcW w:w="1871" w:type="dxa"/>
          </w:tcPr>
          <w:p w:rsidR="002C110D" w:rsidRDefault="002C110D" w14:paraId="04C929DC" w14:textId="77777777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תיקון סעיף 2</w:t>
            </w:r>
          </w:p>
        </w:tc>
        <w:tc>
          <w:tcPr>
            <w:tcW w:w="624" w:type="dxa"/>
          </w:tcPr>
          <w:p w:rsidR="002C110D" w:rsidP="002C110D" w:rsidRDefault="002C110D" w14:paraId="34578070" w14:textId="77777777">
            <w:pPr>
              <w:pStyle w:val="TableText"/>
              <w:keepLines w:val="0"/>
              <w:tabs>
                <w:tab w:val="num" w:pos="0"/>
              </w:tabs>
              <w:rPr>
                <w:rtl/>
              </w:rPr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3" w:type="dxa"/>
          </w:tcPr>
          <w:p w:rsidR="002C110D" w:rsidP="00D62029" w:rsidRDefault="00D62029" w14:paraId="1BE72647" w14:textId="1C8789D0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בסעיף 2 לחוק העיקרי, במקום הרישה</w:t>
            </w:r>
            <w:r w:rsidR="002C110D">
              <w:rPr>
                <w:rFonts w:hint="cs"/>
                <w:rtl/>
              </w:rPr>
              <w:t xml:space="preserve"> עד המילים "אחרי פסקת משנה (ג) יקראו" יבוא "בחוק הסנגוריה הציבורית, התשנ"ו–1995</w:t>
            </w:r>
            <w:r w:rsidRPr="00D62029" w:rsidR="002C110D">
              <w:rPr>
                <w:rStyle w:val="a6"/>
                <w:rFonts w:ascii="David" w:hAnsi="David"/>
                <w:sz w:val="26"/>
                <w:rtl/>
              </w:rPr>
              <w:footnoteReference w:id="4"/>
            </w:r>
            <w:r w:rsidR="002C110D">
              <w:rPr>
                <w:rFonts w:hint="cs"/>
                <w:rtl/>
              </w:rPr>
              <w:t>, בסעיף 18(א)(8), אחרי פסקת משנה (ג) יבוא:".</w:t>
            </w:r>
          </w:p>
        </w:tc>
      </w:tr>
    </w:tbl>
    <w:p w:rsidR="00143858" w:rsidP="00143858" w:rsidRDefault="00143858" w14:paraId="21E40902" w14:textId="77777777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:rsidR="00143858" w:rsidP="00143858" w:rsidRDefault="00143858" w14:paraId="443A48B9" w14:textId="77777777">
      <w:pPr>
        <w:pStyle w:val="Hesber"/>
        <w:rPr>
          <w:sz w:val="26"/>
          <w:rtl/>
        </w:rPr>
      </w:pPr>
      <w:r>
        <w:rPr>
          <w:rFonts w:hint="cs"/>
          <w:sz w:val="26"/>
          <w:rtl/>
        </w:rPr>
        <w:t>בשנים האחרונות אנו עדים להתגברותה של תופעה מסוכנת וחמורה</w:t>
      </w:r>
      <w:r w:rsidRPr="002B1B07">
        <w:rPr>
          <w:sz w:val="26"/>
          <w:rtl/>
        </w:rPr>
        <w:t xml:space="preserve"> </w:t>
      </w:r>
      <w:r>
        <w:rPr>
          <w:rFonts w:hint="cs"/>
          <w:sz w:val="26"/>
          <w:rtl/>
        </w:rPr>
        <w:t xml:space="preserve">בה קטינים בגילאים 12-14 לוקחים חלק פעיל בביצוע פיגועי טרור נגד אזרחים ישראלים וכוחות הביטחון, בלי שקיימת היכולת להשית עליהם עונש מאסר. </w:t>
      </w:r>
    </w:p>
    <w:p w:rsidR="00E13C27" w:rsidP="002C110D" w:rsidRDefault="00143858" w14:paraId="7F6961CB" w14:textId="3FA39F27">
      <w:pPr>
        <w:pStyle w:val="Hesber"/>
        <w:rPr>
          <w:sz w:val="26"/>
          <w:rtl/>
        </w:rPr>
      </w:pPr>
      <w:r>
        <w:rPr>
          <w:rFonts w:hint="cs"/>
          <w:sz w:val="26"/>
          <w:rtl/>
        </w:rPr>
        <w:t>חוק הנוער (שפיטה, ענישה ודרכי טיפול), התשל"א</w:t>
      </w:r>
      <w:r>
        <w:rPr>
          <w:sz w:val="26"/>
          <w:rtl/>
        </w:rPr>
        <w:t>–</w:t>
      </w:r>
      <w:r>
        <w:rPr>
          <w:rFonts w:hint="cs"/>
          <w:sz w:val="26"/>
          <w:rtl/>
        </w:rPr>
        <w:t xml:space="preserve">1971, קובע כי לא ניתן </w:t>
      </w:r>
      <w:r w:rsidRPr="00B62E07">
        <w:rPr>
          <w:sz w:val="26"/>
          <w:rtl/>
        </w:rPr>
        <w:t xml:space="preserve">להטיל עונש מאסר על קטין </w:t>
      </w:r>
      <w:r w:rsidRPr="0098641A">
        <w:rPr>
          <w:rFonts w:hint="cs"/>
          <w:rtl/>
        </w:rPr>
        <w:t>שבשעת גזירת דינו טרם מלאו לו ארבע עשרה ש</w:t>
      </w:r>
      <w:r w:rsidRPr="0098641A">
        <w:rPr>
          <w:rtl/>
        </w:rPr>
        <w:t>נ</w:t>
      </w:r>
      <w:r w:rsidRPr="0098641A">
        <w:rPr>
          <w:rFonts w:hint="cs"/>
          <w:rtl/>
        </w:rPr>
        <w:t>ה</w:t>
      </w:r>
      <w:r>
        <w:rPr>
          <w:rFonts w:hint="cs"/>
          <w:sz w:val="26"/>
          <w:rtl/>
        </w:rPr>
        <w:t xml:space="preserve">. </w:t>
      </w:r>
      <w:r w:rsidR="00A60068">
        <w:rPr>
          <w:rFonts w:hint="cs"/>
          <w:rtl/>
        </w:rPr>
        <w:t xml:space="preserve">חוק הנוער (שפיטה, ענישה ודרכי טיפול) (תיקון מס' 22 </w:t>
      </w:r>
      <w:r w:rsidR="00A60068">
        <w:rPr>
          <w:rFonts w:hint="eastAsia"/>
          <w:rtl/>
        </w:rPr>
        <w:t xml:space="preserve">– </w:t>
      </w:r>
      <w:r w:rsidR="00A60068">
        <w:rPr>
          <w:rFonts w:hint="cs"/>
          <w:rtl/>
        </w:rPr>
        <w:t>הוראת שעה), התשע"ו</w:t>
      </w:r>
      <w:r w:rsidR="00A60068">
        <w:rPr>
          <w:rtl/>
        </w:rPr>
        <w:t>–</w:t>
      </w:r>
      <w:r w:rsidR="00A60068">
        <w:rPr>
          <w:rFonts w:hint="cs"/>
          <w:rtl/>
        </w:rPr>
        <w:t>2016</w:t>
      </w:r>
      <w:r w:rsidR="00A60068">
        <w:rPr>
          <w:rFonts w:hint="cs"/>
          <w:sz w:val="26"/>
          <w:rtl/>
        </w:rPr>
        <w:t xml:space="preserve"> ביטל, למשך תקופת ניסיון, את תחולתה של הגבלה זו על קטין </w:t>
      </w:r>
      <w:r w:rsidR="00A60068">
        <w:rPr>
          <w:rFonts w:hint="cs"/>
          <w:sz w:val="26"/>
          <w:rtl/>
        </w:rPr>
        <w:lastRenderedPageBreak/>
        <w:t xml:space="preserve">שהורשע בנסיבות טרור כך שבית המשפט יוכל להטיל עליו עונש מאסר אם מצא לנכון לעשות כן. הצעת חוק זו מבקשת להפוך הסדר זה להוראת קבע. </w:t>
      </w:r>
      <w:r w:rsidRPr="00B62E07">
        <w:rPr>
          <w:sz w:val="26"/>
          <w:rtl/>
        </w:rPr>
        <w:t xml:space="preserve">החוק המוצע יעניק לבית המשפט את הסמכות להשית עונש מאסר </w:t>
      </w:r>
      <w:r>
        <w:rPr>
          <w:rFonts w:hint="cs"/>
          <w:sz w:val="26"/>
          <w:rtl/>
        </w:rPr>
        <w:t xml:space="preserve">גם על קטינים </w:t>
      </w:r>
      <w:r w:rsidRPr="00B62E07">
        <w:rPr>
          <w:sz w:val="26"/>
          <w:rtl/>
        </w:rPr>
        <w:t>מתחת לגיל</w:t>
      </w:r>
      <w:r>
        <w:rPr>
          <w:sz w:val="26"/>
          <w:rtl/>
        </w:rPr>
        <w:t xml:space="preserve"> זה</w:t>
      </w:r>
      <w:r>
        <w:rPr>
          <w:rFonts w:hint="cs"/>
          <w:sz w:val="26"/>
          <w:rtl/>
        </w:rPr>
        <w:t>,</w:t>
      </w:r>
      <w:r>
        <w:rPr>
          <w:sz w:val="26"/>
          <w:rtl/>
        </w:rPr>
        <w:t xml:space="preserve"> שב</w:t>
      </w:r>
      <w:r>
        <w:rPr>
          <w:rFonts w:hint="cs"/>
          <w:sz w:val="26"/>
          <w:rtl/>
        </w:rPr>
        <w:t>י</w:t>
      </w:r>
      <w:r>
        <w:rPr>
          <w:sz w:val="26"/>
          <w:rtl/>
        </w:rPr>
        <w:t>צ</w:t>
      </w:r>
      <w:r>
        <w:rPr>
          <w:rFonts w:hint="cs"/>
          <w:sz w:val="26"/>
          <w:rtl/>
        </w:rPr>
        <w:t>עו עבירות</w:t>
      </w:r>
      <w:r>
        <w:rPr>
          <w:sz w:val="26"/>
          <w:rtl/>
        </w:rPr>
        <w:t xml:space="preserve"> בנסיבות של טרור</w:t>
      </w:r>
      <w:r>
        <w:rPr>
          <w:rFonts w:hint="cs"/>
          <w:sz w:val="26"/>
          <w:rtl/>
        </w:rPr>
        <w:t>. מטרת החוק המוצע היא לתרום ליצירת הרתעה יעילה כנגד המפגעים הצעירים ושולחיהם ולהגביר את תחושת האחריות והפיקוח של הורים על ילדיהם. זאת על מנת למגר את התו</w:t>
      </w:r>
      <w:r w:rsidR="0002655A">
        <w:rPr>
          <w:rFonts w:hint="cs"/>
          <w:sz w:val="26"/>
          <w:rtl/>
        </w:rPr>
        <w:t>פעה מן השורש עוד כשהיא בראשיתה.</w:t>
      </w:r>
    </w:p>
    <w:p w:rsidR="00765674" w:rsidP="002C110D" w:rsidRDefault="00765674" w14:paraId="584379C6" w14:textId="77777777">
      <w:pPr>
        <w:pStyle w:val="Hesber"/>
        <w:rPr>
          <w:sz w:val="26"/>
          <w:rtl/>
        </w:rPr>
      </w:pPr>
    </w:p>
    <w:p w:rsidRPr="00D73212" w:rsidR="00765674" w:rsidP="00765674" w:rsidRDefault="00765674" w14:paraId="2E72E030" w14:textId="77777777">
      <w:pPr>
        <w:pStyle w:val="Hesber"/>
        <w:ind w:firstLine="0"/>
        <w:rPr>
          <w:rtl/>
        </w:rPr>
      </w:pPr>
      <w:r w:rsidRPr="00D73212">
        <w:rPr>
          <w:rtl/>
        </w:rPr>
        <w:t>---------------------------------</w:t>
      </w:r>
    </w:p>
    <w:p w:rsidRPr="00D73212" w:rsidR="00765674" w:rsidP="00765674" w:rsidRDefault="00765674" w14:paraId="080F56E6" w14:textId="77777777">
      <w:pPr>
        <w:pStyle w:val="Hesber"/>
        <w:ind w:firstLine="0"/>
        <w:rPr>
          <w:rtl/>
        </w:rPr>
      </w:pPr>
      <w:r w:rsidRPr="00D73212">
        <w:rPr>
          <w:rFonts w:hint="cs"/>
          <w:rtl/>
        </w:rPr>
        <w:t>הוגשה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ליו</w:t>
      </w:r>
      <w:r w:rsidRPr="00D73212">
        <w:rPr>
          <w:rtl/>
        </w:rPr>
        <w:t>"</w:t>
      </w:r>
      <w:r w:rsidRPr="00D73212">
        <w:rPr>
          <w:rFonts w:hint="cs"/>
          <w:rtl/>
        </w:rPr>
        <w:t>ר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והסגנים</w:t>
      </w:r>
    </w:p>
    <w:p w:rsidRPr="00D73212" w:rsidR="00765674" w:rsidP="00765674" w:rsidRDefault="00765674" w14:paraId="4F8577A4" w14:textId="77777777">
      <w:pPr>
        <w:pStyle w:val="Hesber"/>
        <w:ind w:firstLine="0"/>
        <w:rPr>
          <w:rtl/>
        </w:rPr>
      </w:pPr>
      <w:r w:rsidRPr="00D73212">
        <w:rPr>
          <w:rFonts w:hint="cs"/>
          <w:rtl/>
        </w:rPr>
        <w:t>והונחה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על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שולחן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הכנסת</w:t>
      </w:r>
      <w:r w:rsidRPr="00D73212">
        <w:rPr>
          <w:rtl/>
        </w:rPr>
        <w:t xml:space="preserve"> </w:t>
      </w:r>
      <w:r w:rsidRPr="00D73212">
        <w:rPr>
          <w:rFonts w:hint="cs"/>
          <w:rtl/>
        </w:rPr>
        <w:t>ביום</w:t>
      </w:r>
    </w:p>
    <w:p w:rsidRPr="0002655A" w:rsidR="00765674" w:rsidP="00765674" w:rsidRDefault="00765674" w14:paraId="2FA38004" w14:textId="48B994D6">
      <w:pPr>
        <w:pStyle w:val="Hesber"/>
        <w:ind w:firstLine="0"/>
        <w:rPr>
          <w:sz w:val="26"/>
          <w:rtl/>
        </w:rPr>
      </w:pPr>
      <w:r>
        <w:rPr>
          <w:rFonts w:hint="cs"/>
          <w:rtl/>
        </w:rPr>
        <w:t xml:space="preserve">ד' בכסלו </w:t>
      </w:r>
      <w:r w:rsidRPr="00D73212">
        <w:rPr>
          <w:rFonts w:hint="cs"/>
          <w:rtl/>
        </w:rPr>
        <w:t>התש</w:t>
      </w:r>
      <w:r>
        <w:rPr>
          <w:rFonts w:hint="cs"/>
          <w:rtl/>
        </w:rPr>
        <w:t xml:space="preserve">"ף </w:t>
      </w:r>
      <w:r w:rsidRPr="00D73212">
        <w:rPr>
          <w:rtl/>
        </w:rPr>
        <w:t>–</w:t>
      </w:r>
      <w:r>
        <w:rPr>
          <w:rFonts w:hint="cs"/>
          <w:rtl/>
        </w:rPr>
        <w:t xml:space="preserve"> 2.12</w:t>
      </w:r>
      <w:r w:rsidRPr="00D73212">
        <w:rPr>
          <w:rtl/>
        </w:rPr>
        <w:t>.</w:t>
      </w:r>
      <w:r>
        <w:rPr>
          <w:rFonts w:hint="cs"/>
          <w:rtl/>
        </w:rPr>
        <w:t>19</w:t>
      </w:r>
      <w:bookmarkStart w:name="_GoBack" w:id="7"/>
      <w:bookmarkEnd w:id="7"/>
    </w:p>
    <w:sectPr w:rsidRPr="0002655A" w:rsidR="00765674" w:rsidSect="00D62029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765674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D62029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52460267" w14:textId="77777777" w:rsidR="002C110D" w:rsidRDefault="002C110D" w:rsidP="002C110D">
      <w:pPr>
        <w:pStyle w:val="a4"/>
        <w:rPr>
          <w:rtl/>
        </w:rPr>
      </w:pPr>
      <w:r>
        <w:rPr>
          <w:rStyle w:val="a6"/>
        </w:rPr>
        <w:footnoteRef/>
      </w:r>
      <w:r>
        <w:rPr>
          <w:rFonts w:hint="cs"/>
          <w:rtl/>
        </w:rPr>
        <w:t xml:space="preserve"> ס"ח התשע"ו, עמ' 1188.</w:t>
      </w:r>
    </w:p>
  </w:footnote>
  <w:footnote w:id="3">
    <w:p w14:paraId="62D70A60" w14:textId="77777777" w:rsidR="002C110D" w:rsidRDefault="002C110D" w:rsidP="002C110D">
      <w:pPr>
        <w:pStyle w:val="a4"/>
        <w:rPr>
          <w:rtl/>
        </w:rPr>
      </w:pPr>
      <w:r>
        <w:rPr>
          <w:rStyle w:val="a6"/>
        </w:rPr>
        <w:footnoteRef/>
      </w:r>
      <w:r>
        <w:rPr>
          <w:rFonts w:hint="cs"/>
          <w:rtl/>
        </w:rPr>
        <w:t xml:space="preserve"> ס"ח התשל"א, עמ' 134.</w:t>
      </w:r>
    </w:p>
  </w:footnote>
  <w:footnote w:id="4">
    <w:p w14:paraId="6EB5E05C" w14:textId="77777777" w:rsidR="002C110D" w:rsidRDefault="002C110D" w:rsidP="002C110D">
      <w:pPr>
        <w:pStyle w:val="a4"/>
        <w:rPr>
          <w:rtl/>
        </w:rPr>
      </w:pPr>
      <w:r>
        <w:rPr>
          <w:rStyle w:val="a6"/>
        </w:rPr>
        <w:footnoteRef/>
      </w:r>
      <w:r>
        <w:rPr>
          <w:rFonts w:hint="cs"/>
          <w:rtl/>
        </w:rPr>
        <w:t xml:space="preserve"> ס"ח התשנ"ו, עמ' 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F0738FF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6"/>
  </w:num>
  <w:num w:numId="13">
    <w:abstractNumId w:val="11"/>
  </w:num>
  <w:num w:numId="14">
    <w:abstractNumId w:val="17"/>
  </w:num>
  <w:num w:numId="15">
    <w:abstractNumId w:val="15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3"/>
    <w:lvlOverride w:ilvl="0">
      <w:startOverride w:val="1"/>
    </w:lvlOverride>
  </w:num>
  <w:num w:numId="19">
    <w:abstractNumId w:val="1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2655A"/>
    <w:rsid w:val="0004660C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43858"/>
    <w:rsid w:val="001439DB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110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D4DE0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A4B8B"/>
    <w:rsid w:val="006C1D0D"/>
    <w:rsid w:val="006D1E31"/>
    <w:rsid w:val="0070601E"/>
    <w:rsid w:val="00712C72"/>
    <w:rsid w:val="00735FE9"/>
    <w:rsid w:val="00763CAA"/>
    <w:rsid w:val="00765674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53507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5664"/>
    <w:rsid w:val="009A7257"/>
    <w:rsid w:val="009D6E0A"/>
    <w:rsid w:val="009E1E33"/>
    <w:rsid w:val="00A14672"/>
    <w:rsid w:val="00A26BD6"/>
    <w:rsid w:val="00A443CF"/>
    <w:rsid w:val="00A60068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D4D11"/>
    <w:rsid w:val="00CF1AA2"/>
    <w:rsid w:val="00D142D3"/>
    <w:rsid w:val="00D17774"/>
    <w:rsid w:val="00D62029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7BF643BE-66AC-4A6E-B5CB-66D858A9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29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2029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D62029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D62029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D62029"/>
    <w:pPr>
      <w:numPr>
        <w:numId w:val="20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62029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D62029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D62029"/>
    <w:rPr>
      <w:sz w:val="36"/>
      <w:szCs w:val="52"/>
    </w:rPr>
  </w:style>
  <w:style w:type="paragraph" w:customStyle="1" w:styleId="Cover3-Haknesset">
    <w:name w:val="Cover 3-Haknesset"/>
    <w:basedOn w:val="Cover1-Reshumot"/>
    <w:rsid w:val="00D62029"/>
    <w:rPr>
      <w:b/>
      <w:bCs/>
      <w:spacing w:val="60"/>
    </w:rPr>
  </w:style>
  <w:style w:type="paragraph" w:customStyle="1" w:styleId="Cover4-Date">
    <w:name w:val="Cover 4-Date"/>
    <w:basedOn w:val="a"/>
    <w:rsid w:val="00D62029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D62029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D62029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D62029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D62029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D62029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D62029"/>
    <w:pPr>
      <w:outlineLvl w:val="2"/>
    </w:pPr>
  </w:style>
  <w:style w:type="paragraph" w:customStyle="1" w:styleId="TableBlock">
    <w:name w:val="Table Block"/>
    <w:basedOn w:val="TableText"/>
    <w:rsid w:val="00D62029"/>
    <w:pPr>
      <w:jc w:val="both"/>
    </w:pPr>
  </w:style>
  <w:style w:type="paragraph" w:customStyle="1" w:styleId="TableHead">
    <w:name w:val="Table Head"/>
    <w:basedOn w:val="TableText"/>
    <w:rsid w:val="00D62029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D62029"/>
    <w:pPr>
      <w:outlineLvl w:val="9"/>
    </w:pPr>
  </w:style>
  <w:style w:type="paragraph" w:customStyle="1" w:styleId="Hesber">
    <w:name w:val="Hesber"/>
    <w:basedOn w:val="a"/>
    <w:rsid w:val="00D62029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D62029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D62029"/>
    <w:rPr>
      <w:vertAlign w:val="superscript"/>
    </w:rPr>
  </w:style>
  <w:style w:type="paragraph" w:customStyle="1" w:styleId="HesberHeading">
    <w:name w:val="Hesber Heading"/>
    <w:basedOn w:val="Hesber"/>
    <w:rsid w:val="00D62029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D62029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D62029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D62029"/>
    <w:rPr>
      <w:vertAlign w:val="superscript"/>
    </w:rPr>
  </w:style>
  <w:style w:type="paragraph" w:customStyle="1" w:styleId="TableBlockOutdent">
    <w:name w:val="Table BlockOutdent"/>
    <w:basedOn w:val="TableBlock"/>
    <w:rsid w:val="00D62029"/>
    <w:pPr>
      <w:ind w:left="624" w:hanging="624"/>
    </w:pPr>
  </w:style>
  <w:style w:type="paragraph" w:styleId="a8">
    <w:name w:val="header"/>
    <w:basedOn w:val="a"/>
    <w:rsid w:val="00D62029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D62029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D62029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D62029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D62029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link w:val="a4"/>
    <w:semiHidden/>
    <w:locked/>
    <w:rsid w:val="00143858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D62029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D62029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D62029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D62029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D62029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D62029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D62029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D62029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D62029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D62029"/>
    <w:pPr>
      <w:numPr>
        <w:numId w:val="23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D62029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D62029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D62029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D62029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D62029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D62029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D62029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D62029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D62029"/>
    <w:rPr>
      <w:rFonts w:eastAsia="Times New Roman"/>
    </w:rPr>
  </w:style>
  <w:style w:type="paragraph" w:styleId="af">
    <w:name w:val="List Paragraph"/>
    <w:basedOn w:val="a"/>
    <w:uiPriority w:val="34"/>
    <w:qFormat/>
    <w:rsid w:val="00D62029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D62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D620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D6202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D62029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D62029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6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A50981437779E428456932B2A638612" ma:contentTypeVersion="" ma:contentTypeDescription="צור מסמך חדש." ma:contentTypeScope="" ma:versionID="2df30a1b375d11bf545563b3a08682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D0965-FF28-473D-B365-3E7416A9E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07D00F-7F5F-4FF2-ADB2-C57E30DF8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דניאלה ווייס עמר</cp:lastModifiedBy>
  <cp:revision>14</cp:revision>
  <cp:lastPrinted>2019-11-28T08:14:00Z</cp:lastPrinted>
  <dcterms:created xsi:type="dcterms:W3CDTF">2015-04-20T09:58:00Z</dcterms:created>
  <dcterms:modified xsi:type="dcterms:W3CDTF">2019-11-28T08:30:00Z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0x0101003A50981437779E428456932B2A638612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2083008</vt:r8>
  </property>
</Properties>
</file>