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2083007</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ושתיים</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שלמה קרעי</w:t>
      </w:r>
      <w:r>
        <w:br/>
      </w:r>
      <w:r>
        <w:rPr>
          <w:rFonts w:hint="cs"/>
          <w:b/>
          <w:bCs/>
          <w:rtl/>
        </w:rPr>
        <w:t xml:space="preserve"> </w:t>
      </w:r>
      <w:r>
        <w:tab/>
      </w:r>
      <w:r>
        <w:tab/>
      </w:r>
      <w:r>
        <w:tab/>
      </w:r>
      <w:r>
        <w:tab/>
      </w:r>
      <w:r>
        <w:rPr>
          <w:rFonts w:hint="cs"/>
          <w:b/>
          <w:bCs/>
          <w:rtl/>
        </w:rPr>
        <w:t>חוה אתי עטייה</w:t>
      </w:r>
      <w:r>
        <w:br/>
      </w:r>
      <w:r>
        <w:rPr>
          <w:rFonts w:hint="cs"/>
          <w:b/>
          <w:bCs/>
          <w:rtl/>
        </w:rPr>
        <w:t xml:space="preserve"> </w:t>
      </w:r>
      <w:r>
        <w:tab/>
      </w:r>
      <w:r>
        <w:tab/>
      </w:r>
      <w:r>
        <w:tab/>
      </w:r>
      <w:r>
        <w:tab/>
      </w:r>
      <w:r>
        <w:rPr>
          <w:rFonts w:hint="cs"/>
          <w:b/>
          <w:bCs/>
          <w:rtl/>
        </w:rPr>
        <w:t>שרן מרים השכל</w:t>
      </w:r>
      <w:r>
        <w:br/>
      </w:r>
      <w:r>
        <w:rPr>
          <w:rFonts w:hint="cs"/>
          <w:b/>
          <w:bCs/>
          <w:rtl/>
        </w:rPr>
        <w:t xml:space="preserve"> </w:t>
      </w:r>
      <w:r>
        <w:tab/>
      </w:r>
      <w:r>
        <w:tab/>
      </w:r>
      <w:r>
        <w:tab/>
      </w:r>
      <w:r>
        <w:tab/>
      </w:r>
      <w:r>
        <w:rPr>
          <w:rFonts w:hint="cs"/>
          <w:b/>
          <w:bCs/>
          <w:rtl/>
        </w:rPr>
        <w:t>מתן כהנא</w:t>
      </w:r>
      <w:r>
        <w:br/>
      </w:r>
      <w:r>
        <w:rPr>
          <w:rFonts w:hint="cs"/>
          <w:b/>
          <w:bCs/>
          <w:rtl/>
        </w:rPr>
        <w:t xml:space="preserve"> </w:t>
      </w:r>
      <w:r>
        <w:tab/>
      </w:r>
      <w:r>
        <w:tab/>
      </w:r>
      <w:r>
        <w:tab/>
      </w:r>
      <w:r>
        <w:tab/>
      </w:r>
      <w:r>
        <w:rPr>
          <w:rFonts w:hint="cs"/>
          <w:b/>
          <w:bCs/>
          <w:rtl/>
        </w:rPr>
        <w:t>משה אבוטבול</w:t>
      </w:r>
      <w:r>
        <w:br/>
      </w:r>
      <w:r>
        <w:rPr>
          <w:rFonts w:hint="cs"/>
          <w:b/>
          <w:bCs/>
          <w:rtl/>
        </w:rPr>
        <w:t xml:space="preserve"> </w:t>
      </w:r>
      <w:r>
        <w:tab/>
      </w:r>
      <w:r>
        <w:tab/>
      </w:r>
      <w:r>
        <w:tab/>
      </w:r>
      <w:r>
        <w:tab/>
      </w:r>
      <w:r>
        <w:rPr>
          <w:rFonts w:hint="cs"/>
          <w:b/>
          <w:bCs/>
          <w:rtl/>
        </w:rPr>
        <w:t>קרן ברק</w:t>
      </w:r>
      <w:r>
        <w:br/>
      </w:r>
      <w:r>
        <w:rPr>
          <w:rFonts w:hint="cs"/>
          <w:b/>
          <w:bCs/>
          <w:rtl/>
        </w:rPr>
        <w:t xml:space="preserve"> </w:t>
      </w:r>
      <w:r>
        <w:tab/>
      </w:r>
      <w:r>
        <w:tab/>
      </w:r>
      <w:r>
        <w:tab/>
      </w:r>
      <w:r>
        <w:tab/>
      </w:r>
      <w:r>
        <w:rPr>
          <w:rFonts w:hint="cs"/>
          <w:b/>
          <w:bCs/>
          <w:rtl/>
        </w:rPr>
        <w:t>מיכאל מלכיאלי</w:t>
      </w:r>
      <w:r>
        <w:br/>
      </w:r>
      <w:r>
        <w:rPr>
          <w:rFonts w:hint="cs"/>
          <w:b/>
          <w:bCs/>
          <w:rtl/>
        </w:rPr>
        <w:t xml:space="preserve"> </w:t>
      </w:r>
      <w:r>
        <w:tab/>
      </w:r>
      <w:r>
        <w:tab/>
      </w:r>
      <w:r>
        <w:tab/>
      </w:r>
      <w:r>
        <w:tab/>
      </w:r>
      <w:r>
        <w:rPr>
          <w:rFonts w:hint="cs"/>
          <w:b/>
          <w:bCs/>
          <w:rtl/>
        </w:rPr>
        <w:t>ינון אזולאי</w:t>
      </w:r>
      <w:r>
        <w:br/>
      </w:r>
      <w:r>
        <w:rPr>
          <w:rFonts w:hint="cs"/>
          <w:b/>
          <w:bCs/>
          <w:rtl/>
        </w:rPr>
        <w:t xml:space="preserve"> </w:t>
      </w:r>
      <w:r>
        <w:tab/>
      </w:r>
      <w:r>
        <w:tab/>
      </w:r>
      <w:r>
        <w:tab/>
      </w:r>
      <w:r>
        <w:tab/>
      </w:r>
      <w:r>
        <w:rPr>
          <w:rFonts w:hint="cs"/>
          <w:b/>
          <w:bCs/>
          <w:rtl/>
        </w:rPr>
        <w:t>אופיר כץ</w:t>
      </w:r>
      <w:r>
        <w:br/>
      </w:r>
      <w:r>
        <w:rPr>
          <w:rFonts w:hint="cs"/>
          <w:b/>
          <w:bCs/>
          <w:rtl/>
        </w:rPr>
        <w:t xml:space="preserve"> </w:t>
      </w:r>
      <w:r>
        <w:tab/>
      </w:r>
      <w:r>
        <w:tab/>
      </w:r>
      <w:r>
        <w:tab/>
      </w:r>
      <w:r>
        <w:tab/>
      </w:r>
      <w:r>
        <w:rPr>
          <w:rFonts w:hint="cs"/>
          <w:b/>
          <w:bCs/>
          <w:rtl/>
        </w:rPr>
        <w:t>אופיר סופר</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782495F8" w:rsidR="00E13C27" w:rsidRPr="00E06736" w:rsidRDefault="00904591" w:rsidP="00904591">
      <w:pPr>
        <w:pStyle w:val="David"/>
        <w:spacing w:line="240" w:lineRule="auto"/>
        <w:ind w:left="3544"/>
        <w:rPr>
          <w:rtl/>
        </w:rPr>
      </w:pPr>
      <w:r>
        <w:t xml:space="preserve">                                            </w:t>
      </w:r>
      <w:r w:rsidR="008F1308">
        <w:t xml:space="preserve"> </w:t>
      </w:r>
      <w:bookmarkStart w:id="6" w:name="Private_Number"/>
      <w:r w:rsidR="00F96CBD">
        <w:rPr>
          <w:rtl/>
        </w:rPr>
        <w:tab/>
      </w:r>
      <w:r>
        <w:rPr>
          <w:rFonts w:hint="cs"/>
          <w:rtl/>
        </w:rPr>
        <w:t>פ/1018/22</w:t>
      </w:r>
      <w:bookmarkEnd w:id="6"/>
    </w:p>
    <w:p w14:paraId="7F6961AC" w14:textId="77777777" w:rsidR="00E13C27" w:rsidRDefault="00E13C27" w:rsidP="00E13C27">
      <w:pPr>
        <w:ind w:left="2880" w:firstLine="720"/>
        <w:rPr>
          <w:sz w:val="26"/>
          <w:szCs w:val="26"/>
          <w:rtl/>
        </w:rPr>
      </w:pPr>
    </w:p>
    <w:p w14:paraId="7F6961AD" w14:textId="0E24767F" w:rsidR="00E13C27" w:rsidRPr="00F67051" w:rsidRDefault="00A443CF" w:rsidP="00F96CBD">
      <w:pPr>
        <w:pStyle w:val="HeadHatzaotHok"/>
        <w:rPr>
          <w:rtl/>
        </w:rPr>
      </w:pPr>
      <w:bookmarkStart w:id="7" w:name="LGS_Subject"/>
      <w:r>
        <w:rPr>
          <w:rFonts w:hint="cs"/>
          <w:rtl/>
        </w:rPr>
        <w:t>הצעת חוק מימון מפלגות (תיקון – שלילת מימון ממפלגה שקוראת להטלת חרם על מדינת ישראל), התש"ף</w:t>
      </w:r>
      <w:r w:rsidR="00F96CBD">
        <w:rPr>
          <w:rtl/>
        </w:rPr>
        <w:softHyphen/>
      </w:r>
      <w:r w:rsidR="00F96CBD">
        <w:rPr>
          <w:rFonts w:hint="cs"/>
          <w:rtl/>
        </w:rPr>
        <w:t>–</w:t>
      </w:r>
      <w:r>
        <w:rPr>
          <w:rFonts w:hint="cs"/>
          <w:rtl/>
        </w:rPr>
        <w:t>2019</w:t>
      </w:r>
      <w:bookmarkEnd w:id="7"/>
    </w:p>
    <w:p w14:paraId="3D1A7E8A" w14:textId="77777777" w:rsidR="001251CC" w:rsidRPr="00F67051" w:rsidRDefault="001251CC" w:rsidP="001251CC">
      <w:pPr>
        <w:pStyle w:val="HeadHatzaotHok"/>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3"/>
        <w:gridCol w:w="624"/>
        <w:gridCol w:w="624"/>
        <w:gridCol w:w="624"/>
        <w:gridCol w:w="624"/>
        <w:gridCol w:w="4648"/>
      </w:tblGrid>
      <w:tr w:rsidR="001251CC" w14:paraId="303E7BB7" w14:textId="77777777" w:rsidTr="00D82987">
        <w:trPr>
          <w:cantSplit/>
        </w:trPr>
        <w:tc>
          <w:tcPr>
            <w:tcW w:w="1871" w:type="dxa"/>
            <w:hideMark/>
          </w:tcPr>
          <w:p w14:paraId="3C753D0A" w14:textId="77777777" w:rsidR="001251CC" w:rsidRPr="00C418D0" w:rsidRDefault="001251CC" w:rsidP="00224E6D">
            <w:pPr>
              <w:pStyle w:val="TableSideHeading"/>
              <w:rPr>
                <w:rtl/>
              </w:rPr>
            </w:pPr>
            <w:r w:rsidRPr="00C418D0">
              <w:rPr>
                <w:rFonts w:hint="cs"/>
                <w:rtl/>
              </w:rPr>
              <w:t xml:space="preserve">הוספת סעיף 2ב1 </w:t>
            </w:r>
          </w:p>
        </w:tc>
        <w:tc>
          <w:tcPr>
            <w:tcW w:w="623" w:type="dxa"/>
            <w:hideMark/>
          </w:tcPr>
          <w:p w14:paraId="78B3785A" w14:textId="77777777" w:rsidR="001251CC" w:rsidRPr="00C418D0" w:rsidRDefault="001251CC" w:rsidP="00224E6D">
            <w:pPr>
              <w:pStyle w:val="TableText"/>
              <w:jc w:val="both"/>
            </w:pPr>
            <w:r w:rsidRPr="00C418D0">
              <w:rPr>
                <w:rFonts w:hint="cs"/>
                <w:rtl/>
              </w:rPr>
              <w:t xml:space="preserve">1. </w:t>
            </w:r>
          </w:p>
        </w:tc>
        <w:tc>
          <w:tcPr>
            <w:tcW w:w="7144" w:type="dxa"/>
            <w:gridSpan w:val="5"/>
            <w:hideMark/>
          </w:tcPr>
          <w:p w14:paraId="181D1F17" w14:textId="77777777" w:rsidR="001251CC" w:rsidRDefault="001251CC" w:rsidP="00D82987">
            <w:pPr>
              <w:pStyle w:val="TableBlock"/>
            </w:pPr>
            <w:r>
              <w:rPr>
                <w:rFonts w:hint="cs"/>
                <w:rtl/>
              </w:rPr>
              <w:t>בחוק מימון מפלגות, התשל"ג–1973</w:t>
            </w:r>
            <w:r w:rsidRPr="00D82987">
              <w:rPr>
                <w:rStyle w:val="a6"/>
                <w:rFonts w:ascii="David" w:hAnsi="David"/>
                <w:sz w:val="26"/>
                <w:rtl/>
              </w:rPr>
              <w:footnoteReference w:id="2"/>
            </w:r>
            <w:r>
              <w:rPr>
                <w:rFonts w:hint="cs"/>
                <w:rtl/>
              </w:rPr>
              <w:t>, אחרי סעיף 2ב יבוא:</w:t>
            </w:r>
          </w:p>
        </w:tc>
      </w:tr>
      <w:tr w:rsidR="001251CC" w14:paraId="722E7BF8" w14:textId="77777777" w:rsidTr="00D82987">
        <w:trPr>
          <w:cantSplit/>
        </w:trPr>
        <w:tc>
          <w:tcPr>
            <w:tcW w:w="1871" w:type="dxa"/>
          </w:tcPr>
          <w:p w14:paraId="681CE475" w14:textId="77777777" w:rsidR="001251CC" w:rsidRDefault="001251CC" w:rsidP="00224E6D">
            <w:pPr>
              <w:pStyle w:val="TableSideHeading"/>
              <w:keepLines w:val="0"/>
            </w:pPr>
          </w:p>
        </w:tc>
        <w:tc>
          <w:tcPr>
            <w:tcW w:w="623" w:type="dxa"/>
          </w:tcPr>
          <w:p w14:paraId="3775598F" w14:textId="77777777" w:rsidR="001251CC" w:rsidRDefault="001251CC" w:rsidP="00224E6D">
            <w:pPr>
              <w:pStyle w:val="TableText"/>
              <w:keepLines w:val="0"/>
            </w:pPr>
          </w:p>
        </w:tc>
        <w:tc>
          <w:tcPr>
            <w:tcW w:w="1872" w:type="dxa"/>
            <w:gridSpan w:val="3"/>
            <w:hideMark/>
          </w:tcPr>
          <w:p w14:paraId="2BF9A2DC" w14:textId="77777777" w:rsidR="001251CC" w:rsidRDefault="001251CC" w:rsidP="00224E6D">
            <w:pPr>
              <w:pStyle w:val="TableInnerSideHeading"/>
            </w:pPr>
            <w:r>
              <w:rPr>
                <w:rFonts w:hint="cs"/>
                <w:rtl/>
              </w:rPr>
              <w:t>"שלילת מימון ממפלגה שקוראת להטלת חרם על מדינת ישראל</w:t>
            </w:r>
          </w:p>
        </w:tc>
        <w:tc>
          <w:tcPr>
            <w:tcW w:w="624" w:type="dxa"/>
            <w:hideMark/>
          </w:tcPr>
          <w:p w14:paraId="22E99895" w14:textId="77777777" w:rsidR="001251CC" w:rsidRDefault="001251CC" w:rsidP="00224E6D">
            <w:pPr>
              <w:pStyle w:val="TableText"/>
            </w:pPr>
            <w:r>
              <w:rPr>
                <w:rFonts w:hint="cs"/>
                <w:rtl/>
              </w:rPr>
              <w:t>2ב1.</w:t>
            </w:r>
          </w:p>
        </w:tc>
        <w:tc>
          <w:tcPr>
            <w:tcW w:w="4648" w:type="dxa"/>
            <w:hideMark/>
          </w:tcPr>
          <w:p w14:paraId="768F4A9E" w14:textId="77777777" w:rsidR="001251CC" w:rsidRDefault="001251CC" w:rsidP="00D82987">
            <w:pPr>
              <w:pStyle w:val="TableBlock"/>
            </w:pPr>
            <w:r>
              <w:rPr>
                <w:rFonts w:hint="cs"/>
                <w:rtl/>
              </w:rPr>
              <w:t>(א)</w:t>
            </w:r>
            <w:r>
              <w:rPr>
                <w:rFonts w:hint="cs"/>
                <w:rtl/>
              </w:rPr>
              <w:tab/>
              <w:t>חבר הכנסת רשאי לפנות לוועדה הציבורית בבקשה לשלול מימון של מפלגה בטענה כי היא או אחד מחברי הסיעה פרסמו ביודעין קריאה פומבית להטלת חרם על מדינת ישראל כהגדרתו בחוק למניעת פגיעה במדינת ישראל באמצעות חרם, התשע"א</w:t>
            </w:r>
            <w:r>
              <w:rPr>
                <w:rFonts w:hint="cs"/>
                <w:b/>
                <w:bCs/>
                <w:rtl/>
              </w:rPr>
              <w:t>–</w:t>
            </w:r>
            <w:r>
              <w:rPr>
                <w:rFonts w:hint="cs"/>
                <w:rtl/>
              </w:rPr>
              <w:t>2011</w:t>
            </w:r>
            <w:r w:rsidRPr="00D82987">
              <w:rPr>
                <w:rStyle w:val="a6"/>
                <w:rFonts w:ascii="David" w:hAnsi="David"/>
                <w:sz w:val="26"/>
                <w:rtl/>
              </w:rPr>
              <w:footnoteReference w:id="3"/>
            </w:r>
            <w:r>
              <w:rPr>
                <w:rFonts w:hint="cs"/>
                <w:rtl/>
              </w:rPr>
              <w:t>, ועל פי תוכנה של הקריאה ובנסיבות שבהן פורסמה יש אפשרות סבירה שהקריאה תביא להטלת החרם, והמפלגה מודעת לאפשרות כאמור.</w:t>
            </w:r>
          </w:p>
        </w:tc>
      </w:tr>
      <w:tr w:rsidR="001251CC" w14:paraId="26C4EF1F" w14:textId="77777777" w:rsidTr="00D82987">
        <w:trPr>
          <w:cantSplit/>
        </w:trPr>
        <w:tc>
          <w:tcPr>
            <w:tcW w:w="1871" w:type="dxa"/>
          </w:tcPr>
          <w:p w14:paraId="7C56BA92" w14:textId="77777777" w:rsidR="001251CC" w:rsidRDefault="001251CC" w:rsidP="00224E6D">
            <w:pPr>
              <w:pStyle w:val="TableSideHeading"/>
            </w:pPr>
          </w:p>
        </w:tc>
        <w:tc>
          <w:tcPr>
            <w:tcW w:w="623" w:type="dxa"/>
          </w:tcPr>
          <w:p w14:paraId="26407F62" w14:textId="77777777" w:rsidR="001251CC" w:rsidRDefault="001251CC" w:rsidP="00224E6D">
            <w:pPr>
              <w:pStyle w:val="TableText"/>
            </w:pPr>
          </w:p>
        </w:tc>
        <w:tc>
          <w:tcPr>
            <w:tcW w:w="624" w:type="dxa"/>
          </w:tcPr>
          <w:p w14:paraId="13638E53" w14:textId="77777777" w:rsidR="001251CC" w:rsidRDefault="001251CC" w:rsidP="00224E6D">
            <w:pPr>
              <w:pStyle w:val="TableText"/>
            </w:pPr>
          </w:p>
        </w:tc>
        <w:tc>
          <w:tcPr>
            <w:tcW w:w="624" w:type="dxa"/>
          </w:tcPr>
          <w:p w14:paraId="6D57B0B6" w14:textId="77777777" w:rsidR="001251CC" w:rsidRDefault="001251CC" w:rsidP="00224E6D">
            <w:pPr>
              <w:pStyle w:val="TableText"/>
            </w:pPr>
          </w:p>
        </w:tc>
        <w:tc>
          <w:tcPr>
            <w:tcW w:w="624" w:type="dxa"/>
          </w:tcPr>
          <w:p w14:paraId="5823168C" w14:textId="77777777" w:rsidR="001251CC" w:rsidRDefault="001251CC" w:rsidP="00224E6D">
            <w:pPr>
              <w:pStyle w:val="TableText"/>
            </w:pPr>
          </w:p>
        </w:tc>
        <w:tc>
          <w:tcPr>
            <w:tcW w:w="624" w:type="dxa"/>
          </w:tcPr>
          <w:p w14:paraId="5524F05E" w14:textId="77777777" w:rsidR="001251CC" w:rsidRDefault="001251CC" w:rsidP="00224E6D">
            <w:pPr>
              <w:pStyle w:val="TableText"/>
            </w:pPr>
          </w:p>
        </w:tc>
        <w:tc>
          <w:tcPr>
            <w:tcW w:w="4648" w:type="dxa"/>
            <w:hideMark/>
          </w:tcPr>
          <w:p w14:paraId="05263B7D" w14:textId="77777777" w:rsidR="001251CC" w:rsidRDefault="001251CC" w:rsidP="00D82987">
            <w:pPr>
              <w:pStyle w:val="TableBlock"/>
            </w:pPr>
            <w:r>
              <w:rPr>
                <w:rFonts w:hint="cs"/>
                <w:rtl/>
              </w:rPr>
              <w:t>(ב)</w:t>
            </w:r>
            <w:r>
              <w:rPr>
                <w:rFonts w:hint="cs"/>
                <w:rtl/>
              </w:rPr>
              <w:tab/>
              <w:t xml:space="preserve">הוגשה הבקשה כאמור בסעיף קטן (א) וסברה הוועדה הציבורית כי יש ממש בבקשה, תיתן הוועדה הציבורית למפלגה שנגדה הוגשה הבקשה, הזדמנות לטעון את טענותיה, בעל פה או בכתב, בתוך שבוע ימים. </w:t>
            </w:r>
          </w:p>
        </w:tc>
      </w:tr>
      <w:tr w:rsidR="001251CC" w14:paraId="37D99098" w14:textId="77777777" w:rsidTr="00D82987">
        <w:trPr>
          <w:cantSplit/>
        </w:trPr>
        <w:tc>
          <w:tcPr>
            <w:tcW w:w="1871" w:type="dxa"/>
          </w:tcPr>
          <w:p w14:paraId="6C164164" w14:textId="77777777" w:rsidR="001251CC" w:rsidRDefault="001251CC" w:rsidP="00224E6D">
            <w:pPr>
              <w:pStyle w:val="TableSideHeading"/>
            </w:pPr>
          </w:p>
        </w:tc>
        <w:tc>
          <w:tcPr>
            <w:tcW w:w="623" w:type="dxa"/>
          </w:tcPr>
          <w:p w14:paraId="2CD77DF5" w14:textId="77777777" w:rsidR="001251CC" w:rsidRDefault="001251CC" w:rsidP="00224E6D">
            <w:pPr>
              <w:pStyle w:val="TableText"/>
            </w:pPr>
          </w:p>
        </w:tc>
        <w:tc>
          <w:tcPr>
            <w:tcW w:w="624" w:type="dxa"/>
          </w:tcPr>
          <w:p w14:paraId="6207F7BE" w14:textId="77777777" w:rsidR="001251CC" w:rsidRDefault="001251CC" w:rsidP="00224E6D">
            <w:pPr>
              <w:pStyle w:val="TableText"/>
            </w:pPr>
          </w:p>
        </w:tc>
        <w:tc>
          <w:tcPr>
            <w:tcW w:w="624" w:type="dxa"/>
          </w:tcPr>
          <w:p w14:paraId="66B828C2" w14:textId="77777777" w:rsidR="001251CC" w:rsidRDefault="001251CC" w:rsidP="00224E6D">
            <w:pPr>
              <w:pStyle w:val="TableText"/>
            </w:pPr>
          </w:p>
        </w:tc>
        <w:tc>
          <w:tcPr>
            <w:tcW w:w="624" w:type="dxa"/>
          </w:tcPr>
          <w:p w14:paraId="42009A87" w14:textId="77777777" w:rsidR="001251CC" w:rsidRDefault="001251CC" w:rsidP="00224E6D">
            <w:pPr>
              <w:pStyle w:val="TableText"/>
            </w:pPr>
          </w:p>
        </w:tc>
        <w:tc>
          <w:tcPr>
            <w:tcW w:w="624" w:type="dxa"/>
          </w:tcPr>
          <w:p w14:paraId="2C351725" w14:textId="77777777" w:rsidR="001251CC" w:rsidRDefault="001251CC" w:rsidP="00224E6D">
            <w:pPr>
              <w:pStyle w:val="TableText"/>
            </w:pPr>
          </w:p>
        </w:tc>
        <w:tc>
          <w:tcPr>
            <w:tcW w:w="4648" w:type="dxa"/>
            <w:hideMark/>
          </w:tcPr>
          <w:p w14:paraId="0BC5A1B7" w14:textId="77777777" w:rsidR="001251CC" w:rsidRDefault="001251CC" w:rsidP="00D82987">
            <w:pPr>
              <w:pStyle w:val="TableBlock"/>
            </w:pPr>
            <w:r>
              <w:rPr>
                <w:rFonts w:hint="cs"/>
                <w:rtl/>
              </w:rPr>
              <w:t>(ג)</w:t>
            </w:r>
            <w:r>
              <w:rPr>
                <w:rFonts w:hint="cs"/>
                <w:rtl/>
              </w:rPr>
              <w:tab/>
              <w:t>קבעה הוועדה הציבורית כי הבקשה האמורה מוצדקת, לא תהיה המפלגה זכאית למימון ממועד קבלת החלטת הוועדה הציבורית."</w:t>
            </w:r>
          </w:p>
        </w:tc>
      </w:tr>
    </w:tbl>
    <w:p w14:paraId="308CEA04" w14:textId="77777777" w:rsidR="001251CC" w:rsidRPr="00FD733A" w:rsidRDefault="001251CC" w:rsidP="001251CC">
      <w:pPr>
        <w:pStyle w:val="HeadDivreiHesber"/>
        <w:spacing w:before="0" w:after="0"/>
        <w:rPr>
          <w:rtl/>
        </w:rPr>
      </w:pPr>
    </w:p>
    <w:p w14:paraId="28FA6A48" w14:textId="77777777" w:rsidR="001251CC" w:rsidRPr="00FD733A" w:rsidRDefault="001251CC" w:rsidP="001251CC">
      <w:pPr>
        <w:pStyle w:val="HeadDivreiHesber"/>
        <w:rPr>
          <w:rtl/>
        </w:rPr>
      </w:pPr>
      <w:r w:rsidRPr="00FD733A">
        <w:rPr>
          <w:rFonts w:hint="cs"/>
          <w:rtl/>
        </w:rPr>
        <w:t>דברי הסבר</w:t>
      </w:r>
    </w:p>
    <w:p w14:paraId="29CC02EE" w14:textId="77777777" w:rsidR="001251CC" w:rsidRPr="0074207A" w:rsidRDefault="001251CC" w:rsidP="001251CC">
      <w:pPr>
        <w:pStyle w:val="Hesber"/>
        <w:rPr>
          <w:rtl/>
        </w:rPr>
      </w:pPr>
      <w:r w:rsidRPr="0074207A">
        <w:rPr>
          <w:rFonts w:hint="cs"/>
          <w:rtl/>
        </w:rPr>
        <w:t>במקביל למאבק שמנהלת בימים אלה מדינת ישראל נגד חרמות, הטלת סנקציות ופגיעות ממוניות ואחרות מצד מדינות בעולם וארגונים בינלאומיים ואנטי-ישראליים שונים המעוניינים לפגוע במדינת ישראל, לרבות בתאגידים ובעסקים בבעלות של אזרחים ישראלים, ראוי שהמדינה עצמה לא תממן מפלגות וסיעות בכנסת הקוראות לחרם שכזה או מצדדות בו.</w:t>
      </w:r>
    </w:p>
    <w:p w14:paraId="129935D6" w14:textId="77777777" w:rsidR="001251CC" w:rsidRPr="0074207A" w:rsidRDefault="001251CC" w:rsidP="001251CC">
      <w:pPr>
        <w:pStyle w:val="Hesber"/>
        <w:rPr>
          <w:rtl/>
        </w:rPr>
      </w:pPr>
      <w:r w:rsidRPr="0074207A">
        <w:rPr>
          <w:rFonts w:hint="cs"/>
          <w:rtl/>
        </w:rPr>
        <w:t xml:space="preserve">אין ספק כי קריאה לחרם ולפגיעה במדינת ישראל ובאזרחיה, כשהיא נעשית מתוך בית המחוקקים של המדינה, היא חמורה שבעתיים ונזקה גדול יותר מקריאות דומות אחרות. אין זה הגיוני שאזרחי ישראל יממנו במסיהם את אלו שקוראים לפגוע בפרנסתם של האזרחים ובכלכלת המדינה.  </w:t>
      </w:r>
    </w:p>
    <w:p w14:paraId="1AB31043" w14:textId="77777777" w:rsidR="001251CC" w:rsidRPr="0074207A" w:rsidRDefault="001251CC" w:rsidP="001251CC">
      <w:pPr>
        <w:pStyle w:val="Hesber"/>
        <w:rPr>
          <w:rtl/>
        </w:rPr>
      </w:pPr>
      <w:r w:rsidRPr="0074207A">
        <w:rPr>
          <w:rFonts w:hint="cs"/>
          <w:rtl/>
        </w:rPr>
        <w:t>מעבר לכך, פעולות אלו של חרמות נגד "סחורה ישראלית" הן צורה חדשה של אותה אנטישמיות ישנה שבוודאי אין לה מקום בכנסת. השימוש ברטוריקה הזו של החרמת סחורה בשל "מוצאה" הוא בזוי ומעורר פלצות עבור כ</w:t>
      </w:r>
      <w:r>
        <w:rPr>
          <w:rFonts w:hint="cs"/>
          <w:rtl/>
        </w:rPr>
        <w:t>ל מי שמכיר את ההיסטוריה היהודית</w:t>
      </w:r>
      <w:r w:rsidRPr="0074207A">
        <w:rPr>
          <w:rFonts w:hint="cs"/>
          <w:rtl/>
        </w:rPr>
        <w:t xml:space="preserve"> </w:t>
      </w:r>
      <w:r>
        <w:rPr>
          <w:rFonts w:hint="cs"/>
          <w:rtl/>
        </w:rPr>
        <w:t>ו</w:t>
      </w:r>
      <w:r w:rsidRPr="0074207A">
        <w:rPr>
          <w:rFonts w:hint="cs"/>
          <w:rtl/>
        </w:rPr>
        <w:t>יש לשלול מאלה הנוקטים בה את המימון עבור האכסניה הפוליטית בה הם שוכנים.</w:t>
      </w:r>
    </w:p>
    <w:p w14:paraId="628392AF" w14:textId="77777777" w:rsidR="001251CC" w:rsidRPr="0074207A" w:rsidRDefault="001251CC" w:rsidP="001251CC">
      <w:pPr>
        <w:pStyle w:val="Hesber"/>
        <w:rPr>
          <w:rtl/>
        </w:rPr>
      </w:pPr>
      <w:r w:rsidRPr="0074207A">
        <w:rPr>
          <w:rFonts w:hint="cs"/>
          <w:rtl/>
        </w:rPr>
        <w:t xml:space="preserve">מוצע לקבוע שחבר </w:t>
      </w:r>
      <w:r>
        <w:rPr>
          <w:rFonts w:hint="cs"/>
          <w:rtl/>
        </w:rPr>
        <w:t>ה</w:t>
      </w:r>
      <w:r w:rsidRPr="0074207A">
        <w:rPr>
          <w:rFonts w:hint="cs"/>
          <w:rtl/>
        </w:rPr>
        <w:t>כנסת רשאי לתבוע מהוועדה הציבורית (להלן – הוועדה), לשלול מימון מהמפלגה שפרסמה בפומבי קר</w:t>
      </w:r>
      <w:r>
        <w:rPr>
          <w:rFonts w:hint="cs"/>
          <w:rtl/>
        </w:rPr>
        <w:t>יאת להטלת חרם על מדינת ישראל, אם יש</w:t>
      </w:r>
      <w:r w:rsidRPr="0074207A">
        <w:rPr>
          <w:rFonts w:hint="cs"/>
          <w:rtl/>
        </w:rPr>
        <w:t xml:space="preserve"> אפשרות סבי</w:t>
      </w:r>
      <w:r>
        <w:rPr>
          <w:rFonts w:hint="cs"/>
          <w:rtl/>
        </w:rPr>
        <w:t>רה שהקריאה כאמור תביא להטלת חרם</w:t>
      </w:r>
      <w:r w:rsidRPr="0074207A">
        <w:rPr>
          <w:rFonts w:hint="cs"/>
          <w:rtl/>
        </w:rPr>
        <w:t xml:space="preserve"> והמפלגה מודעת לכך.</w:t>
      </w:r>
    </w:p>
    <w:p w14:paraId="6C9F3430" w14:textId="77777777" w:rsidR="001251CC" w:rsidRDefault="001251CC" w:rsidP="001251CC">
      <w:pPr>
        <w:pStyle w:val="Hesber"/>
        <w:rPr>
          <w:rtl/>
        </w:rPr>
      </w:pPr>
      <w:r w:rsidRPr="0074207A">
        <w:rPr>
          <w:rFonts w:hint="cs"/>
          <w:rtl/>
        </w:rPr>
        <w:t>הוועדה תהיה אחראית על ה</w:t>
      </w:r>
      <w:r>
        <w:rPr>
          <w:rFonts w:hint="cs"/>
          <w:rtl/>
        </w:rPr>
        <w:t xml:space="preserve">ליך הקובלנה, אליה תועבר הבקשה, </w:t>
      </w:r>
      <w:r w:rsidRPr="0074207A">
        <w:rPr>
          <w:rFonts w:hint="cs"/>
          <w:rtl/>
        </w:rPr>
        <w:t xml:space="preserve">היא תבחן אם יש ממש בבקשה וכן תיתן </w:t>
      </w:r>
      <w:r>
        <w:rPr>
          <w:rFonts w:hint="cs"/>
          <w:rtl/>
        </w:rPr>
        <w:t>למפלגה שפרסמה את הקריאה הפומבית</w:t>
      </w:r>
      <w:r w:rsidRPr="0074207A">
        <w:rPr>
          <w:rFonts w:hint="cs"/>
          <w:rtl/>
        </w:rPr>
        <w:t xml:space="preserve"> הזדמנות לטעון את טענותיה. אם תמצא הוועדה הציבורית שהבקשה האמורה מוצדקת, ישלל מימונה של המפלגה ממועד החלטת הוועדה. </w:t>
      </w:r>
    </w:p>
    <w:p w14:paraId="32A215DE" w14:textId="763C788B" w:rsidR="001251CC" w:rsidRDefault="001251CC" w:rsidP="00C55BB1">
      <w:pPr>
        <w:pStyle w:val="Hesber"/>
        <w:rPr>
          <w:rtl/>
        </w:rPr>
      </w:pPr>
      <w:r>
        <w:rPr>
          <w:rFonts w:hint="cs"/>
          <w:rtl/>
        </w:rPr>
        <w:t>הצעת חוק זהה הונחה על שולחן הכנסת העשרים על ידי חבר הכנסת אביגדור ליברמן וקבוצת חברי הכנסת (פ/1808/20</w:t>
      </w:r>
      <w:r w:rsidR="00C55BB1">
        <w:rPr>
          <w:rFonts w:hint="cs"/>
          <w:rtl/>
        </w:rPr>
        <w:t>).</w:t>
      </w:r>
      <w:r>
        <w:rPr>
          <w:rFonts w:hint="cs"/>
          <w:rtl/>
        </w:rPr>
        <w:t xml:space="preserve"> </w:t>
      </w:r>
    </w:p>
    <w:p w14:paraId="27E28BAD" w14:textId="2D68E305" w:rsidR="00F96CBD" w:rsidRDefault="00F96CBD" w:rsidP="00C55BB1">
      <w:pPr>
        <w:pStyle w:val="Hesber"/>
        <w:rPr>
          <w:rtl/>
        </w:rPr>
      </w:pPr>
    </w:p>
    <w:p w14:paraId="11FFD621" w14:textId="77777777" w:rsidR="00F96CBD" w:rsidRPr="00D73212" w:rsidRDefault="00F96CBD" w:rsidP="00F96CBD">
      <w:pPr>
        <w:pStyle w:val="Hesber"/>
        <w:ind w:firstLine="0"/>
        <w:rPr>
          <w:rtl/>
        </w:rPr>
      </w:pPr>
      <w:r w:rsidRPr="00D73212">
        <w:rPr>
          <w:rtl/>
        </w:rPr>
        <w:t>---------------------------------</w:t>
      </w:r>
    </w:p>
    <w:p w14:paraId="1EC666B0" w14:textId="77777777" w:rsidR="00F96CBD" w:rsidRPr="00D73212" w:rsidRDefault="00F96CBD" w:rsidP="00F96CBD">
      <w:pPr>
        <w:pStyle w:val="Hesber"/>
        <w:ind w:firstLine="0"/>
        <w:rPr>
          <w:rtl/>
        </w:rPr>
      </w:pPr>
      <w:r w:rsidRPr="00D73212">
        <w:rPr>
          <w:rFonts w:hint="cs"/>
          <w:rtl/>
        </w:rPr>
        <w:t>הוגשה</w:t>
      </w:r>
      <w:r w:rsidRPr="00D73212">
        <w:rPr>
          <w:rtl/>
        </w:rPr>
        <w:t xml:space="preserve"> </w:t>
      </w:r>
      <w:r w:rsidRPr="00D73212">
        <w:rPr>
          <w:rFonts w:hint="cs"/>
          <w:rtl/>
        </w:rPr>
        <w:t>ליו</w:t>
      </w:r>
      <w:r w:rsidRPr="00D73212">
        <w:rPr>
          <w:rtl/>
        </w:rPr>
        <w:t>"</w:t>
      </w:r>
      <w:r w:rsidRPr="00D73212">
        <w:rPr>
          <w:rFonts w:hint="cs"/>
          <w:rtl/>
        </w:rPr>
        <w:t>ר</w:t>
      </w:r>
      <w:r w:rsidRPr="00D73212">
        <w:rPr>
          <w:rtl/>
        </w:rPr>
        <w:t xml:space="preserve"> </w:t>
      </w:r>
      <w:r w:rsidRPr="00D73212">
        <w:rPr>
          <w:rFonts w:hint="cs"/>
          <w:rtl/>
        </w:rPr>
        <w:t>הכנסת</w:t>
      </w:r>
      <w:r w:rsidRPr="00D73212">
        <w:rPr>
          <w:rtl/>
        </w:rPr>
        <w:t xml:space="preserve"> </w:t>
      </w:r>
      <w:r w:rsidRPr="00D73212">
        <w:rPr>
          <w:rFonts w:hint="cs"/>
          <w:rtl/>
        </w:rPr>
        <w:t>והסגנים</w:t>
      </w:r>
    </w:p>
    <w:p w14:paraId="3C5E3858" w14:textId="77777777" w:rsidR="00F96CBD" w:rsidRPr="00D73212" w:rsidRDefault="00F96CBD" w:rsidP="00F96CBD">
      <w:pPr>
        <w:pStyle w:val="Hesber"/>
        <w:ind w:firstLine="0"/>
        <w:rPr>
          <w:rtl/>
        </w:rPr>
      </w:pPr>
      <w:r w:rsidRPr="00D73212">
        <w:rPr>
          <w:rFonts w:hint="cs"/>
          <w:rtl/>
        </w:rPr>
        <w:t>והונחה</w:t>
      </w:r>
      <w:r w:rsidRPr="00D73212">
        <w:rPr>
          <w:rtl/>
        </w:rPr>
        <w:t xml:space="preserve"> </w:t>
      </w:r>
      <w:r w:rsidRPr="00D73212">
        <w:rPr>
          <w:rFonts w:hint="cs"/>
          <w:rtl/>
        </w:rPr>
        <w:t>על</w:t>
      </w:r>
      <w:r w:rsidRPr="00D73212">
        <w:rPr>
          <w:rtl/>
        </w:rPr>
        <w:t xml:space="preserve"> </w:t>
      </w:r>
      <w:r w:rsidRPr="00D73212">
        <w:rPr>
          <w:rFonts w:hint="cs"/>
          <w:rtl/>
        </w:rPr>
        <w:t>שולחן</w:t>
      </w:r>
      <w:r w:rsidRPr="00D73212">
        <w:rPr>
          <w:rtl/>
        </w:rPr>
        <w:t xml:space="preserve"> </w:t>
      </w:r>
      <w:r w:rsidRPr="00D73212">
        <w:rPr>
          <w:rFonts w:hint="cs"/>
          <w:rtl/>
        </w:rPr>
        <w:t>הכנסת</w:t>
      </w:r>
      <w:r w:rsidRPr="00D73212">
        <w:rPr>
          <w:rtl/>
        </w:rPr>
        <w:t xml:space="preserve"> </w:t>
      </w:r>
      <w:r w:rsidRPr="00D73212">
        <w:rPr>
          <w:rFonts w:hint="cs"/>
          <w:rtl/>
        </w:rPr>
        <w:t>ביום</w:t>
      </w:r>
    </w:p>
    <w:p w14:paraId="05A4499C" w14:textId="77777777" w:rsidR="00F96CBD" w:rsidRPr="005E6543" w:rsidRDefault="00F96CBD" w:rsidP="00F96CBD">
      <w:pPr>
        <w:pStyle w:val="Hesber"/>
        <w:ind w:firstLine="0"/>
        <w:rPr>
          <w:rtl/>
        </w:rPr>
      </w:pPr>
      <w:r>
        <w:rPr>
          <w:rFonts w:hint="cs"/>
          <w:rtl/>
        </w:rPr>
        <w:t xml:space="preserve">ד' בכסלו </w:t>
      </w:r>
      <w:r w:rsidRPr="00D73212">
        <w:rPr>
          <w:rFonts w:hint="cs"/>
          <w:rtl/>
        </w:rPr>
        <w:t>התש</w:t>
      </w:r>
      <w:r>
        <w:rPr>
          <w:rFonts w:hint="cs"/>
          <w:rtl/>
        </w:rPr>
        <w:t xml:space="preserve">"ף </w:t>
      </w:r>
      <w:r w:rsidRPr="00D73212">
        <w:rPr>
          <w:rtl/>
        </w:rPr>
        <w:t>–</w:t>
      </w:r>
      <w:r>
        <w:rPr>
          <w:rFonts w:hint="cs"/>
          <w:rtl/>
        </w:rPr>
        <w:t xml:space="preserve"> 2.12</w:t>
      </w:r>
      <w:r w:rsidRPr="00D73212">
        <w:rPr>
          <w:rtl/>
        </w:rPr>
        <w:t>.</w:t>
      </w:r>
      <w:r>
        <w:rPr>
          <w:rFonts w:hint="cs"/>
          <w:rtl/>
        </w:rPr>
        <w:t>19</w:t>
      </w:r>
    </w:p>
    <w:p w14:paraId="5E5CE924" w14:textId="77777777" w:rsidR="00F96CBD" w:rsidRDefault="00F96CBD" w:rsidP="00C55BB1">
      <w:pPr>
        <w:pStyle w:val="Hesber"/>
        <w:rPr>
          <w:rtl/>
        </w:rPr>
      </w:pPr>
      <w:bookmarkStart w:id="8" w:name="_GoBack"/>
      <w:bookmarkEnd w:id="8"/>
    </w:p>
    <w:sectPr w:rsidR="00F96CBD" w:rsidSect="00D82987">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F96CBD">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D82987">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4976CBCE" w14:textId="77777777" w:rsidR="001251CC" w:rsidRDefault="001251CC" w:rsidP="001251CC">
      <w:pPr>
        <w:pStyle w:val="a4"/>
        <w:rPr>
          <w:rtl/>
        </w:rPr>
      </w:pPr>
      <w:r>
        <w:rPr>
          <w:rStyle w:val="a6"/>
        </w:rPr>
        <w:footnoteRef/>
      </w:r>
      <w:r>
        <w:rPr>
          <w:rFonts w:hint="cs"/>
          <w:rtl/>
        </w:rPr>
        <w:t xml:space="preserve"> ס"ח התשל"ג, עמ' 52.</w:t>
      </w:r>
    </w:p>
  </w:footnote>
  <w:footnote w:id="3">
    <w:p w14:paraId="6D7576C6" w14:textId="77777777" w:rsidR="001251CC" w:rsidRDefault="001251CC" w:rsidP="001251CC">
      <w:pPr>
        <w:pStyle w:val="a4"/>
        <w:rPr>
          <w:rtl/>
        </w:rPr>
      </w:pPr>
      <w:r>
        <w:rPr>
          <w:rStyle w:val="a6"/>
        </w:rPr>
        <w:footnoteRef/>
      </w:r>
      <w:r>
        <w:rPr>
          <w:rFonts w:hint="cs"/>
          <w:rtl/>
        </w:rPr>
        <w:t xml:space="preserve"> ס"ח התשע"א, עמ' 972.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51CC"/>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8535D"/>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55BB1"/>
    <w:rsid w:val="00C9176A"/>
    <w:rsid w:val="00CF1AA2"/>
    <w:rsid w:val="00D142D3"/>
    <w:rsid w:val="00D17774"/>
    <w:rsid w:val="00D63620"/>
    <w:rsid w:val="00D82987"/>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96CBD"/>
    <w:rsid w:val="00FA5E88"/>
    <w:rsid w:val="00FC28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EF7856CE-38F0-4488-ABE2-94B000C45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987"/>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D82987"/>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D82987"/>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D82987"/>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D82987"/>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D82987"/>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D82987"/>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D82987"/>
    <w:rPr>
      <w:sz w:val="36"/>
      <w:szCs w:val="52"/>
    </w:rPr>
  </w:style>
  <w:style w:type="paragraph" w:customStyle="1" w:styleId="Cover3-Haknesset">
    <w:name w:val="Cover 3-Haknesset"/>
    <w:basedOn w:val="Cover1-Reshumot"/>
    <w:rsid w:val="00D82987"/>
    <w:rPr>
      <w:b/>
      <w:bCs/>
      <w:spacing w:val="60"/>
    </w:rPr>
  </w:style>
  <w:style w:type="paragraph" w:customStyle="1" w:styleId="Cover4-Date">
    <w:name w:val="Cover 4-Date"/>
    <w:basedOn w:val="a"/>
    <w:rsid w:val="00D82987"/>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D82987"/>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D82987"/>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D82987"/>
    <w:pPr>
      <w:spacing w:before="120" w:after="120"/>
    </w:pPr>
    <w:rPr>
      <w:color w:val="FF0000"/>
      <w:w w:val="80"/>
    </w:rPr>
  </w:style>
  <w:style w:type="paragraph" w:styleId="a3">
    <w:name w:val="endnote text"/>
    <w:basedOn w:val="a"/>
    <w:semiHidden/>
    <w:rsid w:val="00D82987"/>
    <w:pPr>
      <w:ind w:left="227" w:hanging="227"/>
    </w:pPr>
    <w:rPr>
      <w:sz w:val="14"/>
      <w:szCs w:val="22"/>
    </w:rPr>
  </w:style>
  <w:style w:type="paragraph" w:customStyle="1" w:styleId="TableText">
    <w:name w:val="Table Text"/>
    <w:basedOn w:val="a"/>
    <w:rsid w:val="00D82987"/>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D82987"/>
    <w:pPr>
      <w:outlineLvl w:val="2"/>
    </w:pPr>
  </w:style>
  <w:style w:type="paragraph" w:customStyle="1" w:styleId="TableBlock">
    <w:name w:val="Table Block"/>
    <w:basedOn w:val="TableText"/>
    <w:rsid w:val="00D82987"/>
    <w:pPr>
      <w:jc w:val="both"/>
    </w:pPr>
  </w:style>
  <w:style w:type="paragraph" w:customStyle="1" w:styleId="TableHead">
    <w:name w:val="Table Head"/>
    <w:basedOn w:val="TableText"/>
    <w:rsid w:val="00D82987"/>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D82987"/>
    <w:pPr>
      <w:outlineLvl w:val="9"/>
    </w:pPr>
  </w:style>
  <w:style w:type="paragraph" w:customStyle="1" w:styleId="Hesber">
    <w:name w:val="Hesber"/>
    <w:basedOn w:val="a"/>
    <w:rsid w:val="00D82987"/>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D82987"/>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D82987"/>
    <w:rPr>
      <w:vertAlign w:val="superscript"/>
    </w:rPr>
  </w:style>
  <w:style w:type="paragraph" w:customStyle="1" w:styleId="HesberHeading">
    <w:name w:val="Hesber Heading"/>
    <w:basedOn w:val="Hesber"/>
    <w:rsid w:val="00D82987"/>
    <w:pPr>
      <w:tabs>
        <w:tab w:val="left" w:pos="624"/>
        <w:tab w:val="left" w:pos="1247"/>
      </w:tabs>
    </w:pPr>
    <w:rPr>
      <w:b/>
      <w:bCs/>
    </w:rPr>
  </w:style>
  <w:style w:type="paragraph" w:customStyle="1" w:styleId="HesberWriters">
    <w:name w:val="Hesber Writers"/>
    <w:basedOn w:val="Hesber"/>
    <w:rsid w:val="00D82987"/>
    <w:pPr>
      <w:spacing w:before="120" w:after="120"/>
      <w:ind w:left="1418"/>
      <w:jc w:val="right"/>
    </w:pPr>
    <w:rPr>
      <w:b/>
      <w:bCs/>
    </w:rPr>
  </w:style>
  <w:style w:type="paragraph" w:customStyle="1" w:styleId="Hesber1st">
    <w:name w:val="Hesber 1st"/>
    <w:basedOn w:val="Hesber"/>
    <w:rsid w:val="00D82987"/>
    <w:pPr>
      <w:tabs>
        <w:tab w:val="left" w:pos="680"/>
        <w:tab w:val="left" w:pos="1020"/>
      </w:tabs>
      <w:ind w:firstLine="0"/>
    </w:pPr>
  </w:style>
  <w:style w:type="character" w:styleId="a7">
    <w:name w:val="endnote reference"/>
    <w:basedOn w:val="a0"/>
    <w:semiHidden/>
    <w:rsid w:val="00D82987"/>
    <w:rPr>
      <w:vertAlign w:val="superscript"/>
    </w:rPr>
  </w:style>
  <w:style w:type="paragraph" w:customStyle="1" w:styleId="TableBlockOutdent">
    <w:name w:val="Table BlockOutdent"/>
    <w:basedOn w:val="TableBlock"/>
    <w:rsid w:val="00D82987"/>
    <w:pPr>
      <w:ind w:left="624" w:hanging="624"/>
    </w:pPr>
  </w:style>
  <w:style w:type="paragraph" w:styleId="a8">
    <w:name w:val="header"/>
    <w:basedOn w:val="a"/>
    <w:rsid w:val="00D82987"/>
    <w:pPr>
      <w:tabs>
        <w:tab w:val="center" w:pos="4153"/>
        <w:tab w:val="right" w:pos="8306"/>
      </w:tabs>
    </w:pPr>
  </w:style>
  <w:style w:type="paragraph" w:styleId="a9">
    <w:name w:val="footer"/>
    <w:basedOn w:val="a"/>
    <w:rsid w:val="00D82987"/>
    <w:pPr>
      <w:tabs>
        <w:tab w:val="center" w:pos="4153"/>
        <w:tab w:val="right" w:pos="8306"/>
      </w:tabs>
    </w:pPr>
  </w:style>
  <w:style w:type="paragraph" w:customStyle="1" w:styleId="HeadDivreiHesber">
    <w:name w:val="Head DivreiHesber"/>
    <w:basedOn w:val="a"/>
    <w:rsid w:val="00D82987"/>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D82987"/>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D82987"/>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1251CC"/>
    <w:rPr>
      <w:rFonts w:ascii="Arial" w:eastAsia="Arial Unicode MS" w:hAnsi="Arial" w:cs="David"/>
      <w:snapToGrid w:val="0"/>
      <w:sz w:val="14"/>
    </w:rPr>
  </w:style>
  <w:style w:type="character" w:customStyle="1" w:styleId="10">
    <w:name w:val="כותרת 1 תו"/>
    <w:basedOn w:val="a0"/>
    <w:link w:val="1"/>
    <w:uiPriority w:val="9"/>
    <w:rsid w:val="00D82987"/>
    <w:rPr>
      <w:rFonts w:asciiTheme="majorHAnsi" w:eastAsiaTheme="majorEastAsia" w:hAnsiTheme="majorHAnsi" w:cs="David"/>
      <w:bCs/>
      <w:sz w:val="32"/>
      <w:szCs w:val="36"/>
    </w:rPr>
  </w:style>
  <w:style w:type="character" w:customStyle="1" w:styleId="20">
    <w:name w:val="כותרת 2 תו"/>
    <w:basedOn w:val="a0"/>
    <w:link w:val="2"/>
    <w:rsid w:val="00D82987"/>
    <w:rPr>
      <w:rFonts w:asciiTheme="majorHAnsi" w:eastAsiaTheme="majorEastAsia" w:hAnsiTheme="majorHAnsi" w:cs="David"/>
      <w:bCs/>
      <w:sz w:val="26"/>
      <w:szCs w:val="36"/>
      <w:u w:val="single"/>
    </w:rPr>
  </w:style>
  <w:style w:type="character" w:customStyle="1" w:styleId="30">
    <w:name w:val="כותרת 3 תו"/>
    <w:basedOn w:val="a0"/>
    <w:link w:val="3"/>
    <w:rsid w:val="00D82987"/>
    <w:rPr>
      <w:rFonts w:asciiTheme="majorHAnsi" w:eastAsiaTheme="majorEastAsia" w:hAnsiTheme="majorHAnsi" w:cs="David"/>
      <w:sz w:val="24"/>
      <w:szCs w:val="28"/>
      <w:u w:val="double"/>
    </w:rPr>
  </w:style>
  <w:style w:type="character" w:customStyle="1" w:styleId="40">
    <w:name w:val="כותרת 4 תו"/>
    <w:basedOn w:val="a0"/>
    <w:link w:val="4"/>
    <w:uiPriority w:val="9"/>
    <w:rsid w:val="00D82987"/>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D82987"/>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D82987"/>
    <w:pPr>
      <w:widowControl/>
      <w:spacing w:before="120" w:after="120"/>
      <w:outlineLvl w:val="9"/>
    </w:pPr>
    <w:rPr>
      <w:rtl/>
      <w:cs/>
    </w:rPr>
  </w:style>
  <w:style w:type="paragraph" w:styleId="TOC1">
    <w:name w:val="toc 1"/>
    <w:basedOn w:val="a"/>
    <w:next w:val="a"/>
    <w:autoRedefine/>
    <w:uiPriority w:val="39"/>
    <w:unhideWhenUsed/>
    <w:rsid w:val="00D82987"/>
    <w:pPr>
      <w:tabs>
        <w:tab w:val="right" w:leader="dot" w:pos="9629"/>
      </w:tabs>
      <w:spacing w:after="100"/>
    </w:pPr>
    <w:rPr>
      <w:bCs/>
      <w:szCs w:val="22"/>
    </w:rPr>
  </w:style>
  <w:style w:type="paragraph" w:styleId="TOC2">
    <w:name w:val="toc 2"/>
    <w:basedOn w:val="a"/>
    <w:next w:val="a"/>
    <w:uiPriority w:val="39"/>
    <w:unhideWhenUsed/>
    <w:rsid w:val="00D82987"/>
    <w:pPr>
      <w:tabs>
        <w:tab w:val="right" w:leader="dot" w:pos="9628"/>
      </w:tabs>
      <w:spacing w:after="100"/>
    </w:pPr>
    <w:rPr>
      <w:szCs w:val="22"/>
    </w:rPr>
  </w:style>
  <w:style w:type="character" w:styleId="Hyperlink">
    <w:name w:val="Hyperlink"/>
    <w:basedOn w:val="a0"/>
    <w:uiPriority w:val="99"/>
    <w:unhideWhenUsed/>
    <w:rsid w:val="00D82987"/>
    <w:rPr>
      <w:color w:val="0000FF" w:themeColor="hyperlink"/>
      <w:u w:val="single"/>
    </w:rPr>
  </w:style>
  <w:style w:type="paragraph" w:styleId="TOC3">
    <w:name w:val="toc 3"/>
    <w:basedOn w:val="a"/>
    <w:next w:val="a"/>
    <w:uiPriority w:val="39"/>
    <w:unhideWhenUsed/>
    <w:rsid w:val="00D82987"/>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D82987"/>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D82987"/>
    <w:pPr>
      <w:tabs>
        <w:tab w:val="right" w:leader="dot" w:pos="9628"/>
      </w:tabs>
      <w:spacing w:after="100"/>
      <w:ind w:left="567"/>
    </w:pPr>
    <w:rPr>
      <w:szCs w:val="22"/>
    </w:rPr>
  </w:style>
  <w:style w:type="paragraph" w:styleId="TOC6">
    <w:name w:val="toc 6"/>
    <w:basedOn w:val="a"/>
    <w:next w:val="a"/>
    <w:autoRedefine/>
    <w:semiHidden/>
    <w:unhideWhenUsed/>
    <w:rsid w:val="00D82987"/>
    <w:pPr>
      <w:spacing w:after="100"/>
      <w:ind w:left="850"/>
    </w:pPr>
  </w:style>
  <w:style w:type="paragraph" w:styleId="TOC7">
    <w:name w:val="toc 7"/>
    <w:basedOn w:val="a"/>
    <w:next w:val="a"/>
    <w:autoRedefine/>
    <w:semiHidden/>
    <w:unhideWhenUsed/>
    <w:rsid w:val="00D82987"/>
    <w:pPr>
      <w:spacing w:after="100"/>
      <w:ind w:left="1020"/>
    </w:pPr>
  </w:style>
  <w:style w:type="paragraph" w:styleId="TOC8">
    <w:name w:val="toc 8"/>
    <w:basedOn w:val="a"/>
    <w:next w:val="a"/>
    <w:autoRedefine/>
    <w:semiHidden/>
    <w:unhideWhenUsed/>
    <w:rsid w:val="00D82987"/>
    <w:pPr>
      <w:spacing w:after="100"/>
      <w:ind w:left="1190"/>
    </w:pPr>
  </w:style>
  <w:style w:type="paragraph" w:styleId="TOC9">
    <w:name w:val="toc 9"/>
    <w:basedOn w:val="a"/>
    <w:next w:val="a"/>
    <w:autoRedefine/>
    <w:semiHidden/>
    <w:unhideWhenUsed/>
    <w:rsid w:val="00D82987"/>
    <w:pPr>
      <w:spacing w:after="100"/>
      <w:ind w:left="1360"/>
    </w:pPr>
  </w:style>
  <w:style w:type="paragraph" w:customStyle="1" w:styleId="TableHead2">
    <w:name w:val="Table Head2"/>
    <w:basedOn w:val="TableHead"/>
    <w:qFormat/>
    <w:rsid w:val="00D82987"/>
    <w:pPr>
      <w:outlineLvl w:val="9"/>
    </w:pPr>
  </w:style>
  <w:style w:type="paragraph" w:customStyle="1" w:styleId="TableSideHeading2">
    <w:name w:val="Table SideHeading2"/>
    <w:basedOn w:val="TableSideHeading"/>
    <w:autoRedefine/>
    <w:qFormat/>
    <w:rsid w:val="00D82987"/>
    <w:pPr>
      <w:keepLines w:val="0"/>
      <w:outlineLvl w:val="9"/>
    </w:pPr>
  </w:style>
  <w:style w:type="paragraph" w:customStyle="1" w:styleId="0">
    <w:name w:val="סגנון שורה ראשונה:  0  ס''מ"/>
    <w:basedOn w:val="2"/>
    <w:rsid w:val="00D82987"/>
    <w:rPr>
      <w:rFonts w:eastAsia="Times New Roman"/>
    </w:rPr>
  </w:style>
  <w:style w:type="paragraph" w:styleId="af">
    <w:name w:val="List Paragraph"/>
    <w:basedOn w:val="a"/>
    <w:uiPriority w:val="34"/>
    <w:qFormat/>
    <w:rsid w:val="00D82987"/>
    <w:pPr>
      <w:widowControl/>
      <w:spacing w:line="259" w:lineRule="auto"/>
    </w:pPr>
    <w:rPr>
      <w:rFonts w:asciiTheme="minorHAnsi" w:hAnsiTheme="minorHAnsi"/>
      <w:sz w:val="22"/>
    </w:rPr>
  </w:style>
  <w:style w:type="table" w:styleId="af0">
    <w:name w:val="Table Grid"/>
    <w:basedOn w:val="a1"/>
    <w:rsid w:val="00D82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D8298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D8298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D82987"/>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D82987"/>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5254AE00-0905-4D6E-9D3C-479B3DF2D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98610D38-7D70-4122-9CAA-DADD96AC9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406</Words>
  <Characters>2318</Characters>
  <Application>Microsoft Office Word</Application>
  <DocSecurity>0</DocSecurity>
  <Lines>19</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חנה קרליץ</cp:lastModifiedBy>
  <cp:revision>8</cp:revision>
  <cp:lastPrinted>2019-11-26T13:28:00Z</cp:lastPrinted>
  <dcterms:created xsi:type="dcterms:W3CDTF">2015-04-20T09:58:00Z</dcterms:created>
  <dcterms:modified xsi:type="dcterms:W3CDTF">2019-11-26T13:28:00Z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2083007</vt:r8>
  </property>
</Properties>
</file>