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8F3683" w:rsidRDefault="004033D8" w:rsidP="00E635A2">
      <w:pPr>
        <w:jc w:val="right"/>
        <w:rPr>
          <w:rFonts w:cs="David"/>
          <w:b/>
          <w:bCs/>
          <w:sz w:val="20"/>
          <w:szCs w:val="20"/>
        </w:rPr>
      </w:pPr>
      <w:r w:rsidRPr="008F3683">
        <w:rPr>
          <w:rFonts w:cs="David" w:hint="cs"/>
          <w:sz w:val="20"/>
          <w:szCs w:val="20"/>
          <w:rtl/>
        </w:rPr>
        <w:t xml:space="preserve">מספר פנימי: </w:t>
      </w:r>
      <w:bookmarkStart w:id="0" w:name="LGS_Internal_ID"/>
      <w:r w:rsidRPr="008F3683">
        <w:rPr>
          <w:rFonts w:cs="David" w:hint="cs"/>
          <w:sz w:val="20"/>
          <w:szCs w:val="20"/>
          <w:rtl/>
        </w:rPr>
        <w:t>2083577</w:t>
      </w:r>
      <w:bookmarkEnd w:id="0"/>
    </w:p>
    <w:p w14:paraId="7F6961A2" w14:textId="53D639AE" w:rsidR="00E13C27" w:rsidRPr="008F3683" w:rsidRDefault="00E13C27" w:rsidP="00A443CF">
      <w:pPr>
        <w:pStyle w:val="HeadHatzaotHok"/>
        <w:rPr>
          <w:sz w:val="28"/>
          <w:szCs w:val="28"/>
          <w:rtl/>
        </w:rPr>
      </w:pPr>
      <w:r w:rsidRPr="008F3683">
        <w:rPr>
          <w:rFonts w:hint="cs"/>
          <w:sz w:val="28"/>
          <w:szCs w:val="28"/>
          <w:rtl/>
        </w:rPr>
        <w:t xml:space="preserve">הכנסת </w:t>
      </w:r>
      <w:bookmarkStart w:id="1" w:name="LGS_Knesset_Num"/>
      <w:r w:rsidRPr="008F3683">
        <w:rPr>
          <w:rFonts w:hint="cs"/>
          <w:sz w:val="28"/>
          <w:szCs w:val="28"/>
          <w:rtl/>
        </w:rPr>
        <w:t>העשרים ושתיים</w:t>
      </w:r>
      <w:bookmarkEnd w:id="1"/>
    </w:p>
    <w:p w14:paraId="7F6961A3" w14:textId="77777777" w:rsidR="00E13C27" w:rsidRPr="008F3683" w:rsidRDefault="00E13C27" w:rsidP="00E13C27">
      <w:pPr>
        <w:rPr>
          <w:rFonts w:cs="David"/>
          <w:b/>
          <w:bCs/>
          <w:sz w:val="26"/>
          <w:szCs w:val="26"/>
          <w:rtl/>
        </w:rPr>
      </w:pPr>
    </w:p>
    <w:p w14:paraId="7F6961A6" w14:textId="77777777" w:rsidR="00E13C27" w:rsidRPr="008F3683"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8F3683">
        <w:rPr>
          <w:b/>
          <w:bCs/>
        </w:rPr>
        <w:tab/>
      </w:r>
      <w:bookmarkStart w:id="3" w:name="LGS_PM_Names"/>
      <w:r>
        <w:rPr>
          <w:rFonts w:hint="cs"/>
          <w:b/>
          <w:bCs/>
          <w:rtl/>
        </w:rPr>
        <w:t>יוסף ג'בארין</w:t>
      </w:r>
      <w:r>
        <w:br/>
      </w:r>
      <w:r>
        <w:rPr>
          <w:rFonts w:hint="cs"/>
          <w:b/>
          <w:bCs/>
          <w:rtl/>
        </w:rPr>
        <w:t xml:space="preserve"> </w:t>
      </w:r>
      <w:r>
        <w:tab/>
      </w:r>
      <w:r>
        <w:tab/>
      </w:r>
      <w:r>
        <w:tab/>
      </w:r>
      <w:r>
        <w:tab/>
      </w:r>
      <w:r>
        <w:rPr>
          <w:rFonts w:hint="cs"/>
          <w:b/>
          <w:bCs/>
          <w:rtl/>
        </w:rPr>
        <w:t>סעיד אלחרומי</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עופר כסיף</w:t>
      </w:r>
      <w:r>
        <w:br/>
      </w:r>
      <w:r>
        <w:rPr>
          <w:rFonts w:hint="cs"/>
          <w:b/>
          <w:bCs/>
          <w:rtl/>
        </w:rPr>
        <w:t xml:space="preserve"> </w:t>
      </w:r>
      <w:r>
        <w:tab/>
      </w:r>
      <w:r>
        <w:tab/>
      </w:r>
      <w:r>
        <w:tab/>
      </w:r>
      <w:r>
        <w:tab/>
      </w:r>
      <w:r>
        <w:rPr>
          <w:rFonts w:hint="cs"/>
          <w:b/>
          <w:bCs/>
          <w:rtl/>
        </w:rPr>
        <w:t>ג'אבר עסאקלה</w:t>
      </w:r>
      <w:r>
        <w:br/>
      </w:r>
      <w:r>
        <w:rPr>
          <w:rFonts w:hint="cs"/>
          <w:b/>
          <w:bCs/>
          <w:rtl/>
        </w:rPr>
        <w:t xml:space="preserve"> </w:t>
      </w:r>
      <w:r>
        <w:tab/>
      </w:r>
      <w:r>
        <w:tab/>
      </w:r>
      <w:r>
        <w:tab/>
      </w:r>
      <w:r>
        <w:tab/>
      </w:r>
      <w:r>
        <w:rPr>
          <w:rFonts w:hint="cs"/>
          <w:b/>
          <w:bCs/>
          <w:rtl/>
        </w:rPr>
        <w:t>עאידה תומא סלימאן</w:t>
      </w:r>
      <w:bookmarkEnd w:id="3"/>
    </w:p>
    <w:p w14:paraId="7F6961AA" w14:textId="39F9D96B" w:rsidR="00E13C27" w:rsidRPr="008F3683" w:rsidRDefault="007D585A" w:rsidP="0036422C">
      <w:pPr>
        <w:pStyle w:val="David"/>
        <w:spacing w:before="0" w:line="360" w:lineRule="auto"/>
        <w:ind w:left="3544"/>
        <w:rPr>
          <w:b/>
          <w:bCs/>
          <w:sz w:val="16"/>
          <w:szCs w:val="16"/>
          <w:rtl/>
        </w:rPr>
      </w:pPr>
      <w:bookmarkStart w:id="4" w:name="LGS_Join_List"/>
      <w:r w:rsidRPr="008F3683">
        <w:rPr>
          <w:rtl/>
        </w:rPr>
        <w:t xml:space="preserve"> </w:t>
      </w:r>
      <w:bookmarkEnd w:id="4"/>
      <w:r w:rsidR="002200A1" w:rsidRPr="008F3683">
        <w:rPr>
          <w:rFonts w:hint="cs"/>
          <w:rtl/>
        </w:rPr>
        <w:tab/>
      </w:r>
      <w:bookmarkStart w:id="5" w:name="LGS_PM_NamesJoin"/>
      <w:r w:rsidRPr="008F3683">
        <w:rPr>
          <w:rFonts w:hint="cs"/>
          <w:rtl/>
        </w:rPr>
        <w:t xml:space="preserve"> </w:t>
      </w:r>
      <w:bookmarkEnd w:id="5"/>
    </w:p>
    <w:p w14:paraId="34DB4103" w14:textId="77777777" w:rsidR="00904591" w:rsidRPr="008F3683" w:rsidRDefault="00266D86" w:rsidP="0036422C">
      <w:pPr>
        <w:pStyle w:val="David"/>
        <w:spacing w:before="0" w:line="360" w:lineRule="auto"/>
        <w:ind w:left="3544"/>
        <w:rPr>
          <w:sz w:val="4"/>
          <w:szCs w:val="4"/>
          <w:rtl/>
        </w:rPr>
      </w:pPr>
      <w:r w:rsidRPr="008F3683">
        <w:t>____</w:t>
      </w:r>
      <w:r w:rsidR="00E374F2" w:rsidRPr="008F3683">
        <w:t>__</w:t>
      </w:r>
      <w:r w:rsidRPr="008F3683">
        <w:t>________________________________________</w:t>
      </w:r>
      <w:r w:rsidR="00E06736" w:rsidRPr="008F3683">
        <w:tab/>
      </w:r>
      <w:r w:rsidR="00E13C27" w:rsidRPr="008F3683">
        <w:rPr>
          <w:rFonts w:hint="cs"/>
          <w:rtl/>
        </w:rPr>
        <w:tab/>
      </w:r>
      <w:r w:rsidR="00E13C27" w:rsidRPr="008F3683">
        <w:rPr>
          <w:rFonts w:hint="cs"/>
          <w:rtl/>
        </w:rPr>
        <w:tab/>
      </w:r>
      <w:r w:rsidR="00E13C27" w:rsidRPr="008F3683">
        <w:rPr>
          <w:rFonts w:hint="cs"/>
          <w:rtl/>
        </w:rPr>
        <w:tab/>
      </w:r>
      <w:r w:rsidR="00904591" w:rsidRPr="008F3683">
        <w:t xml:space="preserve">           </w:t>
      </w:r>
    </w:p>
    <w:p w14:paraId="7F6961AB" w14:textId="256138AA" w:rsidR="00E13C27" w:rsidRPr="008F3683" w:rsidRDefault="00904591" w:rsidP="00904591">
      <w:pPr>
        <w:pStyle w:val="David"/>
        <w:spacing w:before="0" w:line="240" w:lineRule="auto"/>
        <w:ind w:left="3544"/>
        <w:rPr>
          <w:rtl/>
        </w:rPr>
      </w:pPr>
      <w:r w:rsidRPr="008F3683">
        <w:t xml:space="preserve">                                            </w:t>
      </w:r>
      <w:r w:rsidR="008F1308" w:rsidRPr="008F3683">
        <w:t xml:space="preserve"> </w:t>
      </w:r>
      <w:bookmarkStart w:id="6" w:name="Private_Number"/>
      <w:r>
        <w:rPr>
          <w:rFonts w:hint="cs"/>
          <w:rtl/>
        </w:rPr>
        <w:t>פ/1183/22</w:t>
      </w:r>
      <w:bookmarkEnd w:id="6"/>
    </w:p>
    <w:p w14:paraId="7F6961AC" w14:textId="77777777" w:rsidR="00E13C27" w:rsidRPr="008F3683" w:rsidRDefault="00E13C27" w:rsidP="00E13C27">
      <w:pPr>
        <w:spacing w:before="0" w:line="360" w:lineRule="auto"/>
        <w:ind w:left="2880" w:firstLine="720"/>
        <w:rPr>
          <w:rFonts w:cs="David"/>
          <w:sz w:val="26"/>
          <w:szCs w:val="26"/>
          <w:rtl/>
        </w:rPr>
      </w:pPr>
    </w:p>
    <w:p w14:paraId="7F6961AD" w14:textId="46D972A5" w:rsidR="00E13C27" w:rsidRPr="008F3683" w:rsidRDefault="00A443CF" w:rsidP="00DB0427">
      <w:pPr>
        <w:pStyle w:val="HeadHatzaotHok"/>
        <w:rPr>
          <w:rtl/>
        </w:rPr>
      </w:pPr>
      <w:bookmarkStart w:id="7" w:name="LGS_Subject"/>
      <w:r>
        <w:rPr>
          <w:rFonts w:hint="cs"/>
          <w:rtl/>
        </w:rPr>
        <w:t>הצעת חוק שיווי זכויות האישה (תיקון – ייצוג הולם לנשים במקום העבודה), התש"ף–2019</w:t>
      </w:r>
      <w:bookmarkEnd w:id="7"/>
    </w:p>
    <w:p w14:paraId="67309734" w14:textId="77777777" w:rsidR="00BF338D" w:rsidRPr="00595614" w:rsidRDefault="00BF338D" w:rsidP="00BF338D">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624"/>
        <w:gridCol w:w="4026"/>
      </w:tblGrid>
      <w:tr w:rsidR="00595614" w:rsidRPr="00DD516E" w14:paraId="4C0B468A" w14:textId="77777777" w:rsidTr="004B102F">
        <w:trPr>
          <w:cantSplit/>
          <w:trHeight w:val="60"/>
        </w:trPr>
        <w:tc>
          <w:tcPr>
            <w:tcW w:w="1871" w:type="dxa"/>
          </w:tcPr>
          <w:p w14:paraId="66BC7E65" w14:textId="3A58557A" w:rsidR="00595614" w:rsidRDefault="00595614" w:rsidP="009C44A8">
            <w:pPr>
              <w:pStyle w:val="TableSideHeading"/>
              <w:keepLines w:val="0"/>
            </w:pPr>
            <w:r>
              <w:rPr>
                <w:rFonts w:hint="cs"/>
                <w:rtl/>
              </w:rPr>
              <w:t>הוספת סעיף 6</w:t>
            </w:r>
            <w:r w:rsidR="009C44A8">
              <w:rPr>
                <w:rFonts w:hint="cs"/>
                <w:rtl/>
              </w:rPr>
              <w:t>ו</w:t>
            </w:r>
          </w:p>
        </w:tc>
        <w:tc>
          <w:tcPr>
            <w:tcW w:w="624" w:type="dxa"/>
          </w:tcPr>
          <w:p w14:paraId="6849D51C" w14:textId="77777777" w:rsidR="00595614" w:rsidRDefault="00595614" w:rsidP="004B102F">
            <w:pPr>
              <w:pStyle w:val="TableText"/>
              <w:keepLines w:val="0"/>
              <w:numPr>
                <w:ilvl w:val="0"/>
                <w:numId w:val="12"/>
              </w:numPr>
            </w:pPr>
          </w:p>
        </w:tc>
        <w:tc>
          <w:tcPr>
            <w:tcW w:w="7146" w:type="dxa"/>
            <w:gridSpan w:val="6"/>
          </w:tcPr>
          <w:p w14:paraId="73818D01" w14:textId="17189F1F" w:rsidR="00595614" w:rsidRPr="00DD516E" w:rsidRDefault="00595614" w:rsidP="00174775">
            <w:pPr>
              <w:pStyle w:val="TableBlock"/>
              <w:keepLines w:val="0"/>
              <w:rPr>
                <w:b/>
              </w:rPr>
            </w:pPr>
            <w:r w:rsidRPr="00DD516E">
              <w:rPr>
                <w:rFonts w:hint="cs"/>
                <w:b/>
                <w:rtl/>
              </w:rPr>
              <w:t>בחוק ש</w:t>
            </w:r>
            <w:r>
              <w:rPr>
                <w:rFonts w:hint="cs"/>
                <w:b/>
                <w:rtl/>
              </w:rPr>
              <w:t>יווי</w:t>
            </w:r>
            <w:r w:rsidRPr="00DD516E">
              <w:rPr>
                <w:rFonts w:hint="cs"/>
                <w:b/>
                <w:rtl/>
              </w:rPr>
              <w:t xml:space="preserve"> זכויות האישה, תשי"א</w:t>
            </w:r>
            <w:r>
              <w:rPr>
                <w:rFonts w:hint="eastAsia"/>
                <w:b/>
                <w:rtl/>
              </w:rPr>
              <w:t>–</w:t>
            </w:r>
            <w:r w:rsidRPr="00DD516E">
              <w:rPr>
                <w:rFonts w:hint="cs"/>
                <w:b/>
                <w:rtl/>
              </w:rPr>
              <w:t>1951</w:t>
            </w:r>
            <w:r w:rsidRPr="00DD516E">
              <w:rPr>
                <w:rStyle w:val="a5"/>
                <w:b/>
                <w:rtl/>
              </w:rPr>
              <w:footnoteReference w:id="2"/>
            </w:r>
            <w:r w:rsidRPr="00DD516E">
              <w:rPr>
                <w:rFonts w:hint="cs"/>
                <w:b/>
                <w:rtl/>
              </w:rPr>
              <w:t>, אחרי סעיף 6</w:t>
            </w:r>
            <w:r w:rsidR="00174775">
              <w:rPr>
                <w:rFonts w:hint="cs"/>
                <w:b/>
                <w:rtl/>
              </w:rPr>
              <w:t>ה</w:t>
            </w:r>
            <w:r w:rsidRPr="00DD516E">
              <w:rPr>
                <w:rFonts w:hint="cs"/>
                <w:b/>
                <w:rtl/>
              </w:rPr>
              <w:t xml:space="preserve"> יבוא:</w:t>
            </w:r>
          </w:p>
        </w:tc>
      </w:tr>
      <w:tr w:rsidR="00595614" w14:paraId="3C3DBCCD" w14:textId="77777777" w:rsidTr="004B102F">
        <w:trPr>
          <w:cantSplit/>
          <w:trHeight w:val="60"/>
        </w:trPr>
        <w:tc>
          <w:tcPr>
            <w:tcW w:w="1871" w:type="dxa"/>
          </w:tcPr>
          <w:p w14:paraId="679DFA9E" w14:textId="77777777" w:rsidR="00595614" w:rsidRDefault="00595614" w:rsidP="004B102F">
            <w:pPr>
              <w:pStyle w:val="TableSideHeading"/>
              <w:keepLines w:val="0"/>
            </w:pPr>
          </w:p>
        </w:tc>
        <w:tc>
          <w:tcPr>
            <w:tcW w:w="624" w:type="dxa"/>
          </w:tcPr>
          <w:p w14:paraId="32A45B1D" w14:textId="77777777" w:rsidR="00595614" w:rsidRDefault="00595614" w:rsidP="004B102F">
            <w:pPr>
              <w:pStyle w:val="TableText"/>
              <w:keepLines w:val="0"/>
            </w:pPr>
          </w:p>
        </w:tc>
        <w:tc>
          <w:tcPr>
            <w:tcW w:w="1872" w:type="dxa"/>
            <w:gridSpan w:val="3"/>
          </w:tcPr>
          <w:p w14:paraId="66482799" w14:textId="77777777" w:rsidR="00595614" w:rsidRDefault="00595614" w:rsidP="004B102F">
            <w:pPr>
              <w:pStyle w:val="TableInnerSideHeading"/>
            </w:pPr>
            <w:r>
              <w:rPr>
                <w:rFonts w:hint="cs"/>
                <w:rtl/>
              </w:rPr>
              <w:t>"ייצוג הולם לנשים במקום העבודה</w:t>
            </w:r>
          </w:p>
        </w:tc>
        <w:tc>
          <w:tcPr>
            <w:tcW w:w="624" w:type="dxa"/>
          </w:tcPr>
          <w:p w14:paraId="7923FE08" w14:textId="760FB562" w:rsidR="00595614" w:rsidRDefault="00595614" w:rsidP="00174775">
            <w:pPr>
              <w:pStyle w:val="TableText"/>
            </w:pPr>
            <w:r>
              <w:rPr>
                <w:rFonts w:hint="cs"/>
                <w:rtl/>
              </w:rPr>
              <w:t>6</w:t>
            </w:r>
            <w:r w:rsidR="00174775">
              <w:rPr>
                <w:rFonts w:hint="cs"/>
                <w:rtl/>
              </w:rPr>
              <w:t>ו</w:t>
            </w:r>
            <w:r>
              <w:rPr>
                <w:rFonts w:hint="cs"/>
                <w:rtl/>
              </w:rPr>
              <w:t>.</w:t>
            </w:r>
          </w:p>
        </w:tc>
        <w:tc>
          <w:tcPr>
            <w:tcW w:w="4650" w:type="dxa"/>
            <w:gridSpan w:val="2"/>
          </w:tcPr>
          <w:p w14:paraId="74D576DC" w14:textId="651B1F99" w:rsidR="00595614" w:rsidRDefault="00595614" w:rsidP="004B102F">
            <w:pPr>
              <w:pStyle w:val="TableBlock"/>
            </w:pPr>
            <w:r>
              <w:rPr>
                <w:rFonts w:hint="cs"/>
                <w:rtl/>
              </w:rPr>
              <w:t xml:space="preserve">(א) </w:t>
            </w:r>
            <w:r>
              <w:rPr>
                <w:rtl/>
              </w:rPr>
              <w:tab/>
            </w:r>
            <w:r>
              <w:rPr>
                <w:rFonts w:hint="cs"/>
                <w:rtl/>
              </w:rPr>
              <w:t xml:space="preserve">ראה מעסיק כי בקרב עובדיו אין ביטוי הולם, בנסיבות העניין, לייצוגן של נשים (להלן </w:t>
            </w:r>
            <w:r>
              <w:rPr>
                <w:rtl/>
              </w:rPr>
              <w:t>–</w:t>
            </w:r>
            <w:r>
              <w:rPr>
                <w:rFonts w:hint="cs"/>
                <w:rtl/>
              </w:rPr>
              <w:t xml:space="preserve"> ייצוג הולם), יפעל לקידום הייצוג ההולם, לרבות בדרך של העדפה מתקנת.</w:t>
            </w:r>
          </w:p>
        </w:tc>
      </w:tr>
      <w:tr w:rsidR="00595614" w14:paraId="6F21B3CE" w14:textId="77777777" w:rsidTr="00624855">
        <w:trPr>
          <w:trHeight w:val="60"/>
        </w:trPr>
        <w:tc>
          <w:tcPr>
            <w:tcW w:w="1871" w:type="dxa"/>
          </w:tcPr>
          <w:p w14:paraId="2780C716" w14:textId="77777777" w:rsidR="00595614" w:rsidRDefault="00595614" w:rsidP="004B102F">
            <w:pPr>
              <w:pStyle w:val="TableSideHeading"/>
            </w:pPr>
          </w:p>
        </w:tc>
        <w:tc>
          <w:tcPr>
            <w:tcW w:w="624" w:type="dxa"/>
          </w:tcPr>
          <w:p w14:paraId="12625CD4" w14:textId="77777777" w:rsidR="00595614" w:rsidRDefault="00595614" w:rsidP="004B102F">
            <w:pPr>
              <w:pStyle w:val="TableText"/>
            </w:pPr>
          </w:p>
        </w:tc>
        <w:tc>
          <w:tcPr>
            <w:tcW w:w="624" w:type="dxa"/>
          </w:tcPr>
          <w:p w14:paraId="628FEF94" w14:textId="77777777" w:rsidR="00595614" w:rsidRDefault="00595614" w:rsidP="004B102F">
            <w:pPr>
              <w:pStyle w:val="TableText"/>
            </w:pPr>
          </w:p>
        </w:tc>
        <w:tc>
          <w:tcPr>
            <w:tcW w:w="624" w:type="dxa"/>
          </w:tcPr>
          <w:p w14:paraId="46E6F44E" w14:textId="77777777" w:rsidR="00595614" w:rsidRDefault="00595614" w:rsidP="004B102F">
            <w:pPr>
              <w:pStyle w:val="TableText"/>
            </w:pPr>
          </w:p>
        </w:tc>
        <w:tc>
          <w:tcPr>
            <w:tcW w:w="624" w:type="dxa"/>
          </w:tcPr>
          <w:p w14:paraId="253731A0" w14:textId="77777777" w:rsidR="00595614" w:rsidRDefault="00595614" w:rsidP="004B102F">
            <w:pPr>
              <w:pStyle w:val="TableText"/>
            </w:pPr>
          </w:p>
        </w:tc>
        <w:tc>
          <w:tcPr>
            <w:tcW w:w="624" w:type="dxa"/>
          </w:tcPr>
          <w:p w14:paraId="51778012" w14:textId="77777777" w:rsidR="00595614" w:rsidRDefault="00595614" w:rsidP="004B102F">
            <w:pPr>
              <w:pStyle w:val="TableText"/>
            </w:pPr>
          </w:p>
        </w:tc>
        <w:tc>
          <w:tcPr>
            <w:tcW w:w="4650" w:type="dxa"/>
            <w:gridSpan w:val="2"/>
          </w:tcPr>
          <w:p w14:paraId="70790E2C" w14:textId="77777777" w:rsidR="00595614" w:rsidRDefault="00595614" w:rsidP="004B102F">
            <w:pPr>
              <w:pStyle w:val="TableBlock"/>
            </w:pPr>
            <w:r>
              <w:rPr>
                <w:rFonts w:hint="cs"/>
                <w:rtl/>
              </w:rPr>
              <w:t xml:space="preserve">(ב) </w:t>
            </w:r>
            <w:r>
              <w:rPr>
                <w:rtl/>
              </w:rPr>
              <w:tab/>
            </w:r>
            <w:r>
              <w:rPr>
                <w:rFonts w:hint="cs"/>
                <w:rtl/>
              </w:rPr>
              <w:t>פעולות מעסיק לפי סעיף זה, יכול שייעשו בתכנית אשר תכלול הוראות בדבר העדפת העסקתן או קידומן של נשים שהן כשירות לתפקיד או למשרה ושהן בעלות כישורים דומים לכישוריהם של מועמדים אחרים לתפקיד או למשרה.</w:t>
            </w:r>
          </w:p>
        </w:tc>
      </w:tr>
      <w:tr w:rsidR="00595614" w14:paraId="1F4C20C4" w14:textId="77777777" w:rsidTr="00624855">
        <w:trPr>
          <w:trHeight w:val="60"/>
        </w:trPr>
        <w:tc>
          <w:tcPr>
            <w:tcW w:w="1871" w:type="dxa"/>
          </w:tcPr>
          <w:p w14:paraId="7AFBCF8E" w14:textId="77777777" w:rsidR="00595614" w:rsidRDefault="00595614" w:rsidP="004B102F">
            <w:pPr>
              <w:pStyle w:val="TableSideHeading"/>
              <w:rPr>
                <w:rtl/>
              </w:rPr>
            </w:pPr>
          </w:p>
        </w:tc>
        <w:tc>
          <w:tcPr>
            <w:tcW w:w="624" w:type="dxa"/>
          </w:tcPr>
          <w:p w14:paraId="2956862E" w14:textId="77777777" w:rsidR="00595614" w:rsidRDefault="00595614" w:rsidP="004B102F">
            <w:pPr>
              <w:pStyle w:val="TableText"/>
            </w:pPr>
          </w:p>
        </w:tc>
        <w:tc>
          <w:tcPr>
            <w:tcW w:w="624" w:type="dxa"/>
          </w:tcPr>
          <w:p w14:paraId="77665578" w14:textId="77777777" w:rsidR="00595614" w:rsidRDefault="00595614" w:rsidP="004B102F">
            <w:pPr>
              <w:pStyle w:val="TableText"/>
            </w:pPr>
          </w:p>
        </w:tc>
        <w:tc>
          <w:tcPr>
            <w:tcW w:w="624" w:type="dxa"/>
          </w:tcPr>
          <w:p w14:paraId="2BE9D6BA" w14:textId="77777777" w:rsidR="00595614" w:rsidRDefault="00595614" w:rsidP="004B102F">
            <w:pPr>
              <w:pStyle w:val="TableText"/>
            </w:pPr>
          </w:p>
        </w:tc>
        <w:tc>
          <w:tcPr>
            <w:tcW w:w="624" w:type="dxa"/>
          </w:tcPr>
          <w:p w14:paraId="44DF7A68" w14:textId="77777777" w:rsidR="00595614" w:rsidRDefault="00595614" w:rsidP="004B102F">
            <w:pPr>
              <w:pStyle w:val="TableText"/>
            </w:pPr>
          </w:p>
        </w:tc>
        <w:tc>
          <w:tcPr>
            <w:tcW w:w="624" w:type="dxa"/>
          </w:tcPr>
          <w:p w14:paraId="4C67C3A5" w14:textId="77777777" w:rsidR="00595614" w:rsidRDefault="00595614" w:rsidP="004B102F">
            <w:pPr>
              <w:pStyle w:val="TableText"/>
            </w:pPr>
          </w:p>
        </w:tc>
        <w:tc>
          <w:tcPr>
            <w:tcW w:w="4650" w:type="dxa"/>
            <w:gridSpan w:val="2"/>
          </w:tcPr>
          <w:p w14:paraId="43C95EF1" w14:textId="77777777" w:rsidR="00595614" w:rsidRDefault="00595614" w:rsidP="004B102F">
            <w:pPr>
              <w:pStyle w:val="TableBlock"/>
              <w:rPr>
                <w:rtl/>
              </w:rPr>
            </w:pPr>
            <w:r>
              <w:rPr>
                <w:rFonts w:hint="cs"/>
                <w:rtl/>
              </w:rPr>
              <w:t xml:space="preserve">(ג) </w:t>
            </w:r>
            <w:r>
              <w:rPr>
                <w:rtl/>
              </w:rPr>
              <w:tab/>
            </w:r>
            <w:r>
              <w:rPr>
                <w:rFonts w:hint="cs"/>
                <w:rtl/>
              </w:rPr>
              <w:t xml:space="preserve">שר העבודה הרווחה והשירותים החברתיים והשר לשוויון מגדרי וחברתי בהתייעצות עם הרשות לקידום מעמד האישה, עם ארגונים העוסקים בקידום זכויותיהן של נשים ועם ארגוני עובדים וארגוני מעבידים שהם לדעת שר העבודה הרווחה והשירותים החברתיים יציגים ונוגעים בדבר, בהתאם לעקרונות היסוד של חוק זה </w:t>
            </w:r>
            <w:r>
              <w:rPr>
                <w:rFonts w:hint="cs"/>
                <w:rtl/>
              </w:rPr>
              <w:lastRenderedPageBreak/>
              <w:t xml:space="preserve">ובאישור ועדת העבודה והרווחה והבריאות של הכנסת, רשאי </w:t>
            </w:r>
            <w:r>
              <w:rPr>
                <w:rFonts w:hint="eastAsia"/>
                <w:rtl/>
              </w:rPr>
              <w:t>–</w:t>
            </w:r>
            <w:r>
              <w:rPr>
                <w:rFonts w:hint="cs"/>
                <w:rtl/>
              </w:rPr>
              <w:t xml:space="preserve"> </w:t>
            </w:r>
          </w:p>
        </w:tc>
      </w:tr>
      <w:tr w:rsidR="00595614" w14:paraId="07AAFFE7" w14:textId="77777777" w:rsidTr="00624855">
        <w:trPr>
          <w:trHeight w:val="60"/>
        </w:trPr>
        <w:tc>
          <w:tcPr>
            <w:tcW w:w="1871" w:type="dxa"/>
          </w:tcPr>
          <w:p w14:paraId="4691B12E" w14:textId="77777777" w:rsidR="00595614" w:rsidRDefault="00595614" w:rsidP="004B102F">
            <w:pPr>
              <w:pStyle w:val="TableSideHeading"/>
            </w:pPr>
          </w:p>
        </w:tc>
        <w:tc>
          <w:tcPr>
            <w:tcW w:w="624" w:type="dxa"/>
          </w:tcPr>
          <w:p w14:paraId="5E471178" w14:textId="77777777" w:rsidR="00595614" w:rsidRDefault="00595614" w:rsidP="004B102F">
            <w:pPr>
              <w:pStyle w:val="TableText"/>
            </w:pPr>
          </w:p>
        </w:tc>
        <w:tc>
          <w:tcPr>
            <w:tcW w:w="624" w:type="dxa"/>
          </w:tcPr>
          <w:p w14:paraId="677607AD" w14:textId="77777777" w:rsidR="00595614" w:rsidRDefault="00595614" w:rsidP="004B102F">
            <w:pPr>
              <w:pStyle w:val="TableText"/>
            </w:pPr>
          </w:p>
        </w:tc>
        <w:tc>
          <w:tcPr>
            <w:tcW w:w="624" w:type="dxa"/>
          </w:tcPr>
          <w:p w14:paraId="361164F2" w14:textId="77777777" w:rsidR="00595614" w:rsidRDefault="00595614" w:rsidP="004B102F">
            <w:pPr>
              <w:pStyle w:val="TableText"/>
            </w:pPr>
          </w:p>
        </w:tc>
        <w:tc>
          <w:tcPr>
            <w:tcW w:w="624" w:type="dxa"/>
          </w:tcPr>
          <w:p w14:paraId="545A5D5F" w14:textId="77777777" w:rsidR="00595614" w:rsidRDefault="00595614" w:rsidP="004B102F">
            <w:pPr>
              <w:pStyle w:val="TableText"/>
            </w:pPr>
          </w:p>
        </w:tc>
        <w:tc>
          <w:tcPr>
            <w:tcW w:w="624" w:type="dxa"/>
          </w:tcPr>
          <w:p w14:paraId="29BCEDF7" w14:textId="77777777" w:rsidR="00595614" w:rsidRDefault="00595614" w:rsidP="004B102F">
            <w:pPr>
              <w:pStyle w:val="TableText"/>
            </w:pPr>
          </w:p>
        </w:tc>
        <w:tc>
          <w:tcPr>
            <w:tcW w:w="624" w:type="dxa"/>
          </w:tcPr>
          <w:p w14:paraId="5001D826" w14:textId="77777777" w:rsidR="00595614" w:rsidRDefault="00595614" w:rsidP="004B102F">
            <w:pPr>
              <w:pStyle w:val="TableText"/>
            </w:pPr>
          </w:p>
        </w:tc>
        <w:tc>
          <w:tcPr>
            <w:tcW w:w="4026" w:type="dxa"/>
          </w:tcPr>
          <w:p w14:paraId="71CE0537" w14:textId="77777777" w:rsidR="00595614" w:rsidRDefault="00595614" w:rsidP="004B102F">
            <w:pPr>
              <w:pStyle w:val="TableBlock"/>
            </w:pPr>
            <w:r>
              <w:rPr>
                <w:rFonts w:hint="cs"/>
                <w:rtl/>
              </w:rPr>
              <w:t xml:space="preserve">(1) </w:t>
            </w:r>
            <w:r>
              <w:rPr>
                <w:rtl/>
              </w:rPr>
              <w:tab/>
            </w:r>
            <w:r>
              <w:rPr>
                <w:rFonts w:hint="cs"/>
                <w:rtl/>
              </w:rPr>
              <w:t>לקבוע הוראות משלימות, בין למקרה מסוים ובין לסוגי מקרים, בדבר חובות מעסיק לפי סעיף זה;</w:t>
            </w:r>
            <w:r>
              <w:rPr>
                <w:rFonts w:hint="cs"/>
              </w:rPr>
              <w:t xml:space="preserve"> </w:t>
            </w:r>
          </w:p>
        </w:tc>
      </w:tr>
      <w:tr w:rsidR="00595614" w14:paraId="04267B50" w14:textId="77777777" w:rsidTr="00624855">
        <w:trPr>
          <w:trHeight w:val="60"/>
        </w:trPr>
        <w:tc>
          <w:tcPr>
            <w:tcW w:w="1871" w:type="dxa"/>
          </w:tcPr>
          <w:p w14:paraId="4627EA34" w14:textId="77777777" w:rsidR="00595614" w:rsidRDefault="00595614" w:rsidP="004B102F">
            <w:pPr>
              <w:pStyle w:val="TableSideHeading"/>
              <w:rPr>
                <w:rtl/>
              </w:rPr>
            </w:pPr>
          </w:p>
        </w:tc>
        <w:tc>
          <w:tcPr>
            <w:tcW w:w="624" w:type="dxa"/>
          </w:tcPr>
          <w:p w14:paraId="0450A9F5" w14:textId="77777777" w:rsidR="00595614" w:rsidRDefault="00595614" w:rsidP="004B102F">
            <w:pPr>
              <w:pStyle w:val="TableText"/>
            </w:pPr>
          </w:p>
        </w:tc>
        <w:tc>
          <w:tcPr>
            <w:tcW w:w="624" w:type="dxa"/>
          </w:tcPr>
          <w:p w14:paraId="2594C00C" w14:textId="77777777" w:rsidR="00595614" w:rsidRDefault="00595614" w:rsidP="004B102F">
            <w:pPr>
              <w:pStyle w:val="TableText"/>
            </w:pPr>
          </w:p>
        </w:tc>
        <w:tc>
          <w:tcPr>
            <w:tcW w:w="624" w:type="dxa"/>
          </w:tcPr>
          <w:p w14:paraId="56984DFF" w14:textId="77777777" w:rsidR="00595614" w:rsidRDefault="00595614" w:rsidP="004B102F">
            <w:pPr>
              <w:pStyle w:val="TableText"/>
            </w:pPr>
          </w:p>
        </w:tc>
        <w:tc>
          <w:tcPr>
            <w:tcW w:w="624" w:type="dxa"/>
          </w:tcPr>
          <w:p w14:paraId="2BF50DF9" w14:textId="77777777" w:rsidR="00595614" w:rsidRDefault="00595614" w:rsidP="004B102F">
            <w:pPr>
              <w:pStyle w:val="TableText"/>
            </w:pPr>
          </w:p>
        </w:tc>
        <w:tc>
          <w:tcPr>
            <w:tcW w:w="624" w:type="dxa"/>
          </w:tcPr>
          <w:p w14:paraId="7325D73B" w14:textId="77777777" w:rsidR="00595614" w:rsidRDefault="00595614" w:rsidP="004B102F">
            <w:pPr>
              <w:pStyle w:val="TableText"/>
            </w:pPr>
          </w:p>
        </w:tc>
        <w:tc>
          <w:tcPr>
            <w:tcW w:w="624" w:type="dxa"/>
          </w:tcPr>
          <w:p w14:paraId="0DBEE11B" w14:textId="77777777" w:rsidR="00595614" w:rsidRDefault="00595614" w:rsidP="004B102F">
            <w:pPr>
              <w:pStyle w:val="TableText"/>
            </w:pPr>
          </w:p>
        </w:tc>
        <w:tc>
          <w:tcPr>
            <w:tcW w:w="4026" w:type="dxa"/>
          </w:tcPr>
          <w:p w14:paraId="6ECE8739" w14:textId="56118E76" w:rsidR="00595614" w:rsidRDefault="00DB0427" w:rsidP="004B102F">
            <w:pPr>
              <w:pStyle w:val="TableBlock"/>
              <w:rPr>
                <w:rtl/>
              </w:rPr>
            </w:pPr>
            <w:r>
              <w:rPr>
                <w:rFonts w:hint="cs"/>
                <w:rtl/>
              </w:rPr>
              <w:t xml:space="preserve"> </w:t>
            </w:r>
            <w:r w:rsidR="00595614">
              <w:rPr>
                <w:rFonts w:hint="cs"/>
                <w:rtl/>
              </w:rPr>
              <w:t xml:space="preserve">(2) </w:t>
            </w:r>
            <w:r w:rsidR="00595614">
              <w:rPr>
                <w:rtl/>
              </w:rPr>
              <w:tab/>
            </w:r>
            <w:r w:rsidR="00595614">
              <w:rPr>
                <w:rFonts w:hint="cs"/>
                <w:rtl/>
              </w:rPr>
              <w:t>לקבוע הוראות בדבר חובת דיווח של מעסיק על ביצוע פעולות לפי סעיף זה;</w:t>
            </w:r>
          </w:p>
        </w:tc>
      </w:tr>
      <w:tr w:rsidR="00595614" w14:paraId="24EE52AD" w14:textId="77777777" w:rsidTr="00624855">
        <w:trPr>
          <w:trHeight w:val="60"/>
        </w:trPr>
        <w:tc>
          <w:tcPr>
            <w:tcW w:w="1871" w:type="dxa"/>
          </w:tcPr>
          <w:p w14:paraId="53556B3A" w14:textId="77777777" w:rsidR="00595614" w:rsidRDefault="00595614" w:rsidP="004B102F">
            <w:pPr>
              <w:pStyle w:val="TableSideHeading"/>
              <w:rPr>
                <w:rtl/>
              </w:rPr>
            </w:pPr>
          </w:p>
        </w:tc>
        <w:tc>
          <w:tcPr>
            <w:tcW w:w="624" w:type="dxa"/>
          </w:tcPr>
          <w:p w14:paraId="0EFF6EA2" w14:textId="77777777" w:rsidR="00595614" w:rsidRDefault="00595614" w:rsidP="004B102F">
            <w:pPr>
              <w:pStyle w:val="TableText"/>
            </w:pPr>
          </w:p>
        </w:tc>
        <w:tc>
          <w:tcPr>
            <w:tcW w:w="624" w:type="dxa"/>
          </w:tcPr>
          <w:p w14:paraId="7843F92A" w14:textId="77777777" w:rsidR="00595614" w:rsidRDefault="00595614" w:rsidP="004B102F">
            <w:pPr>
              <w:pStyle w:val="TableText"/>
            </w:pPr>
          </w:p>
        </w:tc>
        <w:tc>
          <w:tcPr>
            <w:tcW w:w="624" w:type="dxa"/>
          </w:tcPr>
          <w:p w14:paraId="62BAC8ED" w14:textId="77777777" w:rsidR="00595614" w:rsidRDefault="00595614" w:rsidP="004B102F">
            <w:pPr>
              <w:pStyle w:val="TableText"/>
            </w:pPr>
          </w:p>
        </w:tc>
        <w:tc>
          <w:tcPr>
            <w:tcW w:w="624" w:type="dxa"/>
          </w:tcPr>
          <w:p w14:paraId="32BB11ED" w14:textId="77777777" w:rsidR="00595614" w:rsidRDefault="00595614" w:rsidP="004B102F">
            <w:pPr>
              <w:pStyle w:val="TableText"/>
            </w:pPr>
          </w:p>
        </w:tc>
        <w:tc>
          <w:tcPr>
            <w:tcW w:w="624" w:type="dxa"/>
          </w:tcPr>
          <w:p w14:paraId="4DAB852B" w14:textId="77777777" w:rsidR="00595614" w:rsidRDefault="00595614" w:rsidP="004B102F">
            <w:pPr>
              <w:pStyle w:val="TableText"/>
            </w:pPr>
          </w:p>
        </w:tc>
        <w:tc>
          <w:tcPr>
            <w:tcW w:w="624" w:type="dxa"/>
          </w:tcPr>
          <w:p w14:paraId="482094D1" w14:textId="77777777" w:rsidR="00595614" w:rsidRDefault="00595614" w:rsidP="004B102F">
            <w:pPr>
              <w:pStyle w:val="TableText"/>
            </w:pPr>
          </w:p>
        </w:tc>
        <w:tc>
          <w:tcPr>
            <w:tcW w:w="4026" w:type="dxa"/>
          </w:tcPr>
          <w:p w14:paraId="24F9F9BB" w14:textId="2C6FA8AD" w:rsidR="00595614" w:rsidRDefault="00DB0427" w:rsidP="004B102F">
            <w:pPr>
              <w:pStyle w:val="TableBlock"/>
              <w:rPr>
                <w:rtl/>
              </w:rPr>
            </w:pPr>
            <w:r>
              <w:rPr>
                <w:rFonts w:hint="cs"/>
                <w:rtl/>
              </w:rPr>
              <w:t xml:space="preserve"> </w:t>
            </w:r>
            <w:r w:rsidR="00595614">
              <w:rPr>
                <w:rFonts w:hint="cs"/>
                <w:rtl/>
              </w:rPr>
              <w:t xml:space="preserve">(3) </w:t>
            </w:r>
            <w:r w:rsidR="00595614">
              <w:rPr>
                <w:rtl/>
              </w:rPr>
              <w:tab/>
            </w:r>
            <w:r w:rsidR="00595614">
              <w:rPr>
                <w:rFonts w:hint="cs"/>
                <w:rtl/>
              </w:rPr>
              <w:t>לקבוע סייגים לחובות מעסיק לפי סעיף זה.</w:t>
            </w:r>
          </w:p>
        </w:tc>
      </w:tr>
      <w:tr w:rsidR="00595614" w14:paraId="64AED663" w14:textId="77777777" w:rsidTr="00624855">
        <w:trPr>
          <w:trHeight w:val="60"/>
        </w:trPr>
        <w:tc>
          <w:tcPr>
            <w:tcW w:w="1871" w:type="dxa"/>
          </w:tcPr>
          <w:p w14:paraId="65E68538" w14:textId="77777777" w:rsidR="00595614" w:rsidRDefault="00595614" w:rsidP="004B102F">
            <w:pPr>
              <w:pStyle w:val="TableSideHeading"/>
              <w:rPr>
                <w:rtl/>
              </w:rPr>
            </w:pPr>
          </w:p>
        </w:tc>
        <w:tc>
          <w:tcPr>
            <w:tcW w:w="624" w:type="dxa"/>
          </w:tcPr>
          <w:p w14:paraId="5791B565" w14:textId="77777777" w:rsidR="00595614" w:rsidRDefault="00595614" w:rsidP="004B102F">
            <w:pPr>
              <w:pStyle w:val="TableText"/>
            </w:pPr>
          </w:p>
        </w:tc>
        <w:tc>
          <w:tcPr>
            <w:tcW w:w="624" w:type="dxa"/>
          </w:tcPr>
          <w:p w14:paraId="0BE8CDCB" w14:textId="77777777" w:rsidR="00595614" w:rsidRDefault="00595614" w:rsidP="004B102F">
            <w:pPr>
              <w:pStyle w:val="TableText"/>
            </w:pPr>
          </w:p>
        </w:tc>
        <w:tc>
          <w:tcPr>
            <w:tcW w:w="624" w:type="dxa"/>
          </w:tcPr>
          <w:p w14:paraId="7D2BA003" w14:textId="77777777" w:rsidR="00595614" w:rsidRDefault="00595614" w:rsidP="004B102F">
            <w:pPr>
              <w:pStyle w:val="TableText"/>
            </w:pPr>
          </w:p>
        </w:tc>
        <w:tc>
          <w:tcPr>
            <w:tcW w:w="624" w:type="dxa"/>
          </w:tcPr>
          <w:p w14:paraId="0DA686EF" w14:textId="77777777" w:rsidR="00595614" w:rsidRDefault="00595614" w:rsidP="004B102F">
            <w:pPr>
              <w:pStyle w:val="TableText"/>
            </w:pPr>
          </w:p>
        </w:tc>
        <w:tc>
          <w:tcPr>
            <w:tcW w:w="624" w:type="dxa"/>
          </w:tcPr>
          <w:p w14:paraId="48932B68" w14:textId="77777777" w:rsidR="00595614" w:rsidRDefault="00595614" w:rsidP="004B102F">
            <w:pPr>
              <w:pStyle w:val="TableText"/>
            </w:pPr>
          </w:p>
        </w:tc>
        <w:tc>
          <w:tcPr>
            <w:tcW w:w="4650" w:type="dxa"/>
            <w:gridSpan w:val="2"/>
          </w:tcPr>
          <w:p w14:paraId="50F5118B" w14:textId="77777777" w:rsidR="00595614" w:rsidRDefault="00595614" w:rsidP="004B102F">
            <w:pPr>
              <w:pStyle w:val="TableBlock"/>
              <w:rPr>
                <w:rtl/>
              </w:rPr>
            </w:pPr>
            <w:r>
              <w:rPr>
                <w:rFonts w:hint="cs"/>
                <w:rtl/>
              </w:rPr>
              <w:t xml:space="preserve">(ד) </w:t>
            </w:r>
            <w:r>
              <w:rPr>
                <w:rtl/>
              </w:rPr>
              <w:tab/>
            </w:r>
            <w:r>
              <w:rPr>
                <w:rFonts w:hint="cs"/>
                <w:rtl/>
              </w:rPr>
              <w:t xml:space="preserve">בסעיף זה </w:t>
            </w:r>
            <w:r>
              <w:rPr>
                <w:rtl/>
              </w:rPr>
              <w:t>–</w:t>
            </w:r>
            <w:r>
              <w:rPr>
                <w:rFonts w:hint="cs"/>
                <w:rtl/>
              </w:rPr>
              <w:t xml:space="preserve"> </w:t>
            </w:r>
          </w:p>
        </w:tc>
      </w:tr>
      <w:tr w:rsidR="00595614" w:rsidRPr="00DD516E" w14:paraId="2C0606DB" w14:textId="77777777" w:rsidTr="00624855">
        <w:trPr>
          <w:trHeight w:val="60"/>
        </w:trPr>
        <w:tc>
          <w:tcPr>
            <w:tcW w:w="1871" w:type="dxa"/>
          </w:tcPr>
          <w:p w14:paraId="22638C74" w14:textId="77777777" w:rsidR="00595614" w:rsidRDefault="00595614" w:rsidP="004B102F">
            <w:pPr>
              <w:pStyle w:val="TableSideHeading"/>
              <w:rPr>
                <w:rtl/>
              </w:rPr>
            </w:pPr>
          </w:p>
        </w:tc>
        <w:tc>
          <w:tcPr>
            <w:tcW w:w="624" w:type="dxa"/>
          </w:tcPr>
          <w:p w14:paraId="600FF49D" w14:textId="77777777" w:rsidR="00595614" w:rsidRDefault="00595614" w:rsidP="004B102F">
            <w:pPr>
              <w:pStyle w:val="TableText"/>
            </w:pPr>
          </w:p>
        </w:tc>
        <w:tc>
          <w:tcPr>
            <w:tcW w:w="624" w:type="dxa"/>
          </w:tcPr>
          <w:p w14:paraId="5F2806E5" w14:textId="77777777" w:rsidR="00595614" w:rsidRDefault="00595614" w:rsidP="004B102F">
            <w:pPr>
              <w:pStyle w:val="TableText"/>
            </w:pPr>
          </w:p>
        </w:tc>
        <w:tc>
          <w:tcPr>
            <w:tcW w:w="624" w:type="dxa"/>
          </w:tcPr>
          <w:p w14:paraId="1D9D738F" w14:textId="77777777" w:rsidR="00595614" w:rsidRDefault="00595614" w:rsidP="004B102F">
            <w:pPr>
              <w:pStyle w:val="TableText"/>
            </w:pPr>
          </w:p>
        </w:tc>
        <w:tc>
          <w:tcPr>
            <w:tcW w:w="624" w:type="dxa"/>
          </w:tcPr>
          <w:p w14:paraId="3C66EBCC" w14:textId="77777777" w:rsidR="00595614" w:rsidRDefault="00595614" w:rsidP="004B102F">
            <w:pPr>
              <w:pStyle w:val="TableText"/>
            </w:pPr>
          </w:p>
        </w:tc>
        <w:tc>
          <w:tcPr>
            <w:tcW w:w="624" w:type="dxa"/>
          </w:tcPr>
          <w:p w14:paraId="5370C973" w14:textId="77777777" w:rsidR="00595614" w:rsidRDefault="00595614" w:rsidP="004B102F">
            <w:pPr>
              <w:pStyle w:val="TableText"/>
            </w:pPr>
          </w:p>
        </w:tc>
        <w:tc>
          <w:tcPr>
            <w:tcW w:w="4650" w:type="dxa"/>
            <w:gridSpan w:val="2"/>
          </w:tcPr>
          <w:p w14:paraId="28ED208A" w14:textId="77777777" w:rsidR="00595614" w:rsidRPr="00DD516E" w:rsidRDefault="00595614" w:rsidP="004B102F">
            <w:pPr>
              <w:pStyle w:val="TableBlockOutdent"/>
              <w:rPr>
                <w:rtl/>
              </w:rPr>
            </w:pPr>
            <w:r w:rsidRPr="00DD516E">
              <w:rPr>
                <w:rFonts w:hint="cs"/>
                <w:rtl/>
              </w:rPr>
              <w:t>"</w:t>
            </w:r>
            <w:r w:rsidRPr="00DD516E">
              <w:rPr>
                <w:rFonts w:hint="eastAsia"/>
                <w:rtl/>
              </w:rPr>
              <w:t>מעסיק</w:t>
            </w:r>
            <w:r w:rsidRPr="00DD516E">
              <w:rPr>
                <w:rtl/>
              </w:rPr>
              <w:t>" – מעסיק המעסיק יותר מ-</w:t>
            </w:r>
            <w:r>
              <w:rPr>
                <w:rFonts w:hint="cs"/>
                <w:rtl/>
              </w:rPr>
              <w:t>2</w:t>
            </w:r>
            <w:r w:rsidRPr="00DD516E">
              <w:rPr>
                <w:rtl/>
              </w:rPr>
              <w:t xml:space="preserve">5 עובדים, למעט </w:t>
            </w:r>
            <w:r>
              <w:rPr>
                <w:rFonts w:hint="cs"/>
                <w:rtl/>
              </w:rPr>
              <w:t>משרד הממשלתי או יחידת הסמך שלו</w:t>
            </w:r>
            <w:r w:rsidRPr="00DD516E">
              <w:rPr>
                <w:rtl/>
              </w:rPr>
              <w:t xml:space="preserve"> שהוראות סעיף 15א לחוק שירות המדינה (מינויים), התשי"ט</w:t>
            </w:r>
            <w:r w:rsidRPr="00DD516E">
              <w:rPr>
                <w:rFonts w:hint="eastAsia"/>
                <w:rtl/>
              </w:rPr>
              <w:t>–</w:t>
            </w:r>
            <w:r w:rsidRPr="00DD516E">
              <w:rPr>
                <w:rtl/>
              </w:rPr>
              <w:t>1959</w:t>
            </w:r>
            <w:r w:rsidRPr="00662F6D">
              <w:rPr>
                <w:sz w:val="14"/>
                <w:szCs w:val="20"/>
                <w:rtl/>
              </w:rPr>
              <w:footnoteReference w:id="3"/>
            </w:r>
            <w:r w:rsidRPr="00DD516E">
              <w:rPr>
                <w:rtl/>
              </w:rPr>
              <w:t xml:space="preserve">, </w:t>
            </w:r>
            <w:r w:rsidRPr="00DD516E">
              <w:rPr>
                <w:rFonts w:hint="eastAsia"/>
                <w:rtl/>
              </w:rPr>
              <w:t>חלות</w:t>
            </w:r>
            <w:r w:rsidRPr="00DD516E">
              <w:rPr>
                <w:rtl/>
              </w:rPr>
              <w:t xml:space="preserve"> </w:t>
            </w:r>
            <w:r w:rsidRPr="00DD516E">
              <w:rPr>
                <w:rFonts w:hint="eastAsia"/>
                <w:rtl/>
              </w:rPr>
              <w:t>עליו</w:t>
            </w:r>
            <w:r w:rsidRPr="00DD516E">
              <w:rPr>
                <w:rtl/>
              </w:rPr>
              <w:t>."</w:t>
            </w:r>
          </w:p>
        </w:tc>
      </w:tr>
    </w:tbl>
    <w:p w14:paraId="1CEFF71B" w14:textId="77777777" w:rsidR="00BF338D" w:rsidRPr="008F3683" w:rsidRDefault="00BF338D" w:rsidP="00BF338D">
      <w:pPr>
        <w:pStyle w:val="HeadDivreiHesber"/>
        <w:rPr>
          <w:sz w:val="26"/>
          <w:rtl/>
        </w:rPr>
      </w:pPr>
    </w:p>
    <w:p w14:paraId="17F863A2" w14:textId="77777777" w:rsidR="00BF338D" w:rsidRPr="008F3683" w:rsidRDefault="00BF338D" w:rsidP="00BF338D">
      <w:pPr>
        <w:pStyle w:val="HeadDivreiHesber"/>
        <w:rPr>
          <w:sz w:val="26"/>
          <w:rtl/>
        </w:rPr>
      </w:pPr>
      <w:r w:rsidRPr="008F3683">
        <w:rPr>
          <w:rFonts w:hint="cs"/>
          <w:sz w:val="26"/>
          <w:rtl/>
        </w:rPr>
        <w:t>דברי הסבר</w:t>
      </w:r>
    </w:p>
    <w:p w14:paraId="047078D0" w14:textId="1DE63C7A" w:rsidR="00BF338D" w:rsidRPr="00DB0427" w:rsidRDefault="00BF338D" w:rsidP="00DB0427">
      <w:pPr>
        <w:pStyle w:val="Hesber"/>
        <w:rPr>
          <w:rtl/>
        </w:rPr>
      </w:pPr>
      <w:r w:rsidRPr="00DB0427">
        <w:rPr>
          <w:rtl/>
        </w:rPr>
        <w:t xml:space="preserve">סקירת החקיקה הישראלית מעידה על מגמה חיובית, ההולכת ומתרחבת עם השנים, של מתן ייצוג הולם לנשים. המחוקק הישראלי חוקק, מאז קום המדינה ועד היום, חוקים המעניקים שוויון זכויות לנשים בכלל וייצוג הולם לנשים בפרט. חוקים אלו התייחסו עד כה למגזר הציבורי, וכמעט אין חקיקה בנושא המתייחסת למעסיקים פרטיים. </w:t>
      </w:r>
    </w:p>
    <w:p w14:paraId="69D776E3" w14:textId="73F0E166" w:rsidR="00BF338D" w:rsidRPr="00DB0427" w:rsidRDefault="00BF338D" w:rsidP="00DB0427">
      <w:pPr>
        <w:pStyle w:val="Hesber"/>
        <w:rPr>
          <w:rtl/>
        </w:rPr>
      </w:pPr>
      <w:r w:rsidRPr="00DB0427">
        <w:rPr>
          <w:rtl/>
        </w:rPr>
        <w:t>במגזר הפרטי הדרך עדיין ארוכה לשוויון מלא בין המינים, הן בכל הנוגע לבחירה במשלחי יד, הן בכל הנוגע לקידום נשים לתפקידי הנהלה. במגזר הפרטי גם רווחת תופעת הבידול התעסוקתי בין גברים ו</w:t>
      </w:r>
      <w:r w:rsidR="00595614" w:rsidRPr="00DB0427">
        <w:rPr>
          <w:rFonts w:hint="cs"/>
          <w:rtl/>
        </w:rPr>
        <w:t>נ</w:t>
      </w:r>
      <w:r w:rsidRPr="00DB0427">
        <w:rPr>
          <w:rtl/>
        </w:rPr>
        <w:t xml:space="preserve">שים. נשים אינן נופלות מגברים בכישוריהן. נשים המכהנות בתפקידים בכירים בולטות במצוינותן, במחויבותן ובמסירותן לתפקיד ולארגון. כדי להשיג תוצאות נראות לעין יש להתמודד עם החסמים הרבים העומדים בפני נשים ולפעול באופן יזום ושיטתי להסרתם. </w:t>
      </w:r>
    </w:p>
    <w:p w14:paraId="4B07BE64" w14:textId="47D3A25E" w:rsidR="00BF338D" w:rsidRPr="00DB0427" w:rsidRDefault="00BF338D" w:rsidP="00DB0427">
      <w:pPr>
        <w:pStyle w:val="Hesber"/>
        <w:rPr>
          <w:rtl/>
        </w:rPr>
      </w:pPr>
      <w:r w:rsidRPr="00DB0427">
        <w:rPr>
          <w:rtl/>
        </w:rPr>
        <w:t>קיים, לפיכך, צורך ליזום תיקון חקיקתי להשגת המציאות הרצויה: ייצוגן השוויוני של נשים בכל הדרגות ובכל התפקידים ובכלל זה במגזר הפרטי, שכן על המחוקק לפעול למימוש העסקה שוויונית הלכה למעשה בכל תחומי החיים.</w:t>
      </w:r>
    </w:p>
    <w:p w14:paraId="031FD521" w14:textId="77777777" w:rsidR="00BF338D" w:rsidRPr="00DB0427" w:rsidRDefault="00BF338D" w:rsidP="00DB0427">
      <w:pPr>
        <w:pStyle w:val="Hesber"/>
        <w:rPr>
          <w:rtl/>
        </w:rPr>
      </w:pPr>
      <w:r w:rsidRPr="00DB0427">
        <w:rPr>
          <w:rtl/>
        </w:rPr>
        <w:t>בחוק זה מוצע לקבוע בחוק חובת מתן ייצוג הולם לנשים בקרב מעסיק אשר מעסיק יותר מ-25 עובדים.</w:t>
      </w:r>
    </w:p>
    <w:p w14:paraId="773FFB72" w14:textId="5941C368" w:rsidR="00BF338D" w:rsidRPr="00DB0427" w:rsidRDefault="00BF338D" w:rsidP="00DB0427">
      <w:pPr>
        <w:pStyle w:val="Hesber"/>
        <w:rPr>
          <w:rtl/>
        </w:rPr>
      </w:pPr>
      <w:r w:rsidRPr="00DB0427">
        <w:rPr>
          <w:rtl/>
        </w:rPr>
        <w:lastRenderedPageBreak/>
        <w:t xml:space="preserve">סעיף דומה קיים בחוק חוק שוויון זכויות לאנשים עם מוגבלות, </w:t>
      </w:r>
      <w:r w:rsidR="00174775" w:rsidRPr="00DB0427">
        <w:rPr>
          <w:rFonts w:hint="cs"/>
          <w:rtl/>
        </w:rPr>
        <w:t>ה</w:t>
      </w:r>
      <w:r w:rsidRPr="00DB0427">
        <w:rPr>
          <w:rtl/>
        </w:rPr>
        <w:t>תשנ"ח</w:t>
      </w:r>
      <w:r w:rsidR="00174775" w:rsidRPr="00DB0427">
        <w:rPr>
          <w:rFonts w:hint="cs"/>
          <w:rtl/>
        </w:rPr>
        <w:t>–</w:t>
      </w:r>
      <w:r w:rsidRPr="00DB0427">
        <w:rPr>
          <w:rtl/>
        </w:rPr>
        <w:t>1998 ומוצע כאן להחיל אותה חובה גם ביחס להעסקת נשים.</w:t>
      </w:r>
    </w:p>
    <w:p w14:paraId="59A0076A" w14:textId="77777777" w:rsidR="00DB0427" w:rsidRDefault="00595614" w:rsidP="00DB0427">
      <w:pPr>
        <w:pStyle w:val="Hesber"/>
        <w:rPr>
          <w:rtl/>
        </w:rPr>
      </w:pPr>
      <w:r w:rsidRPr="00DB0427">
        <w:rPr>
          <w:rFonts w:hint="cs"/>
          <w:rtl/>
        </w:rPr>
        <w:t>הצע</w:t>
      </w:r>
      <w:r w:rsidR="00174775" w:rsidRPr="00DB0427">
        <w:rPr>
          <w:rFonts w:hint="cs"/>
          <w:rtl/>
        </w:rPr>
        <w:t>ות חוק דומות בעיקרן הונחו</w:t>
      </w:r>
      <w:r w:rsidRPr="00DB0427">
        <w:rPr>
          <w:rFonts w:hint="cs"/>
          <w:rtl/>
        </w:rPr>
        <w:t xml:space="preserve"> על שולחן הכנסת העשרים על ידי יוסף ג'בארין וקבוצת חברי הכנסת (</w:t>
      </w:r>
      <w:r w:rsidRPr="00DB0427">
        <w:rPr>
          <w:rtl/>
        </w:rPr>
        <w:t>פ/3765/20</w:t>
      </w:r>
      <w:r w:rsidRPr="00DB0427">
        <w:rPr>
          <w:rFonts w:hint="cs"/>
          <w:rtl/>
        </w:rPr>
        <w:t xml:space="preserve">; הוסרה מסדר היום בדיון מוקדם ביום </w:t>
      </w:r>
      <w:r w:rsidRPr="00DB0427">
        <w:rPr>
          <w:rtl/>
        </w:rPr>
        <w:t>ט"ו בחשון התשע"ט</w:t>
      </w:r>
      <w:r w:rsidRPr="00DB0427">
        <w:rPr>
          <w:rFonts w:hint="cs"/>
          <w:rtl/>
        </w:rPr>
        <w:t xml:space="preserve"> (24 באוקטובר 2018)), על ידי חברת הכנסת קסניה סבטלובה (</w:t>
      </w:r>
      <w:r w:rsidRPr="00DB0427">
        <w:rPr>
          <w:rtl/>
        </w:rPr>
        <w:t>פ/3988/20</w:t>
      </w:r>
      <w:r w:rsidRPr="00DB0427">
        <w:rPr>
          <w:rFonts w:hint="cs"/>
          <w:rtl/>
        </w:rPr>
        <w:t>) ועל ידי חבר</w:t>
      </w:r>
      <w:r w:rsidR="00174775" w:rsidRPr="00DB0427">
        <w:rPr>
          <w:rFonts w:hint="cs"/>
          <w:rtl/>
        </w:rPr>
        <w:t>י הכנסת יוסף ג'אברין ו</w:t>
      </w:r>
      <w:r w:rsidRPr="00DB0427">
        <w:rPr>
          <w:rFonts w:hint="cs"/>
          <w:rtl/>
        </w:rPr>
        <w:t>דב חנין (</w:t>
      </w:r>
      <w:r w:rsidRPr="00DB0427">
        <w:rPr>
          <w:rtl/>
        </w:rPr>
        <w:t>פ/5921/20</w:t>
      </w:r>
      <w:r w:rsidRPr="00DB0427">
        <w:rPr>
          <w:rFonts w:hint="cs"/>
          <w:rtl/>
        </w:rPr>
        <w:t>).</w:t>
      </w:r>
      <w:r w:rsidRPr="00DB0427">
        <w:rPr>
          <w:rtl/>
        </w:rPr>
        <w:t xml:space="preserve">    </w:t>
      </w:r>
    </w:p>
    <w:p w14:paraId="135925CC" w14:textId="77777777" w:rsidR="00DB0427" w:rsidRDefault="00DB0427" w:rsidP="00DB0427">
      <w:pPr>
        <w:pStyle w:val="Hesber"/>
        <w:rPr>
          <w:rtl/>
        </w:rPr>
      </w:pPr>
    </w:p>
    <w:p w14:paraId="5E0BD12F" w14:textId="77777777" w:rsidR="00DB0427" w:rsidRDefault="00DB0427" w:rsidP="00DB0427">
      <w:pPr>
        <w:pStyle w:val="Hesber"/>
        <w:rPr>
          <w:rtl/>
        </w:rPr>
      </w:pPr>
    </w:p>
    <w:p w14:paraId="0664DC42" w14:textId="77777777" w:rsidR="00DB0427" w:rsidRPr="00D73212" w:rsidRDefault="00DB0427" w:rsidP="00DB0427">
      <w:pPr>
        <w:pStyle w:val="Hesber"/>
        <w:ind w:firstLine="0"/>
        <w:rPr>
          <w:color w:val="auto"/>
          <w:rtl/>
          <w:lang w:eastAsia="en-US"/>
        </w:rPr>
      </w:pPr>
      <w:r w:rsidRPr="00D73212">
        <w:rPr>
          <w:color w:val="auto"/>
          <w:rtl/>
          <w:lang w:eastAsia="en-US"/>
        </w:rPr>
        <w:t>---------------------------------</w:t>
      </w:r>
    </w:p>
    <w:p w14:paraId="66627DD5" w14:textId="77777777" w:rsidR="00DB0427" w:rsidRPr="00D73212" w:rsidRDefault="00DB0427" w:rsidP="00DB0427">
      <w:pPr>
        <w:pStyle w:val="Hesber"/>
        <w:ind w:firstLine="0"/>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6B823482" w14:textId="77777777" w:rsidR="00DB0427" w:rsidRPr="00D73212" w:rsidRDefault="00DB0427" w:rsidP="00DB0427">
      <w:pPr>
        <w:pStyle w:val="Hesber"/>
        <w:ind w:firstLine="0"/>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D256126" w14:textId="77777777" w:rsidR="00DB0427" w:rsidRPr="005E6543" w:rsidRDefault="00DB0427" w:rsidP="00DB0427">
      <w:pPr>
        <w:pStyle w:val="Hesber"/>
        <w:ind w:firstLine="0"/>
        <w:rPr>
          <w:rtl/>
        </w:rPr>
      </w:pPr>
      <w:r>
        <w:rPr>
          <w:rFonts w:hint="cs"/>
          <w:color w:val="auto"/>
          <w:rtl/>
          <w:lang w:eastAsia="en-US"/>
        </w:rPr>
        <w:t xml:space="preserve">ד' בכסלו </w:t>
      </w:r>
      <w:r w:rsidRPr="00D73212">
        <w:rPr>
          <w:rFonts w:hint="cs"/>
          <w:color w:val="auto"/>
          <w:rtl/>
          <w:lang w:eastAsia="en-US"/>
        </w:rPr>
        <w:t>התש</w:t>
      </w:r>
      <w:r>
        <w:rPr>
          <w:rFonts w:hint="cs"/>
          <w:color w:val="auto"/>
          <w:rtl/>
          <w:lang w:eastAsia="en-US"/>
        </w:rPr>
        <w:t xml:space="preserve">"ף </w:t>
      </w:r>
      <w:r w:rsidRPr="00D73212">
        <w:rPr>
          <w:color w:val="auto"/>
          <w:rtl/>
          <w:lang w:eastAsia="en-US"/>
        </w:rPr>
        <w:t>–</w:t>
      </w:r>
      <w:r>
        <w:rPr>
          <w:rFonts w:hint="cs"/>
          <w:color w:val="auto"/>
          <w:rtl/>
          <w:lang w:eastAsia="en-US"/>
        </w:rPr>
        <w:t xml:space="preserve"> 2.12</w:t>
      </w:r>
      <w:r w:rsidRPr="00D73212">
        <w:rPr>
          <w:color w:val="auto"/>
          <w:rtl/>
          <w:lang w:eastAsia="en-US"/>
        </w:rPr>
        <w:t>.</w:t>
      </w:r>
      <w:r>
        <w:rPr>
          <w:rFonts w:hint="cs"/>
          <w:color w:val="auto"/>
          <w:rtl/>
          <w:lang w:eastAsia="en-US"/>
        </w:rPr>
        <w:t>19</w:t>
      </w:r>
    </w:p>
    <w:p w14:paraId="1B8785C8" w14:textId="6B495E1F" w:rsidR="00595614" w:rsidRPr="00DB0427" w:rsidRDefault="00595614" w:rsidP="00DB0427">
      <w:pPr>
        <w:pStyle w:val="Hesber"/>
        <w:rPr>
          <w:rtl/>
        </w:rPr>
      </w:pPr>
      <w:bookmarkStart w:id="8" w:name="_GoBack"/>
      <w:bookmarkEnd w:id="8"/>
      <w:r w:rsidRPr="00DB0427">
        <w:rPr>
          <w:rtl/>
        </w:rPr>
        <w:t xml:space="preserve">    </w:t>
      </w:r>
    </w:p>
    <w:p w14:paraId="7F6961AE" w14:textId="77777777" w:rsidR="00E13C27" w:rsidRPr="00DB0427" w:rsidRDefault="00E13C27" w:rsidP="00DB0427">
      <w:pPr>
        <w:pStyle w:val="Hesber"/>
        <w:rPr>
          <w:rtl/>
        </w:rPr>
      </w:pPr>
    </w:p>
    <w:p w14:paraId="7F6961CB" w14:textId="77777777" w:rsidR="00E13C27" w:rsidRPr="00DB0427" w:rsidRDefault="00E13C27" w:rsidP="00DB0427">
      <w:pPr>
        <w:pStyle w:val="Hesber"/>
        <w:rPr>
          <w:rtl/>
        </w:rPr>
      </w:pPr>
    </w:p>
    <w:sectPr w:rsidR="00E13C27" w:rsidRPr="00DB04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DB042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E41C64A" w14:textId="77777777" w:rsidR="00595614" w:rsidRDefault="00595614" w:rsidP="00595614">
      <w:pPr>
        <w:pStyle w:val="a4"/>
        <w:rPr>
          <w:rtl/>
        </w:rPr>
      </w:pPr>
      <w:r>
        <w:rPr>
          <w:rStyle w:val="a5"/>
        </w:rPr>
        <w:footnoteRef/>
      </w:r>
      <w:r>
        <w:rPr>
          <w:rtl/>
        </w:rPr>
        <w:t xml:space="preserve"> </w:t>
      </w:r>
      <w:r>
        <w:rPr>
          <w:rFonts w:hint="cs"/>
          <w:rtl/>
        </w:rPr>
        <w:t>ס"ח התשי"א, עמ' 248.</w:t>
      </w:r>
    </w:p>
  </w:footnote>
  <w:footnote w:id="3">
    <w:p w14:paraId="3C60F0B5" w14:textId="77777777" w:rsidR="00595614" w:rsidRDefault="00595614" w:rsidP="00595614">
      <w:pPr>
        <w:pStyle w:val="a4"/>
      </w:pPr>
      <w:r>
        <w:rPr>
          <w:rStyle w:val="a5"/>
        </w:rPr>
        <w:footnoteRef/>
      </w:r>
      <w:r>
        <w:rPr>
          <w:rtl/>
        </w:rPr>
        <w:t xml:space="preserve"> </w:t>
      </w:r>
      <w:r>
        <w:rPr>
          <w:rFonts w:hint="cs"/>
          <w:rtl/>
        </w:rPr>
        <w:t>ס"ח התשי"ט, עמ' 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B12AE"/>
    <w:multiLevelType w:val="hybridMultilevel"/>
    <w:tmpl w:val="4340570A"/>
    <w:lvl w:ilvl="0" w:tplc="C882D8EA">
      <w:start w:val="1"/>
      <w:numFmt w:val="decimal"/>
      <w:lvlText w:val="(%1)"/>
      <w:lvlJc w:val="left"/>
      <w:pPr>
        <w:ind w:left="1950" w:hanging="5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74775"/>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95614"/>
    <w:rsid w:val="005B064E"/>
    <w:rsid w:val="005D51AE"/>
    <w:rsid w:val="00624855"/>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3683"/>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C44A8"/>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BF338D"/>
    <w:rsid w:val="00C23B1A"/>
    <w:rsid w:val="00C310EB"/>
    <w:rsid w:val="00C9176A"/>
    <w:rsid w:val="00CF1AA2"/>
    <w:rsid w:val="00D142D3"/>
    <w:rsid w:val="00D17774"/>
    <w:rsid w:val="00D63620"/>
    <w:rsid w:val="00D8410D"/>
    <w:rsid w:val="00D867D7"/>
    <w:rsid w:val="00DB042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193D77B-D55F-4C4E-8D56-F192AC60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customStyle="1" w:styleId="big-header">
    <w:name w:val="big-header"/>
    <w:basedOn w:val="a"/>
    <w:rsid w:val="00BF338D"/>
    <w:pPr>
      <w:keepNext/>
      <w:keepLines/>
      <w:tabs>
        <w:tab w:val="left" w:pos="624"/>
        <w:tab w:val="left" w:pos="1021"/>
        <w:tab w:val="left" w:pos="1474"/>
        <w:tab w:val="left" w:pos="1928"/>
        <w:tab w:val="left" w:pos="2381"/>
        <w:tab w:val="left" w:pos="2835"/>
      </w:tabs>
      <w:suppressAutoHyphens/>
      <w:adjustRightInd/>
      <w:spacing w:before="440" w:after="120" w:line="240" w:lineRule="auto"/>
      <w:ind w:left="2835" w:firstLine="0"/>
      <w:jc w:val="center"/>
      <w:textAlignment w:val="auto"/>
    </w:pPr>
    <w:rPr>
      <w:rFonts w:ascii="Times New Roman" w:eastAsia="Times New Roman" w:hAnsi="Times New Roman" w:cs="Times New Roman"/>
      <w:noProof/>
      <w:color w:val="auto"/>
      <w:spacing w:val="0"/>
      <w:sz w:val="20"/>
      <w:szCs w:val="32"/>
      <w:lang w:eastAsia="he-IL"/>
    </w:rPr>
  </w:style>
  <w:style w:type="paragraph" w:styleId="ad">
    <w:name w:val="No Spacing"/>
    <w:uiPriority w:val="1"/>
    <w:qFormat/>
    <w:rsid w:val="00BF338D"/>
    <w:pPr>
      <w:widowControl w:val="0"/>
      <w:autoSpaceDE w:val="0"/>
      <w:autoSpaceDN w:val="0"/>
      <w:bidi/>
      <w:adjustRightInd w:val="0"/>
      <w:ind w:firstLine="340"/>
      <w:jc w:val="both"/>
      <w:textAlignment w:val="center"/>
    </w:pPr>
    <w:rPr>
      <w:rFonts w:ascii="Hadasa Roso SL" w:hAnsi="Hadasa Roso SL" w:cs="Hadasa Roso SL"/>
      <w:color w:val="000000"/>
      <w:spacing w:val="1"/>
      <w:sz w:val="17"/>
      <w:szCs w:val="1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0F479F1-9101-4978-B0B3-90AC110A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816D51-5B85-4879-8141-4993A0F7D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464</Words>
  <Characters>2645</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10</cp:revision>
  <cp:lastPrinted>2019-11-28T08:25:00Z</cp:lastPrinted>
  <dcterms:created xsi:type="dcterms:W3CDTF">2015-04-20T09:58:00Z</dcterms:created>
  <dcterms:modified xsi:type="dcterms:W3CDTF">2019-11-28T08:25:00Z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2083577</vt:r8>
  </property>
</Properties>
</file>