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2082854</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ושתיים</w:t>
      </w:r>
      <w:bookmarkEnd w:id="1"/>
    </w:p>
    <w:p w14:paraId="7F6961A3" w14:textId="77777777" w:rsidR="00E13C27" w:rsidRPr="00F67051" w:rsidRDefault="00E13C27" w:rsidP="00E13C27">
      <w:pPr>
        <w:rPr>
          <w:rFonts w:cs="David"/>
          <w:b/>
          <w:bCs/>
          <w:sz w:val="26"/>
          <w:szCs w:val="26"/>
          <w:rtl/>
        </w:rPr>
      </w:pPr>
    </w:p>
    <w:p w14:paraId="7F6961AA" w14:textId="2A1F4815" w:rsidR="00E13C27" w:rsidRPr="00CF1AA2" w:rsidRDefault="008F6665" w:rsidP="00704037">
      <w:pPr>
        <w:pStyle w:val="David"/>
        <w:spacing w:line="360" w:lineRule="auto"/>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עופר כסיף</w:t>
      </w:r>
      <w:r>
        <w:br/>
      </w:r>
      <w:r>
        <w:rPr>
          <w:rFonts w:hint="cs"/>
          <w:b/>
          <w:bCs/>
          <w:rtl/>
        </w:rPr>
        <w:t xml:space="preserve"> </w:t>
      </w:r>
      <w:r>
        <w:tab/>
      </w:r>
      <w:r>
        <w:tab/>
      </w:r>
      <w:r>
        <w:tab/>
      </w:r>
      <w:r>
        <w:tab/>
      </w:r>
      <w:r>
        <w:rPr>
          <w:rFonts w:hint="cs"/>
          <w:b/>
          <w:bCs/>
          <w:rtl/>
        </w:rPr>
        <w:t>ווליד טאהא</w:t>
      </w:r>
      <w:r>
        <w:br/>
      </w:r>
      <w:r>
        <w:rPr>
          <w:rFonts w:hint="cs"/>
          <w:b/>
          <w:bCs/>
          <w:rtl/>
        </w:rPr>
        <w:t xml:space="preserve"> </w:t>
      </w:r>
      <w:r>
        <w:tab/>
      </w:r>
      <w:r>
        <w:tab/>
      </w:r>
      <w:r>
        <w:tab/>
      </w:r>
      <w:r>
        <w:tab/>
      </w:r>
      <w:r>
        <w:rPr>
          <w:rFonts w:hint="cs"/>
          <w:b/>
          <w:bCs/>
          <w:rtl/>
        </w:rPr>
        <w:t>עאידה תומא סלימאן</w:t>
      </w:r>
      <w:r>
        <w:br/>
      </w:r>
      <w:r>
        <w:rPr>
          <w:rFonts w:hint="cs"/>
          <w:b/>
          <w:bCs/>
          <w:rtl/>
        </w:rPr>
        <w:t xml:space="preserve"> </w:t>
      </w:r>
      <w:r>
        <w:tab/>
      </w:r>
      <w:r>
        <w:tab/>
      </w:r>
      <w:r>
        <w:tab/>
      </w:r>
      <w:r>
        <w:tab/>
      </w:r>
      <w:r>
        <w:rPr>
          <w:rFonts w:hint="cs"/>
          <w:b/>
          <w:bCs/>
          <w:rtl/>
        </w:rPr>
        <w:t>מנסור עבאס</w:t>
      </w:r>
      <w:r>
        <w:br/>
      </w:r>
      <w:r>
        <w:rPr>
          <w:rFonts w:hint="cs"/>
          <w:b/>
          <w:bCs/>
          <w:rtl/>
        </w:rPr>
        <w:t xml:space="preserve"> </w:t>
      </w:r>
      <w:r>
        <w:tab/>
      </w:r>
      <w:r>
        <w:tab/>
      </w:r>
      <w:r>
        <w:tab/>
      </w:r>
      <w:r>
        <w:tab/>
      </w:r>
      <w:r>
        <w:rPr>
          <w:rFonts w:hint="cs"/>
          <w:b/>
          <w:bCs/>
          <w:rtl/>
        </w:rPr>
        <w:t>אוסאמה סעדי</w:t>
      </w:r>
      <w:r>
        <w:br/>
      </w:r>
      <w:r>
        <w:rPr>
          <w:rFonts w:hint="cs"/>
          <w:b/>
          <w:bCs/>
          <w:rtl/>
        </w:rPr>
        <w:t xml:space="preserve"> </w:t>
      </w:r>
      <w:r>
        <w:tab/>
      </w:r>
      <w:r>
        <w:tab/>
      </w:r>
      <w:r>
        <w:tab/>
      </w:r>
      <w:r>
        <w:tab/>
      </w:r>
      <w:r>
        <w:rPr>
          <w:rFonts w:hint="cs"/>
          <w:b/>
          <w:bCs/>
          <w:rtl/>
        </w:rPr>
        <w:t>אנטאנס שחאדה</w:t>
      </w:r>
      <w:r>
        <w:br/>
      </w:r>
      <w:r>
        <w:rPr>
          <w:rFonts w:hint="cs"/>
          <w:b/>
          <w:bCs/>
          <w:rtl/>
        </w:rPr>
        <w:t xml:space="preserve"> </w:t>
      </w:r>
      <w:r>
        <w:tab/>
      </w:r>
      <w:r>
        <w:tab/>
      </w:r>
      <w:r>
        <w:tab/>
      </w:r>
      <w:r>
        <w:tab/>
      </w:r>
      <w:r>
        <w:rPr>
          <w:rFonts w:hint="cs"/>
          <w:b/>
          <w:bCs/>
          <w:rtl/>
        </w:rPr>
        <w:t>תמר זנדברג</w:t>
      </w:r>
      <w:r>
        <w:br/>
      </w:r>
      <w:r>
        <w:rPr>
          <w:rFonts w:hint="cs"/>
          <w:b/>
          <w:bCs/>
          <w:rtl/>
        </w:rPr>
        <w:t xml:space="preserve"> </w:t>
      </w:r>
      <w:r>
        <w:tab/>
      </w:r>
      <w:r>
        <w:tab/>
      </w:r>
      <w:r>
        <w:tab/>
      </w:r>
      <w:r>
        <w:tab/>
      </w:r>
      <w:r>
        <w:rPr>
          <w:rFonts w:hint="cs"/>
          <w:b/>
          <w:bCs/>
          <w:rtl/>
        </w:rPr>
        <w:t>אלון שוסטר</w:t>
      </w:r>
      <w:r>
        <w:br/>
      </w:r>
      <w:r>
        <w:rPr>
          <w:rFonts w:hint="cs"/>
          <w:b/>
          <w:bCs/>
          <w:rtl/>
        </w:rPr>
        <w:t xml:space="preserve"> </w:t>
      </w:r>
      <w:r>
        <w:tab/>
      </w:r>
      <w:r>
        <w:tab/>
      </w:r>
      <w:r>
        <w:tab/>
      </w:r>
      <w:r>
        <w:tab/>
      </w:r>
      <w:r>
        <w:rPr>
          <w:rFonts w:hint="cs"/>
          <w:b/>
          <w:bCs/>
          <w:rtl/>
        </w:rPr>
        <w:t>מיכאל מרדכי ביטון</w:t>
      </w:r>
      <w:r>
        <w:br/>
      </w:r>
      <w:r>
        <w:rPr>
          <w:rFonts w:hint="cs"/>
          <w:b/>
          <w:bCs/>
          <w:rtl/>
        </w:rPr>
        <w:t xml:space="preserve"> </w:t>
      </w:r>
      <w:r>
        <w:tab/>
      </w:r>
      <w:r>
        <w:tab/>
      </w:r>
      <w:r>
        <w:tab/>
      </w:r>
      <w:r>
        <w:tab/>
      </w:r>
      <w:r>
        <w:rPr>
          <w:rFonts w:hint="cs"/>
          <w:b/>
          <w:bCs/>
          <w:rtl/>
        </w:rPr>
        <w:t>ניצן הורוביץ</w:t>
      </w:r>
      <w:r>
        <w:br/>
      </w:r>
      <w:r>
        <w:rPr>
          <w:rFonts w:hint="cs"/>
          <w:b/>
          <w:bCs/>
          <w:rtl/>
        </w:rPr>
        <w:t xml:space="preserve"> </w:t>
      </w:r>
      <w:r>
        <w:tab/>
      </w:r>
      <w:r>
        <w:tab/>
      </w:r>
      <w:r>
        <w:tab/>
      </w:r>
      <w:r>
        <w:tab/>
      </w:r>
      <w:r>
        <w:rPr>
          <w:rFonts w:hint="cs"/>
          <w:b/>
          <w:bCs/>
          <w:rtl/>
        </w:rPr>
        <w:t>אילן גילאון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rFonts w:hint="cs"/>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32C9B6D1" w:rsidR="00E13C27" w:rsidRDefault="00904591" w:rsidP="00351A69">
      <w:pPr>
        <w:pStyle w:val="David"/>
        <w:spacing w:before="0" w:line="240" w:lineRule="auto"/>
        <w:ind w:left="3544"/>
      </w:pPr>
      <w:r>
        <w:t xml:space="preserve">            </w:t>
      </w:r>
      <w:r w:rsidR="00351A69">
        <w:t xml:space="preserve">                              </w:t>
      </w:r>
      <w:r w:rsidR="00704037">
        <w:rPr>
          <w:rtl/>
        </w:rPr>
        <w:tab/>
      </w:r>
      <w:r w:rsidR="00704037">
        <w:rPr>
          <w:rFonts w:hint="cs"/>
          <w:rtl/>
        </w:rPr>
        <w:t>פ/1077/22</w:t>
      </w:r>
    </w:p>
    <w:p w14:paraId="426BA559" w14:textId="77777777" w:rsidR="003849BD" w:rsidRDefault="003849BD" w:rsidP="003849BD">
      <w:pPr>
        <w:pStyle w:val="HeadHatzaotHok"/>
        <w:rPr>
          <w:rtl/>
        </w:rPr>
      </w:pPr>
      <w:bookmarkStart w:id="6" w:name="LGS_Subject"/>
      <w:r>
        <w:rPr>
          <w:rFonts w:hint="cs"/>
          <w:rtl/>
        </w:rPr>
        <w:t>הצעת חוק זכרון השואה והגבורה – יד ושם (תיקון – הגבלות ביקורים של נציגים זרים המעורבים או תומכים בפשעים נגד האנושות, פשעי מלחמה והפרות חמורות של זכויות אדם), התש"ף–2019</w:t>
      </w:r>
      <w:bookmarkEnd w:id="6"/>
    </w:p>
    <w:p w14:paraId="36B328E4" w14:textId="77777777" w:rsidR="003849BD" w:rsidRPr="00F67051" w:rsidRDefault="003849BD" w:rsidP="00704037">
      <w:pPr>
        <w:pStyle w:val="HeadHatzaotHok"/>
        <w:spacing w:before="0"/>
        <w:jc w:val="both"/>
        <w:rPr>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5"/>
        <w:gridCol w:w="7142"/>
      </w:tblGrid>
      <w:tr w:rsidR="003849BD" w14:paraId="6121BEA0" w14:textId="77777777" w:rsidTr="0040276F">
        <w:trPr>
          <w:cantSplit/>
        </w:trPr>
        <w:tc>
          <w:tcPr>
            <w:tcW w:w="1872" w:type="dxa"/>
          </w:tcPr>
          <w:p w14:paraId="12347957" w14:textId="77777777" w:rsidR="003849BD" w:rsidRDefault="003849BD" w:rsidP="0040276F">
            <w:pPr>
              <w:pStyle w:val="TableSideHeading"/>
              <w:keepLines w:val="0"/>
            </w:pPr>
            <w:r>
              <w:rPr>
                <w:rFonts w:hint="cs"/>
                <w:rtl/>
              </w:rPr>
              <w:t>תיקון סעיף 2</w:t>
            </w:r>
          </w:p>
        </w:tc>
        <w:tc>
          <w:tcPr>
            <w:tcW w:w="625" w:type="dxa"/>
          </w:tcPr>
          <w:p w14:paraId="021FAF2A" w14:textId="77777777" w:rsidR="003849BD" w:rsidRDefault="003849BD" w:rsidP="0040276F">
            <w:pPr>
              <w:pStyle w:val="TableText"/>
              <w:keepLines w:val="0"/>
            </w:pPr>
            <w:r>
              <w:rPr>
                <w:rFonts w:hint="cs"/>
                <w:rtl/>
              </w:rPr>
              <w:t xml:space="preserve">1. </w:t>
            </w:r>
          </w:p>
        </w:tc>
        <w:tc>
          <w:tcPr>
            <w:tcW w:w="7142" w:type="dxa"/>
          </w:tcPr>
          <w:p w14:paraId="148F8659" w14:textId="77777777" w:rsidR="003849BD" w:rsidRPr="007A0131" w:rsidRDefault="003849BD" w:rsidP="0040276F">
            <w:pPr>
              <w:pStyle w:val="TableBlock"/>
            </w:pPr>
            <w:r>
              <w:rPr>
                <w:rFonts w:hint="cs"/>
                <w:rtl/>
              </w:rPr>
              <w:t>ב</w:t>
            </w:r>
            <w:r w:rsidRPr="007A0131">
              <w:rPr>
                <w:rtl/>
              </w:rPr>
              <w:t>חוק ז</w:t>
            </w:r>
            <w:r>
              <w:rPr>
                <w:rFonts w:hint="cs"/>
                <w:rtl/>
              </w:rPr>
              <w:t>י</w:t>
            </w:r>
            <w:r w:rsidRPr="007A0131">
              <w:rPr>
                <w:rtl/>
              </w:rPr>
              <w:t xml:space="preserve">כרון השואה והגבורה – יד ושם, </w:t>
            </w:r>
            <w:r>
              <w:rPr>
                <w:rFonts w:hint="cs"/>
                <w:rtl/>
              </w:rPr>
              <w:t>ה</w:t>
            </w:r>
            <w:r w:rsidRPr="007A0131">
              <w:rPr>
                <w:rtl/>
              </w:rPr>
              <w:t>תשי"ג</w:t>
            </w:r>
            <w:r>
              <w:rPr>
                <w:rFonts w:hint="cs"/>
                <w:rtl/>
              </w:rPr>
              <w:t>–</w:t>
            </w:r>
            <w:r w:rsidRPr="007A0131">
              <w:rPr>
                <w:rtl/>
              </w:rPr>
              <w:t>1953</w:t>
            </w:r>
            <w:r w:rsidRPr="007A0131">
              <w:rPr>
                <w:rStyle w:val="a5"/>
                <w:rFonts w:ascii="David" w:hAnsi="David"/>
                <w:sz w:val="26"/>
                <w:rtl/>
              </w:rPr>
              <w:footnoteReference w:id="2"/>
            </w:r>
            <w:r w:rsidRPr="007A0131">
              <w:rPr>
                <w:rtl/>
              </w:rPr>
              <w:t xml:space="preserve">, </w:t>
            </w:r>
            <w:r>
              <w:rPr>
                <w:rFonts w:hint="cs"/>
                <w:rtl/>
              </w:rPr>
              <w:t xml:space="preserve">בסעיף 2, </w:t>
            </w:r>
            <w:r w:rsidRPr="007A0131">
              <w:rPr>
                <w:rFonts w:hint="eastAsia"/>
                <w:rtl/>
              </w:rPr>
              <w:t>אחרי</w:t>
            </w:r>
            <w:r w:rsidRPr="007A0131">
              <w:rPr>
                <w:rtl/>
              </w:rPr>
              <w:t xml:space="preserve"> </w:t>
            </w:r>
            <w:r>
              <w:rPr>
                <w:rFonts w:hint="cs"/>
                <w:rtl/>
              </w:rPr>
              <w:t>פסקה</w:t>
            </w:r>
            <w:r w:rsidRPr="007A0131">
              <w:rPr>
                <w:rtl/>
              </w:rPr>
              <w:t xml:space="preserve"> (</w:t>
            </w:r>
            <w:r>
              <w:rPr>
                <w:rFonts w:hint="cs"/>
                <w:rtl/>
              </w:rPr>
              <w:t>6</w:t>
            </w:r>
            <w:r w:rsidRPr="007A0131">
              <w:rPr>
                <w:rtl/>
              </w:rPr>
              <w:t xml:space="preserve">) יבוא: </w:t>
            </w:r>
          </w:p>
        </w:tc>
      </w:tr>
      <w:tr w:rsidR="003849BD" w14:paraId="16E06486" w14:textId="77777777" w:rsidTr="0040276F">
        <w:trPr>
          <w:cantSplit/>
        </w:trPr>
        <w:tc>
          <w:tcPr>
            <w:tcW w:w="1872" w:type="dxa"/>
          </w:tcPr>
          <w:p w14:paraId="669AFD1A" w14:textId="77777777" w:rsidR="003849BD" w:rsidDel="009522DD" w:rsidRDefault="003849BD" w:rsidP="0040276F">
            <w:pPr>
              <w:pStyle w:val="TableSideHeading"/>
              <w:keepLines w:val="0"/>
              <w:rPr>
                <w:rtl/>
              </w:rPr>
            </w:pPr>
          </w:p>
        </w:tc>
        <w:tc>
          <w:tcPr>
            <w:tcW w:w="625" w:type="dxa"/>
          </w:tcPr>
          <w:p w14:paraId="62ECCDBF" w14:textId="77777777" w:rsidR="003849BD" w:rsidRDefault="003849BD" w:rsidP="0040276F">
            <w:pPr>
              <w:pStyle w:val="TableText"/>
              <w:keepLines w:val="0"/>
              <w:rPr>
                <w:rtl/>
              </w:rPr>
            </w:pPr>
          </w:p>
        </w:tc>
        <w:tc>
          <w:tcPr>
            <w:tcW w:w="7142" w:type="dxa"/>
          </w:tcPr>
          <w:p w14:paraId="319E0988" w14:textId="77777777" w:rsidR="003849BD" w:rsidRDefault="003849BD" w:rsidP="0040276F">
            <w:pPr>
              <w:pStyle w:val="TableBlock"/>
              <w:rPr>
                <w:rtl/>
              </w:rPr>
            </w:pPr>
            <w:r>
              <w:rPr>
                <w:rFonts w:hint="cs"/>
                <w:rtl/>
              </w:rPr>
              <w:t>"(6א)</w:t>
            </w:r>
            <w:r>
              <w:rPr>
                <w:rtl/>
              </w:rPr>
              <w:tab/>
            </w:r>
            <w:r>
              <w:rPr>
                <w:rFonts w:hint="cs"/>
                <w:rtl/>
              </w:rPr>
              <w:t xml:space="preserve">לאשר ביקורים רשמיים של </w:t>
            </w:r>
            <w:r w:rsidRPr="009522DD">
              <w:rPr>
                <w:rFonts w:hint="eastAsia"/>
                <w:rtl/>
              </w:rPr>
              <w:t>נציגים</w:t>
            </w:r>
            <w:r w:rsidRPr="009522DD">
              <w:rPr>
                <w:rtl/>
              </w:rPr>
              <w:t xml:space="preserve"> </w:t>
            </w:r>
            <w:r w:rsidRPr="009522DD">
              <w:rPr>
                <w:rFonts w:hint="eastAsia"/>
                <w:rtl/>
              </w:rPr>
              <w:t>זרים</w:t>
            </w:r>
            <w:r>
              <w:rPr>
                <w:rFonts w:hint="cs"/>
                <w:rtl/>
              </w:rPr>
              <w:t xml:space="preserve"> במוזיאון לתולדות השואה "יד ושם", בהתאם למטרותיו, תפקידיו וסמכויותיו, הקבועים בסעיף 1 ובסעיפים 2(1) עד 2(6) לחוק זה."</w:t>
            </w:r>
          </w:p>
        </w:tc>
      </w:tr>
    </w:tbl>
    <w:p w14:paraId="397D3269" w14:textId="77777777" w:rsidR="003849BD" w:rsidRPr="007A0131" w:rsidRDefault="003849BD" w:rsidP="003849BD">
      <w:pPr>
        <w:pStyle w:val="HeadDivreiHesber"/>
        <w:rPr>
          <w:rtl/>
        </w:rPr>
      </w:pPr>
      <w:r w:rsidRPr="007A0131">
        <w:rPr>
          <w:rFonts w:hint="cs"/>
          <w:rtl/>
        </w:rPr>
        <w:t>דברי הסבר</w:t>
      </w:r>
    </w:p>
    <w:p w14:paraId="1303B5CC" w14:textId="77777777" w:rsidR="003849BD" w:rsidRPr="007A0131" w:rsidRDefault="003849BD" w:rsidP="003849BD">
      <w:pPr>
        <w:pStyle w:val="Hesber"/>
        <w:rPr>
          <w:rtl/>
        </w:rPr>
      </w:pPr>
      <w:r w:rsidRPr="007A0131">
        <w:rPr>
          <w:rtl/>
        </w:rPr>
        <w:t xml:space="preserve">סעיפים 1 ו-2 לחוק זיכרון השואה והגבורה – יד ושם, </w:t>
      </w:r>
      <w:r w:rsidRPr="007A0131">
        <w:rPr>
          <w:rFonts w:hint="cs"/>
          <w:rtl/>
        </w:rPr>
        <w:t>ה</w:t>
      </w:r>
      <w:r w:rsidRPr="007A0131">
        <w:rPr>
          <w:rtl/>
        </w:rPr>
        <w:t>תשי"ג</w:t>
      </w:r>
      <w:r w:rsidRPr="007A0131">
        <w:rPr>
          <w:rFonts w:hint="cs"/>
          <w:rtl/>
        </w:rPr>
        <w:t>–</w:t>
      </w:r>
      <w:r w:rsidRPr="007A0131">
        <w:rPr>
          <w:rtl/>
        </w:rPr>
        <w:t xml:space="preserve">1953, קובעים את מטרות "יד ושם" ותפקידיו, ולמעשה מגדירים אותו באופן שאפתני לא כמוסד ישראלי-מקומי בלבד, אלא כמוסד עולמי לזכר ולחקר שואת </w:t>
      </w:r>
      <w:r w:rsidRPr="007A0131">
        <w:rPr>
          <w:rFonts w:hint="cs"/>
          <w:rtl/>
        </w:rPr>
        <w:t>ה</w:t>
      </w:r>
      <w:r w:rsidRPr="007A0131">
        <w:rPr>
          <w:rtl/>
        </w:rPr>
        <w:t>יהודי</w:t>
      </w:r>
      <w:r w:rsidRPr="007A0131">
        <w:rPr>
          <w:rFonts w:hint="cs"/>
          <w:rtl/>
        </w:rPr>
        <w:t>ם</w:t>
      </w:r>
      <w:r w:rsidRPr="007A0131">
        <w:rPr>
          <w:rtl/>
        </w:rPr>
        <w:t xml:space="preserve"> </w:t>
      </w:r>
      <w:r w:rsidRPr="007A0131">
        <w:rPr>
          <w:rFonts w:hint="cs"/>
          <w:rtl/>
        </w:rPr>
        <w:t>ב</w:t>
      </w:r>
      <w:r w:rsidRPr="007A0131">
        <w:rPr>
          <w:rtl/>
        </w:rPr>
        <w:t>אירופה, ה</w:t>
      </w:r>
      <w:r>
        <w:rPr>
          <w:rFonts w:hint="cs"/>
          <w:rtl/>
        </w:rPr>
        <w:t>נוגע לכלל היהודים ולאנושות כולה.</w:t>
      </w:r>
    </w:p>
    <w:p w14:paraId="106209CF" w14:textId="77777777" w:rsidR="003849BD" w:rsidRPr="007A0131" w:rsidRDefault="003849BD" w:rsidP="003849BD">
      <w:pPr>
        <w:pStyle w:val="Hesber"/>
        <w:rPr>
          <w:rtl/>
        </w:rPr>
      </w:pPr>
      <w:r w:rsidRPr="007A0131">
        <w:rPr>
          <w:rtl/>
        </w:rPr>
        <w:t>כמעט במקביל לחקיקת חוק זה, נקבע בפרוטוקול הדיפלומטי של חטיבת הטקס במשרד החוץ, כי כל בכיר ממדינה זרה המבקר בישראל, יחויב לבקר גם ב</w:t>
      </w:r>
      <w:r w:rsidRPr="007A0131">
        <w:rPr>
          <w:rFonts w:hint="cs"/>
          <w:rtl/>
        </w:rPr>
        <w:t xml:space="preserve">מוזיאון לתולדות השואה </w:t>
      </w:r>
      <w:r w:rsidRPr="007A0131">
        <w:rPr>
          <w:rtl/>
        </w:rPr>
        <w:t xml:space="preserve">"יד ושם". </w:t>
      </w:r>
      <w:r w:rsidRPr="007A0131">
        <w:rPr>
          <w:rFonts w:hint="cs"/>
          <w:rtl/>
        </w:rPr>
        <w:t>כך נכתב באתר האינטרנט של משרד החוץ: "</w:t>
      </w:r>
      <w:r w:rsidRPr="007A0131">
        <w:rPr>
          <w:rtl/>
        </w:rPr>
        <w:t xml:space="preserve">הפרוטוקול המחייב של ביקור משלחות זרים באתר יד ושם ותשומת הלב המוקדשת לגיוון ולשוני שיש בכל סיור כזה, תורם רבות להידוק ההבנה וההיכרות ההדדית בין המדינות </w:t>
      </w:r>
      <w:r w:rsidRPr="007A0131">
        <w:rPr>
          <w:rtl/>
        </w:rPr>
        <w:lastRenderedPageBreak/>
        <w:t>לבין מדינת ישראל ולהעמקת הקשרים עמן</w:t>
      </w:r>
      <w:r w:rsidRPr="007A0131">
        <w:rPr>
          <w:rFonts w:hint="cs"/>
          <w:rtl/>
        </w:rPr>
        <w:t>"</w:t>
      </w:r>
      <w:r w:rsidRPr="007A0131">
        <w:t>.</w:t>
      </w:r>
    </w:p>
    <w:p w14:paraId="1C1F149B" w14:textId="77777777" w:rsidR="003849BD" w:rsidRPr="007A0131" w:rsidRDefault="003849BD" w:rsidP="003849BD">
      <w:pPr>
        <w:pStyle w:val="Hesber"/>
      </w:pPr>
      <w:r w:rsidRPr="007A0131">
        <w:rPr>
          <w:rFonts w:hint="cs"/>
          <w:rtl/>
        </w:rPr>
        <w:t>עמדת "</w:t>
      </w:r>
      <w:r w:rsidRPr="007A0131">
        <w:rPr>
          <w:rtl/>
        </w:rPr>
        <w:t>יד ושם</w:t>
      </w:r>
      <w:r w:rsidRPr="007A0131">
        <w:rPr>
          <w:rFonts w:hint="cs"/>
          <w:rtl/>
        </w:rPr>
        <w:t>"</w:t>
      </w:r>
      <w:r w:rsidRPr="007A0131">
        <w:rPr>
          <w:rtl/>
        </w:rPr>
        <w:t xml:space="preserve"> </w:t>
      </w:r>
      <w:r w:rsidRPr="007A0131">
        <w:rPr>
          <w:rFonts w:hint="cs"/>
          <w:rtl/>
        </w:rPr>
        <w:t xml:space="preserve">הינה כי אין להנהלתו שיקול דעת כלשהו בעניין, וכי המוזיאון </w:t>
      </w:r>
      <w:r w:rsidRPr="007A0131">
        <w:rPr>
          <w:rtl/>
        </w:rPr>
        <w:t>מקבל את אורחי המדינה בהתאם לתוכנית הביקור של משרד החוץ, האחראי על ביקורים רשמיים במדינת ישראל.</w:t>
      </w:r>
    </w:p>
    <w:p w14:paraId="6F663FF1" w14:textId="77777777" w:rsidR="003849BD" w:rsidRPr="007A0131" w:rsidRDefault="003849BD" w:rsidP="003849BD">
      <w:pPr>
        <w:pStyle w:val="Hesber"/>
        <w:rPr>
          <w:rtl/>
        </w:rPr>
      </w:pPr>
      <w:r w:rsidRPr="007A0131">
        <w:rPr>
          <w:rFonts w:hint="cs"/>
          <w:rtl/>
        </w:rPr>
        <w:t>כך נוצר מצב בו בכירים זרים המעורבים ו/או תומכים בביצוע פשעי מלחמה, פשעים נגד האנושות והפרות חמורות של זכויות אדם ברחבי העולם ו/או התומכים במדיניות גזענית ואף אנטישמית ו/או שהתבטאו באופן המהווה הכחשת שואה או חילול של זכר השואה, מבקרים במסגרת ביקורם הרשמי בישראל גם ב"יד ושם", כאשר לא פעם הביקור משמש אותם לצרכיהם הפוליטיים.</w:t>
      </w:r>
    </w:p>
    <w:p w14:paraId="40B00540" w14:textId="77777777" w:rsidR="003849BD" w:rsidRPr="007A0131" w:rsidRDefault="003849BD" w:rsidP="003849BD">
      <w:pPr>
        <w:pStyle w:val="Hesber"/>
        <w:rPr>
          <w:rtl/>
        </w:rPr>
      </w:pPr>
      <w:r w:rsidRPr="007A0131">
        <w:rPr>
          <w:rtl/>
        </w:rPr>
        <w:t>מאז הביקור ב"יד ושם" שעורר זעזוע ותמיהה, באפריל 1976, של ראש ממשלת דרום אפריקה</w:t>
      </w:r>
      <w:r w:rsidRPr="007A0131">
        <w:rPr>
          <w:rFonts w:hint="cs"/>
          <w:rtl/>
        </w:rPr>
        <w:t xml:space="preserve"> ג'ון פורסטר</w:t>
      </w:r>
      <w:r w:rsidRPr="007A0131">
        <w:rPr>
          <w:rtl/>
        </w:rPr>
        <w:t>, אשר עמד בראש משטר האפרטהייד וגם היה חבר בארגון פרו-נאצי בזמן מלחמת העולם השנייה, ביקרו</w:t>
      </w:r>
      <w:r w:rsidRPr="007A0131">
        <w:rPr>
          <w:rFonts w:hint="cs"/>
          <w:rtl/>
        </w:rPr>
        <w:t xml:space="preserve"> בביקורים רשמיים</w:t>
      </w:r>
      <w:r w:rsidRPr="007A0131">
        <w:rPr>
          <w:rtl/>
        </w:rPr>
        <w:t xml:space="preserve"> ב"יד ושם" אישים בלתי ראויים נוספים. בין היתר, בשנים האחרונות ביקרו האישים הבאים</w:t>
      </w:r>
      <w:r w:rsidRPr="007A0131">
        <w:rPr>
          <w:rFonts w:hint="cs"/>
          <w:rtl/>
        </w:rPr>
        <w:t xml:space="preserve">: ביום 2.4.2019, ביקר </w:t>
      </w:r>
      <w:r w:rsidRPr="007A0131">
        <w:rPr>
          <w:rtl/>
        </w:rPr>
        <w:t>נשיא ברזי</w:t>
      </w:r>
      <w:r w:rsidRPr="007A0131">
        <w:rPr>
          <w:rFonts w:hint="cs"/>
          <w:rtl/>
        </w:rPr>
        <w:t xml:space="preserve">ל, </w:t>
      </w:r>
      <w:r w:rsidRPr="007A0131">
        <w:rPr>
          <w:rtl/>
        </w:rPr>
        <w:t xml:space="preserve">איש הימין הקיצוני </w:t>
      </w:r>
      <w:bookmarkStart w:id="7" w:name="_Hlk4256291"/>
      <w:r w:rsidRPr="007A0131">
        <w:rPr>
          <w:rtl/>
        </w:rPr>
        <w:t>ז'איר בולסונרו</w:t>
      </w:r>
      <w:bookmarkEnd w:id="7"/>
      <w:r w:rsidRPr="007A0131">
        <w:rPr>
          <w:rtl/>
        </w:rPr>
        <w:t>,</w:t>
      </w:r>
      <w:r w:rsidRPr="007A0131">
        <w:rPr>
          <w:rFonts w:hint="cs"/>
          <w:rtl/>
        </w:rPr>
        <w:t xml:space="preserve"> אשר במשך השנים חזר והביע תמיכה בעינויים, בהחזרת הדיקטטורה הצבאית, באלימות נגד נשים, בהשמדת האוכלוסייה הילידית, בחיסול פיזי של הלהטב"ק וחברי מפלגות השמאל והפועלים. מיד לאחר ההדרכה של בולסונרו ב"יד ושם", הוא כיזב ואמר בראיון שהנאצים היו שמאלנים. ביום 13.4.2019, בולסונרו אמר </w:t>
      </w:r>
      <w:r w:rsidRPr="007A0131">
        <w:rPr>
          <w:rtl/>
        </w:rPr>
        <w:t>בפגישה עם כמרים אוונגליסטים בריו דה ז'ניירו</w:t>
      </w:r>
      <w:r w:rsidRPr="007A0131">
        <w:rPr>
          <w:rFonts w:hint="cs"/>
          <w:rtl/>
        </w:rPr>
        <w:t>, שנ</w:t>
      </w:r>
      <w:r w:rsidRPr="007A0131">
        <w:rPr>
          <w:rtl/>
        </w:rPr>
        <w:t>יתן לסלוח על פשעי השואה</w:t>
      </w:r>
      <w:r w:rsidRPr="007A0131">
        <w:rPr>
          <w:rFonts w:hint="cs"/>
          <w:rtl/>
        </w:rPr>
        <w:t xml:space="preserve">; ביום 19.7.2018, ביקר ראש ממשלת הונגריה, ויקטור אורבן, אשר מוביל קמפיין אנטישמי, גזעני ואנטי-דמוקרטי. בין היתר, ביום 21.6.2017, </w:t>
      </w:r>
      <w:r w:rsidRPr="007A0131">
        <w:rPr>
          <w:rtl/>
        </w:rPr>
        <w:t xml:space="preserve">אורבן </w:t>
      </w:r>
      <w:r w:rsidRPr="007A0131">
        <w:rPr>
          <w:rFonts w:hint="cs"/>
          <w:rtl/>
        </w:rPr>
        <w:t xml:space="preserve">הביע תמיכה </w:t>
      </w:r>
      <w:r w:rsidRPr="007A0131">
        <w:rPr>
          <w:rtl/>
        </w:rPr>
        <w:t>בשליט הונגריה</w:t>
      </w:r>
      <w:r w:rsidRPr="007A0131">
        <w:rPr>
          <w:rFonts w:hint="cs"/>
          <w:rtl/>
        </w:rPr>
        <w:t xml:space="preserve"> האנטישמי</w:t>
      </w:r>
      <w:r w:rsidRPr="007A0131">
        <w:rPr>
          <w:rtl/>
        </w:rPr>
        <w:t xml:space="preserve"> </w:t>
      </w:r>
      <w:r w:rsidRPr="007A0131">
        <w:rPr>
          <w:rFonts w:hint="cs"/>
          <w:rtl/>
        </w:rPr>
        <w:t>מיקלוש</w:t>
      </w:r>
      <w:r w:rsidRPr="007A0131">
        <w:rPr>
          <w:rtl/>
        </w:rPr>
        <w:t xml:space="preserve"> </w:t>
      </w:r>
      <w:r w:rsidRPr="007A0131">
        <w:rPr>
          <w:rFonts w:hint="cs"/>
          <w:rtl/>
        </w:rPr>
        <w:t xml:space="preserve">הורטי, אשר הייתה לו אחריות ישירה להשמדת יהודי הונגריה </w:t>
      </w:r>
      <w:r w:rsidRPr="007A0131">
        <w:rPr>
          <w:rtl/>
        </w:rPr>
        <w:t xml:space="preserve">בזמן מלחמת העולם </w:t>
      </w:r>
      <w:r w:rsidRPr="007A0131">
        <w:rPr>
          <w:rFonts w:hint="cs"/>
          <w:rtl/>
        </w:rPr>
        <w:t>ה</w:t>
      </w:r>
      <w:r w:rsidRPr="007A0131">
        <w:rPr>
          <w:rtl/>
        </w:rPr>
        <w:t xml:space="preserve">שנייה, </w:t>
      </w:r>
      <w:r w:rsidRPr="007A0131">
        <w:rPr>
          <w:rFonts w:hint="cs"/>
          <w:rtl/>
        </w:rPr>
        <w:t xml:space="preserve">ולחקיקה אנטישמית קודם לכן (מוזיאון השואה בוושינגטון גינה את אורבן בחריפות), וכן ממשלתו ומפלגתו של אורבן אחראיות להקמת אנדרטאות זיכרון ברחבי הונגריה, לכבוד אנטישמים, פשיסטים וסייענים של הנאצים; ביום 7.9.2015, ביקר ב"יד ושם" </w:t>
      </w:r>
      <w:r w:rsidRPr="007A0131">
        <w:rPr>
          <w:rFonts w:hint="eastAsia"/>
          <w:rtl/>
        </w:rPr>
        <w:t>ראש</w:t>
      </w:r>
      <w:r w:rsidRPr="007A0131">
        <w:rPr>
          <w:rtl/>
        </w:rPr>
        <w:t xml:space="preserve"> </w:t>
      </w:r>
      <w:r w:rsidRPr="007A0131">
        <w:rPr>
          <w:rFonts w:hint="eastAsia"/>
          <w:rtl/>
        </w:rPr>
        <w:t>החונטה</w:t>
      </w:r>
      <w:r w:rsidRPr="007A0131">
        <w:rPr>
          <w:rtl/>
        </w:rPr>
        <w:t xml:space="preserve"> </w:t>
      </w:r>
      <w:r w:rsidRPr="007A0131">
        <w:rPr>
          <w:rFonts w:hint="eastAsia"/>
          <w:rtl/>
        </w:rPr>
        <w:t>הצבאית</w:t>
      </w:r>
      <w:r w:rsidRPr="007A0131">
        <w:rPr>
          <w:rFonts w:hint="cs"/>
          <w:rtl/>
        </w:rPr>
        <w:t xml:space="preserve"> במיאנמר, הרמטכ"ל מין אונג הלאינג</w:t>
      </w:r>
      <w:r w:rsidRPr="007A0131">
        <w:rPr>
          <w:rtl/>
        </w:rPr>
        <w:t>, בזמן שביצע פשעים נגד האנושות ופשעי מלחמה, ואף שכבר במאי 2015 מוזיאון השואה בוושינגטון הזהיר שהמצב ב</w:t>
      </w:r>
      <w:r w:rsidRPr="007A0131">
        <w:rPr>
          <w:rFonts w:hint="cs"/>
          <w:rtl/>
        </w:rPr>
        <w:t>מיאנמר</w:t>
      </w:r>
      <w:r w:rsidRPr="007A0131">
        <w:rPr>
          <w:rtl/>
        </w:rPr>
        <w:t xml:space="preserve"> עלול להידרדר לרצח עם. ראש החונטה פרסם בדף הפייסבוק שלו תמונה מביקורו ב</w:t>
      </w:r>
      <w:r w:rsidRPr="007A0131">
        <w:t>"</w:t>
      </w:r>
      <w:r w:rsidRPr="007A0131">
        <w:rPr>
          <w:rtl/>
        </w:rPr>
        <w:t>יד ושם</w:t>
      </w:r>
      <w:r w:rsidRPr="007A0131">
        <w:rPr>
          <w:rFonts w:hint="cs"/>
          <w:rtl/>
        </w:rPr>
        <w:t xml:space="preserve">". </w:t>
      </w:r>
      <w:r w:rsidRPr="007A0131">
        <w:rPr>
          <w:rtl/>
        </w:rPr>
        <w:t>בהמשך ומאז משנת 2016, הוא מנהל השמדת עם של קבוצת המיעוט המוסלמי</w:t>
      </w:r>
      <w:r w:rsidRPr="007A0131">
        <w:t>,</w:t>
      </w:r>
      <w:r w:rsidRPr="007A0131">
        <w:rPr>
          <w:rtl/>
        </w:rPr>
        <w:t xml:space="preserve"> הקרויה</w:t>
      </w:r>
      <w:r w:rsidRPr="007A0131">
        <w:rPr>
          <w:rFonts w:hint="cs"/>
          <w:rtl/>
        </w:rPr>
        <w:t xml:space="preserve"> רוהינגיה</w:t>
      </w:r>
      <w:r w:rsidRPr="007A0131">
        <w:rPr>
          <w:rtl/>
        </w:rPr>
        <w:t>.</w:t>
      </w:r>
    </w:p>
    <w:p w14:paraId="3BC6361A" w14:textId="77777777" w:rsidR="003849BD" w:rsidRPr="007A0131" w:rsidRDefault="003849BD" w:rsidP="003849BD">
      <w:pPr>
        <w:pStyle w:val="Hesber"/>
        <w:rPr>
          <w:rtl/>
        </w:rPr>
      </w:pPr>
      <w:r w:rsidRPr="007A0131">
        <w:rPr>
          <w:rtl/>
        </w:rPr>
        <w:t>הביקור</w:t>
      </w:r>
      <w:r w:rsidRPr="007A0131">
        <w:rPr>
          <w:rFonts w:hint="cs"/>
          <w:rtl/>
        </w:rPr>
        <w:t>ים</w:t>
      </w:r>
      <w:r w:rsidRPr="007A0131">
        <w:rPr>
          <w:rtl/>
        </w:rPr>
        <w:t xml:space="preserve"> </w:t>
      </w:r>
      <w:r w:rsidRPr="007A0131">
        <w:rPr>
          <w:rFonts w:hint="cs"/>
          <w:rtl/>
        </w:rPr>
        <w:t>הללו מכתימים</w:t>
      </w:r>
      <w:r w:rsidRPr="007A0131">
        <w:rPr>
          <w:rtl/>
        </w:rPr>
        <w:t xml:space="preserve"> את </w:t>
      </w:r>
      <w:r w:rsidRPr="007A0131">
        <w:rPr>
          <w:rFonts w:hint="cs"/>
          <w:rtl/>
        </w:rPr>
        <w:t>"יד ושם"</w:t>
      </w:r>
      <w:r w:rsidRPr="007A0131">
        <w:rPr>
          <w:rtl/>
        </w:rPr>
        <w:t>, ו</w:t>
      </w:r>
      <w:r w:rsidRPr="007A0131">
        <w:rPr>
          <w:rFonts w:hint="cs"/>
          <w:rtl/>
        </w:rPr>
        <w:t>פוגעים</w:t>
      </w:r>
      <w:r w:rsidRPr="007A0131">
        <w:rPr>
          <w:rtl/>
        </w:rPr>
        <w:t xml:space="preserve"> ברגשות חלקים נכבדים מהציבור הישראלי, הקהילות היהודיות בתפוצות, ניצולי השואה ונרדפי הנאצים, </w:t>
      </w:r>
      <w:r w:rsidRPr="007A0131">
        <w:rPr>
          <w:rFonts w:hint="cs"/>
          <w:rtl/>
        </w:rPr>
        <w:t xml:space="preserve">קורבנות הגזענות לגווניה, </w:t>
      </w:r>
      <w:r>
        <w:rPr>
          <w:rtl/>
        </w:rPr>
        <w:t>חוקרות וחוקרים ותורמות ותורמים.</w:t>
      </w:r>
    </w:p>
    <w:p w14:paraId="3E1652B8" w14:textId="77777777" w:rsidR="003849BD" w:rsidRPr="007A0131" w:rsidRDefault="003849BD" w:rsidP="003849BD">
      <w:pPr>
        <w:pStyle w:val="Hesber"/>
        <w:rPr>
          <w:rtl/>
        </w:rPr>
      </w:pPr>
      <w:r w:rsidRPr="007A0131">
        <w:rPr>
          <w:rtl/>
        </w:rPr>
        <w:t>חייבת להיות הפרדה מוחלטת בין עסקאות הנשק,</w:t>
      </w:r>
      <w:r w:rsidRPr="007A0131">
        <w:rPr>
          <w:rFonts w:hint="cs"/>
          <w:rtl/>
        </w:rPr>
        <w:t xml:space="preserve"> ההצבעות באו"ם,</w:t>
      </w:r>
      <w:r w:rsidRPr="007A0131">
        <w:rPr>
          <w:rtl/>
        </w:rPr>
        <w:t xml:space="preserve"> היחסים והאינטרסים הצרים </w:t>
      </w:r>
      <w:r w:rsidRPr="007A0131">
        <w:rPr>
          <w:rFonts w:hint="cs"/>
          <w:rtl/>
        </w:rPr>
        <w:t xml:space="preserve">והזמניים </w:t>
      </w:r>
      <w:r w:rsidRPr="007A0131">
        <w:rPr>
          <w:rtl/>
        </w:rPr>
        <w:t xml:space="preserve">של </w:t>
      </w:r>
      <w:r w:rsidRPr="007A0131">
        <w:rPr>
          <w:rFonts w:hint="cs"/>
          <w:rtl/>
        </w:rPr>
        <w:t>ממשלת</w:t>
      </w:r>
      <w:r w:rsidRPr="007A0131">
        <w:rPr>
          <w:rtl/>
        </w:rPr>
        <w:t xml:space="preserve"> ישראל עם משטרים </w:t>
      </w:r>
      <w:r w:rsidRPr="007A0131">
        <w:rPr>
          <w:rFonts w:hint="cs"/>
          <w:rtl/>
        </w:rPr>
        <w:t xml:space="preserve">לא דמוקרטיים, גזעניים, אנטישמיים, </w:t>
      </w:r>
      <w:r w:rsidRPr="007A0131">
        <w:rPr>
          <w:rtl/>
        </w:rPr>
        <w:t>דכאניים ורצחניים, המבצעים</w:t>
      </w:r>
      <w:r w:rsidRPr="007A0131">
        <w:rPr>
          <w:rFonts w:hint="cs"/>
          <w:rtl/>
        </w:rPr>
        <w:t xml:space="preserve"> או תומכים</w:t>
      </w:r>
      <w:r w:rsidRPr="007A0131">
        <w:rPr>
          <w:rtl/>
        </w:rPr>
        <w:t xml:space="preserve"> </w:t>
      </w:r>
      <w:r w:rsidRPr="007A0131">
        <w:rPr>
          <w:rFonts w:hint="cs"/>
          <w:rtl/>
        </w:rPr>
        <w:t>בביצוע פשעים</w:t>
      </w:r>
      <w:r w:rsidRPr="007A0131">
        <w:rPr>
          <w:rtl/>
        </w:rPr>
        <w:t xml:space="preserve"> חמורים ברחבי העולם, לבין מוסד "יד ושם" אשר שייך לכל העם היהודי</w:t>
      </w:r>
      <w:r w:rsidRPr="007A0131">
        <w:rPr>
          <w:rFonts w:hint="cs"/>
          <w:rtl/>
        </w:rPr>
        <w:t xml:space="preserve"> ולמעשה לאנושות כולה.</w:t>
      </w:r>
    </w:p>
    <w:p w14:paraId="679CFA05" w14:textId="3FF6FE09" w:rsidR="00704037" w:rsidRDefault="003849BD" w:rsidP="00704037">
      <w:pPr>
        <w:pStyle w:val="Hesber"/>
        <w:rPr>
          <w:rtl/>
        </w:rPr>
      </w:pPr>
      <w:r w:rsidRPr="007A0131">
        <w:rPr>
          <w:rFonts w:hint="cs"/>
          <w:rtl/>
        </w:rPr>
        <w:t>לכן, הצעת החוק נחוצה כדי לעגן את סמכותו של "יד ושם", להכריע מי הנציגים הזרים שראויים לבקר בביקור רשמי במוזיאון לתולדות השואה.</w:t>
      </w:r>
    </w:p>
    <w:p w14:paraId="3E6CFAD8" w14:textId="77777777" w:rsidR="00704037" w:rsidRPr="00D73212" w:rsidRDefault="00704037" w:rsidP="00704037">
      <w:pPr>
        <w:pStyle w:val="Hesber"/>
        <w:rPr>
          <w:color w:val="auto"/>
          <w:rtl/>
          <w:lang w:eastAsia="en-US"/>
        </w:rPr>
      </w:pPr>
      <w:r w:rsidRPr="00D73212">
        <w:rPr>
          <w:color w:val="auto"/>
          <w:rtl/>
          <w:lang w:eastAsia="en-US"/>
        </w:rPr>
        <w:t>---------------------------------</w:t>
      </w:r>
    </w:p>
    <w:p w14:paraId="75DFF540" w14:textId="77777777" w:rsidR="00704037" w:rsidRPr="00D73212" w:rsidRDefault="00704037" w:rsidP="00704037">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2BD08EB7" w14:textId="77777777" w:rsidR="00704037" w:rsidRPr="00D73212" w:rsidRDefault="00704037" w:rsidP="00704037">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8964C57" w14:textId="211663A3" w:rsidR="00351A69" w:rsidRDefault="00704037" w:rsidP="00704037">
      <w:pPr>
        <w:pStyle w:val="Hesber"/>
        <w:rPr>
          <w:rtl/>
        </w:rPr>
      </w:pPr>
      <w:r>
        <w:rPr>
          <w:rFonts w:hint="cs"/>
          <w:color w:val="auto"/>
          <w:rtl/>
          <w:lang w:eastAsia="en-US"/>
        </w:rPr>
        <w:t>ד' בכסלו</w:t>
      </w:r>
      <w:r w:rsidRPr="00D73212">
        <w:rPr>
          <w:color w:val="auto"/>
          <w:rtl/>
          <w:lang w:eastAsia="en-US"/>
        </w:rPr>
        <w:t xml:space="preserve"> </w:t>
      </w:r>
      <w:r>
        <w:rPr>
          <w:rFonts w:hint="cs"/>
          <w:color w:val="auto"/>
          <w:rtl/>
          <w:lang w:eastAsia="en-US"/>
        </w:rPr>
        <w:t xml:space="preserve">התש"ף </w:t>
      </w:r>
      <w:r w:rsidRPr="00D73212">
        <w:rPr>
          <w:color w:val="auto"/>
          <w:rtl/>
          <w:lang w:eastAsia="en-US"/>
        </w:rPr>
        <w:t>–</w:t>
      </w:r>
      <w:r>
        <w:rPr>
          <w:rFonts w:hint="cs"/>
          <w:color w:val="auto"/>
          <w:rtl/>
          <w:lang w:eastAsia="en-US"/>
        </w:rPr>
        <w:t xml:space="preserve"> 2.12</w:t>
      </w:r>
      <w:r w:rsidRPr="00D73212">
        <w:rPr>
          <w:color w:val="auto"/>
          <w:rtl/>
          <w:lang w:eastAsia="en-US"/>
        </w:rPr>
        <w:t>.</w:t>
      </w:r>
      <w:r>
        <w:rPr>
          <w:rFonts w:hint="cs"/>
          <w:color w:val="auto"/>
          <w:rtl/>
          <w:lang w:eastAsia="en-US"/>
        </w:rPr>
        <w:t xml:space="preserve">19  </w:t>
      </w:r>
      <w:bookmarkStart w:id="8" w:name="_GoBack"/>
      <w:bookmarkEnd w:id="8"/>
    </w:p>
    <w:sectPr w:rsidR="00351A69"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704037">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1F15D9B" w14:textId="77777777" w:rsidR="003849BD" w:rsidRPr="009522DD" w:rsidRDefault="003849BD" w:rsidP="003849BD">
      <w:pPr>
        <w:pStyle w:val="a4"/>
      </w:pPr>
      <w:r w:rsidRPr="009522DD">
        <w:rPr>
          <w:rStyle w:val="a5"/>
        </w:rPr>
        <w:footnoteRef/>
      </w:r>
      <w:r w:rsidRPr="009522DD">
        <w:rPr>
          <w:rtl/>
        </w:rPr>
        <w:t xml:space="preserve"> </w:t>
      </w:r>
      <w:r>
        <w:rPr>
          <w:rFonts w:hint="cs"/>
          <w:rtl/>
        </w:rPr>
        <w:t>ס"ח התשי"ג, עמ' 144.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51A69"/>
    <w:rsid w:val="0036422C"/>
    <w:rsid w:val="003710F6"/>
    <w:rsid w:val="003849BD"/>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4037"/>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84396"/>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F570D5B5-6517-4EB0-968A-1BE3F66A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3ED118A-43DC-4297-AB38-7F3E0623D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C86F9009-D744-43C8-8F8D-5A07CF6E9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687</Words>
  <Characters>3438</Characters>
  <Application>Microsoft Office Word</Application>
  <DocSecurity>0</DocSecurity>
  <Lines>28</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7</cp:revision>
  <cp:lastPrinted>2019-11-27T09:13:00Z</cp:lastPrinted>
  <dcterms:created xsi:type="dcterms:W3CDTF">2015-04-20T09:58:00Z</dcterms:created>
  <dcterms:modified xsi:type="dcterms:W3CDTF">2019-11-27T09:14:00Z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2082854</vt:r8>
  </property>
</Properties>
</file>