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2081717</w:t>
      </w:r>
      <w:bookmarkEnd w:id="0"/>
    </w:p>
    <w:p w14:paraId="7F6961A2" w14:textId="7D4F6B8D"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מיכאל מרדכי ביטון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6895E62" w:rsidR="00E13C27" w:rsidRPr="00E06736" w:rsidRDefault="00904591" w:rsidP="007D15EA">
      <w:pPr>
        <w:pStyle w:val="David"/>
        <w:spacing w:line="240" w:lineRule="auto"/>
        <w:ind w:left="6424" w:firstLine="56"/>
        <w:rPr>
          <w:rtl/>
        </w:rPr>
      </w:pPr>
      <w:bookmarkStart w:id="6" w:name="Private_Number"/>
      <w:r>
        <w:rPr>
          <w:rFonts w:hint="cs"/>
          <w:rtl/>
        </w:rPr>
        <w:t>פ/505/22</w:t>
      </w:r>
      <w:bookmarkEnd w:id="6"/>
    </w:p>
    <w:p w14:paraId="7F6961AC" w14:textId="77777777" w:rsidR="00E13C27" w:rsidRDefault="00E13C27" w:rsidP="00E13C27">
      <w:pPr>
        <w:ind w:left="2880" w:firstLine="720"/>
        <w:rPr>
          <w:sz w:val="26"/>
          <w:szCs w:val="26"/>
          <w:rtl/>
        </w:rPr>
      </w:pPr>
    </w:p>
    <w:p w14:paraId="7F6961AD" w14:textId="5D7F8F3C" w:rsidR="00E13C27" w:rsidRPr="00F67051" w:rsidRDefault="00A443CF" w:rsidP="008A7F46">
      <w:pPr>
        <w:pStyle w:val="HeadHatzaotHok"/>
        <w:rPr>
          <w:rtl/>
        </w:rPr>
      </w:pPr>
      <w:bookmarkStart w:id="7" w:name="LGS_Subject"/>
      <w:r>
        <w:rPr>
          <w:rFonts w:hint="cs"/>
          <w:rtl/>
        </w:rPr>
        <w:t xml:space="preserve">הצעת חוק החובה למתן חינוך בלתי פורמאלי לילדים ולנוער, </w:t>
      </w:r>
      <w:proofErr w:type="spellStart"/>
      <w:r>
        <w:rPr>
          <w:rFonts w:hint="cs"/>
          <w:rtl/>
        </w:rPr>
        <w:t>התש"ף</w:t>
      </w:r>
      <w:proofErr w:type="spellEnd"/>
      <w:r w:rsidR="008A7F46">
        <w:rPr>
          <w:rFonts w:hint="eastAsia"/>
          <w:rtl/>
        </w:rPr>
        <w:t>–</w:t>
      </w:r>
      <w:r>
        <w:rPr>
          <w:rFonts w:hint="cs"/>
          <w:rtl/>
        </w:rPr>
        <w:t>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05D50" w14:paraId="653CAD97" w14:textId="77777777" w:rsidTr="00B4534E">
        <w:trPr>
          <w:cantSplit/>
        </w:trPr>
        <w:tc>
          <w:tcPr>
            <w:tcW w:w="1871" w:type="dxa"/>
          </w:tcPr>
          <w:p w14:paraId="1F30BB06" w14:textId="77777777" w:rsidR="00005D50" w:rsidRDefault="00005D50" w:rsidP="00005D50">
            <w:pPr>
              <w:pStyle w:val="TableSideHeading"/>
              <w:keepLines w:val="0"/>
            </w:pPr>
            <w:r>
              <w:rPr>
                <w:rFonts w:hint="cs"/>
                <w:rtl/>
              </w:rPr>
              <w:t>המטרה</w:t>
            </w:r>
          </w:p>
        </w:tc>
        <w:tc>
          <w:tcPr>
            <w:tcW w:w="624" w:type="dxa"/>
          </w:tcPr>
          <w:p w14:paraId="2B83855C" w14:textId="77777777" w:rsidR="00005D50" w:rsidRDefault="00005D50" w:rsidP="00005D50">
            <w:pPr>
              <w:pStyle w:val="TableText"/>
              <w:keepLines w:val="0"/>
            </w:pPr>
            <w:r>
              <w:rPr>
                <w:rFonts w:hint="cs"/>
                <w:rtl/>
              </w:rPr>
              <w:t>1.</w:t>
            </w:r>
          </w:p>
        </w:tc>
        <w:tc>
          <w:tcPr>
            <w:tcW w:w="7143" w:type="dxa"/>
          </w:tcPr>
          <w:p w14:paraId="6F9FEC64" w14:textId="5902A89C" w:rsidR="00005D50" w:rsidRPr="00B4534E" w:rsidRDefault="008A7F46" w:rsidP="00B4534E">
            <w:pPr>
              <w:pStyle w:val="TableBlock"/>
            </w:pPr>
            <w:r w:rsidRPr="00B4534E">
              <w:rPr>
                <w:rFonts w:hint="cs"/>
                <w:rtl/>
              </w:rPr>
              <w:t>מטרתו של חוק זה לקבוע חובה</w:t>
            </w:r>
            <w:r w:rsidR="00005D50" w:rsidRPr="00B4534E">
              <w:rPr>
                <w:rFonts w:hint="cs"/>
                <w:rtl/>
              </w:rPr>
              <w:t xml:space="preserve"> </w:t>
            </w:r>
            <w:r w:rsidRPr="00B4534E">
              <w:rPr>
                <w:rFonts w:hint="cs"/>
                <w:rtl/>
              </w:rPr>
              <w:t>ל</w:t>
            </w:r>
            <w:r w:rsidR="00B4534E" w:rsidRPr="00B4534E">
              <w:rPr>
                <w:rFonts w:hint="cs"/>
                <w:rtl/>
              </w:rPr>
              <w:t xml:space="preserve">מתן שירותי </w:t>
            </w:r>
            <w:r w:rsidR="00005D50" w:rsidRPr="00B4534E">
              <w:rPr>
                <w:rFonts w:hint="cs"/>
                <w:rtl/>
              </w:rPr>
              <w:t>חינוך בלתי פורמ</w:t>
            </w:r>
            <w:r w:rsidRPr="00B4534E">
              <w:rPr>
                <w:rFonts w:hint="cs"/>
                <w:rtl/>
              </w:rPr>
              <w:t>א</w:t>
            </w:r>
            <w:r w:rsidR="00005D50" w:rsidRPr="00B4534E">
              <w:rPr>
                <w:rFonts w:hint="cs"/>
                <w:rtl/>
              </w:rPr>
              <w:t>לי</w:t>
            </w:r>
            <w:r w:rsidR="00B4534E" w:rsidRPr="00B4534E">
              <w:rPr>
                <w:rFonts w:hint="cs"/>
                <w:rtl/>
              </w:rPr>
              <w:t xml:space="preserve"> לילדים ולנוער</w:t>
            </w:r>
            <w:r w:rsidR="00005D50" w:rsidRPr="00B4534E">
              <w:rPr>
                <w:rFonts w:hint="cs"/>
                <w:rtl/>
              </w:rPr>
              <w:t>, וזאת ברוח חוק-יסוד: כבוד האדם וחירותו</w:t>
            </w:r>
            <w:r w:rsidR="00B4534E">
              <w:rPr>
                <w:rStyle w:val="a5"/>
                <w:rtl/>
              </w:rPr>
              <w:footnoteReference w:id="2"/>
            </w:r>
            <w:r w:rsidR="00005D50" w:rsidRPr="00B4534E">
              <w:rPr>
                <w:rFonts w:hint="cs"/>
                <w:rtl/>
              </w:rPr>
              <w:t xml:space="preserve"> ועקרונות אמנת האומות המאוחדות בדבר זכויות הילד, 1989, חוק חינוך ממלכתי, </w:t>
            </w:r>
            <w:proofErr w:type="spellStart"/>
            <w:r w:rsidR="00005D50" w:rsidRPr="00B4534E">
              <w:rPr>
                <w:rFonts w:hint="cs"/>
                <w:rtl/>
              </w:rPr>
              <w:t>התשי"ג</w:t>
            </w:r>
            <w:proofErr w:type="spellEnd"/>
            <w:r w:rsidR="00005D50" w:rsidRPr="00B4534E">
              <w:rPr>
                <w:rtl/>
              </w:rPr>
              <w:t>–</w:t>
            </w:r>
            <w:r w:rsidR="00005D50" w:rsidRPr="00B4534E">
              <w:rPr>
                <w:rFonts w:hint="cs"/>
                <w:rtl/>
              </w:rPr>
              <w:t>1953</w:t>
            </w:r>
            <w:r w:rsidR="00005D50" w:rsidRPr="00DF7282">
              <w:rPr>
                <w:vertAlign w:val="superscript"/>
                <w:rtl/>
              </w:rPr>
              <w:footnoteReference w:id="3"/>
            </w:r>
            <w:r w:rsidR="00005D50" w:rsidRPr="00B4534E">
              <w:rPr>
                <w:rFonts w:hint="cs"/>
                <w:rtl/>
              </w:rPr>
              <w:t xml:space="preserve"> (להלן </w:t>
            </w:r>
            <w:r w:rsidR="009A0FA8" w:rsidRPr="00B4534E">
              <w:rPr>
                <w:rFonts w:hint="eastAsia"/>
                <w:rtl/>
              </w:rPr>
              <w:t>–</w:t>
            </w:r>
            <w:r w:rsidR="00005D50" w:rsidRPr="00B4534E">
              <w:rPr>
                <w:rFonts w:hint="cs"/>
                <w:rtl/>
              </w:rPr>
              <w:t xml:space="preserve"> </w:t>
            </w:r>
            <w:r w:rsidR="009A0FA8" w:rsidRPr="00B4534E">
              <w:rPr>
                <w:rFonts w:hint="cs"/>
                <w:rtl/>
              </w:rPr>
              <w:t>חוק חינוך ממלכתי), וכל דין אחר.</w:t>
            </w:r>
          </w:p>
        </w:tc>
      </w:tr>
      <w:tr w:rsidR="00005D50" w14:paraId="05B72A10" w14:textId="77777777" w:rsidTr="00B4534E">
        <w:trPr>
          <w:cantSplit/>
        </w:trPr>
        <w:tc>
          <w:tcPr>
            <w:tcW w:w="1871" w:type="dxa"/>
          </w:tcPr>
          <w:p w14:paraId="63DC5E08" w14:textId="77777777" w:rsidR="00005D50" w:rsidRPr="00526AF4" w:rsidRDefault="00005D50" w:rsidP="00005D50">
            <w:pPr>
              <w:pStyle w:val="TableSideHeading"/>
              <w:keepLines w:val="0"/>
            </w:pPr>
            <w:r>
              <w:rPr>
                <w:rFonts w:hint="cs"/>
                <w:rtl/>
              </w:rPr>
              <w:t>הגדרות</w:t>
            </w:r>
          </w:p>
        </w:tc>
        <w:tc>
          <w:tcPr>
            <w:tcW w:w="624" w:type="dxa"/>
          </w:tcPr>
          <w:p w14:paraId="1810537E" w14:textId="77777777" w:rsidR="00005D50" w:rsidRDefault="00005D50" w:rsidP="00005D50">
            <w:pPr>
              <w:pStyle w:val="TableText"/>
              <w:keepLines w:val="0"/>
            </w:pPr>
            <w:r>
              <w:rPr>
                <w:rFonts w:hint="cs"/>
                <w:rtl/>
              </w:rPr>
              <w:t>2.</w:t>
            </w:r>
          </w:p>
        </w:tc>
        <w:tc>
          <w:tcPr>
            <w:tcW w:w="7143" w:type="dxa"/>
          </w:tcPr>
          <w:p w14:paraId="455FC28B" w14:textId="6B403829" w:rsidR="00005D50" w:rsidRPr="00B4534E" w:rsidRDefault="00005D50" w:rsidP="00B4534E">
            <w:pPr>
              <w:pStyle w:val="TableBlockOutdent"/>
            </w:pPr>
            <w:r w:rsidRPr="00B4534E">
              <w:rPr>
                <w:rFonts w:hint="cs"/>
                <w:rtl/>
              </w:rPr>
              <w:t xml:space="preserve">בחוק זה </w:t>
            </w:r>
            <w:r w:rsidR="00842E5E" w:rsidRPr="00B4534E">
              <w:rPr>
                <w:rFonts w:hint="eastAsia"/>
                <w:rtl/>
              </w:rPr>
              <w:t>–</w:t>
            </w:r>
            <w:r w:rsidRPr="00B4534E">
              <w:rPr>
                <w:rFonts w:hint="cs"/>
                <w:rtl/>
              </w:rPr>
              <w:t xml:space="preserve"> </w:t>
            </w:r>
          </w:p>
        </w:tc>
      </w:tr>
      <w:tr w:rsidR="00005D50" w:rsidRPr="002205AC" w14:paraId="5A4A3065" w14:textId="77777777" w:rsidTr="00B4534E">
        <w:trPr>
          <w:cantSplit/>
        </w:trPr>
        <w:tc>
          <w:tcPr>
            <w:tcW w:w="1871" w:type="dxa"/>
          </w:tcPr>
          <w:p w14:paraId="5ED559F0" w14:textId="77777777" w:rsidR="00005D50" w:rsidRDefault="00005D50" w:rsidP="00005D50">
            <w:pPr>
              <w:pStyle w:val="TableSideHeading"/>
              <w:keepLines w:val="0"/>
            </w:pPr>
          </w:p>
        </w:tc>
        <w:tc>
          <w:tcPr>
            <w:tcW w:w="624" w:type="dxa"/>
          </w:tcPr>
          <w:p w14:paraId="39E839E2" w14:textId="77777777" w:rsidR="00005D50" w:rsidRDefault="00005D50" w:rsidP="00005D50">
            <w:pPr>
              <w:pStyle w:val="TableText"/>
              <w:keepLines w:val="0"/>
            </w:pPr>
          </w:p>
        </w:tc>
        <w:tc>
          <w:tcPr>
            <w:tcW w:w="7143" w:type="dxa"/>
          </w:tcPr>
          <w:p w14:paraId="1D0169F2" w14:textId="378A66CE" w:rsidR="00005D50" w:rsidRPr="00B4534E" w:rsidRDefault="007F4E38" w:rsidP="00B4534E">
            <w:pPr>
              <w:pStyle w:val="TableBlockOutdent"/>
              <w:rPr>
                <w:rtl/>
              </w:rPr>
            </w:pPr>
            <w:r w:rsidRPr="00B4534E">
              <w:rPr>
                <w:rFonts w:hint="cs"/>
                <w:rtl/>
              </w:rPr>
              <w:t xml:space="preserve">"הוועדה" </w:t>
            </w:r>
            <w:r w:rsidRPr="00B4534E">
              <w:rPr>
                <w:rtl/>
              </w:rPr>
              <w:t>–</w:t>
            </w:r>
            <w:r w:rsidRPr="00B4534E">
              <w:rPr>
                <w:rFonts w:hint="cs"/>
                <w:rtl/>
              </w:rPr>
              <w:t xml:space="preserve"> ועדת החינוך, התרבות והספורט של הכנסת;</w:t>
            </w:r>
          </w:p>
        </w:tc>
      </w:tr>
      <w:tr w:rsidR="00005D50" w:rsidRPr="002205AC" w14:paraId="308257DD" w14:textId="77777777" w:rsidTr="00B4534E">
        <w:trPr>
          <w:cantSplit/>
        </w:trPr>
        <w:tc>
          <w:tcPr>
            <w:tcW w:w="1871" w:type="dxa"/>
          </w:tcPr>
          <w:p w14:paraId="6B2F7778" w14:textId="77777777" w:rsidR="00005D50" w:rsidRDefault="00005D50" w:rsidP="00005D50">
            <w:pPr>
              <w:pStyle w:val="TableSideHeading"/>
              <w:keepLines w:val="0"/>
            </w:pPr>
          </w:p>
        </w:tc>
        <w:tc>
          <w:tcPr>
            <w:tcW w:w="624" w:type="dxa"/>
          </w:tcPr>
          <w:p w14:paraId="17071C33" w14:textId="77777777" w:rsidR="00005D50" w:rsidRDefault="00005D50" w:rsidP="00005D50">
            <w:pPr>
              <w:pStyle w:val="TableText"/>
              <w:keepLines w:val="0"/>
            </w:pPr>
          </w:p>
        </w:tc>
        <w:tc>
          <w:tcPr>
            <w:tcW w:w="7143" w:type="dxa"/>
          </w:tcPr>
          <w:p w14:paraId="06D18FB2" w14:textId="2BFCBFCC" w:rsidR="00005D50" w:rsidRPr="00B4534E" w:rsidRDefault="00005D50" w:rsidP="00B4534E">
            <w:pPr>
              <w:pStyle w:val="TableBlockOutdent"/>
            </w:pPr>
            <w:r w:rsidRPr="00B4534E">
              <w:rPr>
                <w:rFonts w:hint="cs"/>
                <w:rtl/>
              </w:rPr>
              <w:t xml:space="preserve">"המנהל הכללי" </w:t>
            </w:r>
            <w:r w:rsidR="00842E5E" w:rsidRPr="00B4534E">
              <w:rPr>
                <w:rFonts w:hint="eastAsia"/>
                <w:rtl/>
              </w:rPr>
              <w:t>–</w:t>
            </w:r>
            <w:r w:rsidRPr="00B4534E">
              <w:rPr>
                <w:rFonts w:hint="cs"/>
                <w:rtl/>
              </w:rPr>
              <w:t xml:space="preserve"> המנהל הכללי של משרד החינוך;</w:t>
            </w:r>
          </w:p>
        </w:tc>
      </w:tr>
      <w:tr w:rsidR="00005D50" w:rsidRPr="002205AC" w14:paraId="2242AB57" w14:textId="77777777" w:rsidTr="00B4534E">
        <w:trPr>
          <w:cantSplit/>
        </w:trPr>
        <w:tc>
          <w:tcPr>
            <w:tcW w:w="1871" w:type="dxa"/>
          </w:tcPr>
          <w:p w14:paraId="1371759B" w14:textId="77777777" w:rsidR="00005D50" w:rsidRDefault="00005D50" w:rsidP="00005D50">
            <w:pPr>
              <w:pStyle w:val="TableSideHeading"/>
              <w:keepLines w:val="0"/>
            </w:pPr>
          </w:p>
        </w:tc>
        <w:tc>
          <w:tcPr>
            <w:tcW w:w="624" w:type="dxa"/>
          </w:tcPr>
          <w:p w14:paraId="02B97741" w14:textId="77777777" w:rsidR="00005D50" w:rsidRDefault="00005D50" w:rsidP="00005D50">
            <w:pPr>
              <w:pStyle w:val="TableText"/>
              <w:keepLines w:val="0"/>
            </w:pPr>
          </w:p>
        </w:tc>
        <w:tc>
          <w:tcPr>
            <w:tcW w:w="7143" w:type="dxa"/>
          </w:tcPr>
          <w:p w14:paraId="2020B814" w14:textId="0E4E3D76" w:rsidR="00005D50" w:rsidRPr="00B4534E" w:rsidRDefault="00005D50" w:rsidP="00B4534E">
            <w:pPr>
              <w:pStyle w:val="TableBlockOutdent"/>
              <w:rPr>
                <w:rtl/>
              </w:rPr>
            </w:pPr>
            <w:r w:rsidRPr="00B4534E">
              <w:rPr>
                <w:rFonts w:hint="cs"/>
                <w:rtl/>
              </w:rPr>
              <w:t xml:space="preserve">"חינוך משלים" </w:t>
            </w:r>
            <w:r w:rsidR="00842E5E" w:rsidRPr="00B4534E">
              <w:rPr>
                <w:rFonts w:hint="eastAsia"/>
                <w:rtl/>
              </w:rPr>
              <w:t>–</w:t>
            </w:r>
            <w:r w:rsidRPr="00B4534E">
              <w:rPr>
                <w:rFonts w:hint="cs"/>
                <w:rtl/>
              </w:rPr>
              <w:t xml:space="preserve"> חינוך בלתי פורמאלי לילדים ולנערים שלא במסגרת בית ספרית הכולל חינוך חברתי-ערכי וקהילתי לרבות במסגרת תנועות נוער, ומיועד להשגת המטרות האמורות בסעיף 2 לחוק חינוך ממלכתי;</w:t>
            </w:r>
          </w:p>
        </w:tc>
      </w:tr>
      <w:tr w:rsidR="00005D50" w:rsidRPr="002205AC" w14:paraId="1D0F0987" w14:textId="77777777" w:rsidTr="00B4534E">
        <w:trPr>
          <w:cantSplit/>
        </w:trPr>
        <w:tc>
          <w:tcPr>
            <w:tcW w:w="1871" w:type="dxa"/>
          </w:tcPr>
          <w:p w14:paraId="72B3EB70" w14:textId="77777777" w:rsidR="00005D50" w:rsidRDefault="00005D50" w:rsidP="00005D50">
            <w:pPr>
              <w:pStyle w:val="TableSideHeading"/>
              <w:keepLines w:val="0"/>
            </w:pPr>
          </w:p>
        </w:tc>
        <w:tc>
          <w:tcPr>
            <w:tcW w:w="624" w:type="dxa"/>
          </w:tcPr>
          <w:p w14:paraId="7B5C28C9" w14:textId="77777777" w:rsidR="00005D50" w:rsidRDefault="00005D50" w:rsidP="00005D50">
            <w:pPr>
              <w:pStyle w:val="TableText"/>
              <w:keepLines w:val="0"/>
            </w:pPr>
          </w:p>
        </w:tc>
        <w:tc>
          <w:tcPr>
            <w:tcW w:w="7143" w:type="dxa"/>
          </w:tcPr>
          <w:p w14:paraId="1995A607" w14:textId="7C4E3C4C" w:rsidR="00005D50" w:rsidRPr="00B4534E" w:rsidRDefault="00005D50" w:rsidP="00B4534E">
            <w:pPr>
              <w:pStyle w:val="TableBlockOutdent"/>
              <w:rPr>
                <w:rtl/>
              </w:rPr>
            </w:pPr>
            <w:r w:rsidRPr="00B4534E">
              <w:rPr>
                <w:rFonts w:hint="cs"/>
                <w:rtl/>
              </w:rPr>
              <w:t xml:space="preserve">"ילד" </w:t>
            </w:r>
            <w:r w:rsidR="00842E5E" w:rsidRPr="00B4534E">
              <w:rPr>
                <w:rFonts w:hint="eastAsia"/>
                <w:rtl/>
              </w:rPr>
              <w:t>–</w:t>
            </w:r>
            <w:r w:rsidRPr="00B4534E">
              <w:rPr>
                <w:rFonts w:hint="cs"/>
                <w:rtl/>
              </w:rPr>
              <w:t xml:space="preserve"> כהגדרתו בחוק לימוד חובה, התש"ט-1949</w:t>
            </w:r>
            <w:r w:rsidRPr="00DF7282">
              <w:rPr>
                <w:vertAlign w:val="superscript"/>
                <w:rtl/>
              </w:rPr>
              <w:footnoteReference w:id="4"/>
            </w:r>
            <w:r w:rsidRPr="00B4534E">
              <w:rPr>
                <w:rFonts w:hint="cs"/>
                <w:rtl/>
              </w:rPr>
              <w:t xml:space="preserve"> (להלן </w:t>
            </w:r>
            <w:r w:rsidR="00842E5E" w:rsidRPr="00B4534E">
              <w:rPr>
                <w:rFonts w:hint="eastAsia"/>
                <w:rtl/>
              </w:rPr>
              <w:t>–</w:t>
            </w:r>
            <w:r w:rsidRPr="00B4534E">
              <w:rPr>
                <w:rFonts w:hint="cs"/>
                <w:rtl/>
              </w:rPr>
              <w:t xml:space="preserve"> חוק לימוד חובה);</w:t>
            </w:r>
          </w:p>
        </w:tc>
      </w:tr>
      <w:tr w:rsidR="00005D50" w:rsidRPr="002205AC" w14:paraId="15B049A5" w14:textId="77777777" w:rsidTr="00B4534E">
        <w:trPr>
          <w:cantSplit/>
        </w:trPr>
        <w:tc>
          <w:tcPr>
            <w:tcW w:w="1871" w:type="dxa"/>
          </w:tcPr>
          <w:p w14:paraId="64ED2F3F" w14:textId="77777777" w:rsidR="00005D50" w:rsidRDefault="00005D50" w:rsidP="00005D50">
            <w:pPr>
              <w:pStyle w:val="TableSideHeading"/>
              <w:keepLines w:val="0"/>
            </w:pPr>
          </w:p>
        </w:tc>
        <w:tc>
          <w:tcPr>
            <w:tcW w:w="624" w:type="dxa"/>
          </w:tcPr>
          <w:p w14:paraId="7A3A6E5B" w14:textId="77777777" w:rsidR="00005D50" w:rsidRDefault="00005D50" w:rsidP="00005D50">
            <w:pPr>
              <w:pStyle w:val="TableText"/>
              <w:keepLines w:val="0"/>
            </w:pPr>
          </w:p>
        </w:tc>
        <w:tc>
          <w:tcPr>
            <w:tcW w:w="7143" w:type="dxa"/>
          </w:tcPr>
          <w:p w14:paraId="2EA89D88" w14:textId="3050BD73" w:rsidR="00005D50" w:rsidRPr="00B4534E" w:rsidRDefault="00005D50" w:rsidP="00B4534E">
            <w:pPr>
              <w:pStyle w:val="TableBlockOutdent"/>
              <w:rPr>
                <w:rtl/>
              </w:rPr>
            </w:pPr>
            <w:r w:rsidRPr="00B4534E">
              <w:rPr>
                <w:rFonts w:hint="cs"/>
                <w:rtl/>
              </w:rPr>
              <w:t xml:space="preserve">"מוסד חינוך" </w:t>
            </w:r>
            <w:r w:rsidR="00842E5E" w:rsidRPr="00B4534E">
              <w:rPr>
                <w:rFonts w:hint="eastAsia"/>
                <w:rtl/>
              </w:rPr>
              <w:t>–</w:t>
            </w:r>
            <w:r w:rsidRPr="00B4534E">
              <w:rPr>
                <w:rFonts w:hint="cs"/>
                <w:rtl/>
              </w:rPr>
              <w:t xml:space="preserve"> כהגדרתו בחוק לימוד חובה;</w:t>
            </w:r>
          </w:p>
        </w:tc>
      </w:tr>
      <w:tr w:rsidR="00005D50" w:rsidRPr="002205AC" w14:paraId="2D4DF1B3" w14:textId="77777777" w:rsidTr="00B4534E">
        <w:trPr>
          <w:cantSplit/>
        </w:trPr>
        <w:tc>
          <w:tcPr>
            <w:tcW w:w="1871" w:type="dxa"/>
          </w:tcPr>
          <w:p w14:paraId="2705ED40" w14:textId="77777777" w:rsidR="00005D50" w:rsidRDefault="00005D50" w:rsidP="00005D50">
            <w:pPr>
              <w:pStyle w:val="TableSideHeading"/>
              <w:keepLines w:val="0"/>
            </w:pPr>
          </w:p>
        </w:tc>
        <w:tc>
          <w:tcPr>
            <w:tcW w:w="624" w:type="dxa"/>
          </w:tcPr>
          <w:p w14:paraId="296B6D78" w14:textId="77777777" w:rsidR="00005D50" w:rsidRDefault="00005D50" w:rsidP="00005D50">
            <w:pPr>
              <w:pStyle w:val="TableText"/>
              <w:keepLines w:val="0"/>
            </w:pPr>
          </w:p>
        </w:tc>
        <w:tc>
          <w:tcPr>
            <w:tcW w:w="7143" w:type="dxa"/>
          </w:tcPr>
          <w:p w14:paraId="1953576F" w14:textId="7585D9F6" w:rsidR="00005D50" w:rsidRPr="00B4534E" w:rsidRDefault="00005D50" w:rsidP="00B4534E">
            <w:pPr>
              <w:pStyle w:val="TableBlockOutdent"/>
              <w:rPr>
                <w:rtl/>
              </w:rPr>
            </w:pPr>
            <w:r w:rsidRPr="00B4534E">
              <w:rPr>
                <w:rFonts w:hint="cs"/>
                <w:rtl/>
              </w:rPr>
              <w:t xml:space="preserve">"נער" </w:t>
            </w:r>
            <w:r w:rsidR="00842E5E" w:rsidRPr="00B4534E">
              <w:rPr>
                <w:rFonts w:hint="eastAsia"/>
                <w:rtl/>
              </w:rPr>
              <w:t>–</w:t>
            </w:r>
            <w:r w:rsidRPr="00B4534E">
              <w:rPr>
                <w:rFonts w:hint="cs"/>
                <w:rtl/>
              </w:rPr>
              <w:t xml:space="preserve"> אדם שבראשית שנת הלימודים היה באחד הגילים מ-14 עד 18;</w:t>
            </w:r>
          </w:p>
        </w:tc>
      </w:tr>
      <w:tr w:rsidR="00005D50" w:rsidRPr="002205AC" w14:paraId="0082797E" w14:textId="77777777" w:rsidTr="00B4534E">
        <w:trPr>
          <w:cantSplit/>
        </w:trPr>
        <w:tc>
          <w:tcPr>
            <w:tcW w:w="1871" w:type="dxa"/>
          </w:tcPr>
          <w:p w14:paraId="223E3898" w14:textId="77777777" w:rsidR="00005D50" w:rsidRDefault="00005D50" w:rsidP="00005D50">
            <w:pPr>
              <w:pStyle w:val="TableSideHeading"/>
              <w:keepLines w:val="0"/>
            </w:pPr>
          </w:p>
        </w:tc>
        <w:tc>
          <w:tcPr>
            <w:tcW w:w="624" w:type="dxa"/>
          </w:tcPr>
          <w:p w14:paraId="480DED85" w14:textId="77777777" w:rsidR="00005D50" w:rsidRDefault="00005D50" w:rsidP="00005D50">
            <w:pPr>
              <w:pStyle w:val="TableText"/>
              <w:keepLines w:val="0"/>
            </w:pPr>
          </w:p>
        </w:tc>
        <w:tc>
          <w:tcPr>
            <w:tcW w:w="7143" w:type="dxa"/>
          </w:tcPr>
          <w:p w14:paraId="595DDA09" w14:textId="09284035" w:rsidR="00005D50" w:rsidRPr="00B4534E" w:rsidRDefault="00005D50" w:rsidP="00B4534E">
            <w:pPr>
              <w:pStyle w:val="TableBlockOutdent"/>
              <w:rPr>
                <w:rtl/>
              </w:rPr>
            </w:pPr>
            <w:r w:rsidRPr="00B4534E">
              <w:rPr>
                <w:rFonts w:hint="cs"/>
                <w:rtl/>
              </w:rPr>
              <w:t xml:space="preserve">"צוות מקצועי" </w:t>
            </w:r>
            <w:r w:rsidR="00842E5E" w:rsidRPr="00B4534E">
              <w:rPr>
                <w:rFonts w:hint="eastAsia"/>
                <w:rtl/>
              </w:rPr>
              <w:t>–</w:t>
            </w:r>
            <w:r w:rsidRPr="00B4534E">
              <w:rPr>
                <w:rFonts w:hint="cs"/>
                <w:rtl/>
              </w:rPr>
              <w:t xml:space="preserve"> מנהלי יחידות נוער מוסדיות, רכזים מקצועיים, רכזי תנועות נוער וארגוני נוער, ועובדים שראש הרשות קבע כעובדים בתחום הנוער.</w:t>
            </w:r>
          </w:p>
        </w:tc>
      </w:tr>
      <w:tr w:rsidR="00005D50" w:rsidRPr="002205AC" w14:paraId="5F952F12" w14:textId="77777777" w:rsidTr="00B4534E">
        <w:trPr>
          <w:cantSplit/>
        </w:trPr>
        <w:tc>
          <w:tcPr>
            <w:tcW w:w="1871" w:type="dxa"/>
          </w:tcPr>
          <w:p w14:paraId="287B91AB" w14:textId="77777777" w:rsidR="00005D50" w:rsidRDefault="00005D50" w:rsidP="00005D50">
            <w:pPr>
              <w:pStyle w:val="TableSideHeading"/>
              <w:keepLines w:val="0"/>
            </w:pPr>
          </w:p>
        </w:tc>
        <w:tc>
          <w:tcPr>
            <w:tcW w:w="624" w:type="dxa"/>
          </w:tcPr>
          <w:p w14:paraId="27901E1F" w14:textId="77777777" w:rsidR="00005D50" w:rsidRDefault="00005D50" w:rsidP="00005D50">
            <w:pPr>
              <w:pStyle w:val="TableText"/>
              <w:keepLines w:val="0"/>
            </w:pPr>
          </w:p>
        </w:tc>
        <w:tc>
          <w:tcPr>
            <w:tcW w:w="7143" w:type="dxa"/>
          </w:tcPr>
          <w:p w14:paraId="5EE057CD" w14:textId="368B908B" w:rsidR="00005D50" w:rsidRPr="00B4534E" w:rsidRDefault="00005D50" w:rsidP="00B4534E">
            <w:pPr>
              <w:pStyle w:val="TableBlockOutdent"/>
              <w:rPr>
                <w:rtl/>
              </w:rPr>
            </w:pPr>
            <w:r w:rsidRPr="00B4534E">
              <w:rPr>
                <w:rFonts w:hint="cs"/>
                <w:rtl/>
              </w:rPr>
              <w:t xml:space="preserve">"השר" </w:t>
            </w:r>
            <w:r w:rsidR="00842E5E" w:rsidRPr="00B4534E">
              <w:rPr>
                <w:rFonts w:hint="eastAsia"/>
                <w:rtl/>
              </w:rPr>
              <w:t>–</w:t>
            </w:r>
            <w:r w:rsidRPr="00B4534E">
              <w:rPr>
                <w:rFonts w:hint="cs"/>
                <w:rtl/>
              </w:rPr>
              <w:t xml:space="preserve"> שר החינוך.</w:t>
            </w:r>
          </w:p>
        </w:tc>
      </w:tr>
      <w:tr w:rsidR="00005D50" w14:paraId="5DC64A28" w14:textId="77777777" w:rsidTr="00B4534E">
        <w:trPr>
          <w:cantSplit/>
        </w:trPr>
        <w:tc>
          <w:tcPr>
            <w:tcW w:w="1871" w:type="dxa"/>
          </w:tcPr>
          <w:p w14:paraId="793BB4BB" w14:textId="77777777" w:rsidR="00005D50" w:rsidRDefault="00005D50" w:rsidP="00005D50">
            <w:pPr>
              <w:pStyle w:val="TableSideHeading"/>
              <w:keepLines w:val="0"/>
            </w:pPr>
            <w:r>
              <w:rPr>
                <w:rFonts w:hint="cs"/>
                <w:rtl/>
              </w:rPr>
              <w:t>הזכות לחינוך משלים</w:t>
            </w:r>
          </w:p>
        </w:tc>
        <w:tc>
          <w:tcPr>
            <w:tcW w:w="624" w:type="dxa"/>
          </w:tcPr>
          <w:p w14:paraId="0291590E" w14:textId="77777777" w:rsidR="00005D50" w:rsidRDefault="00005D50" w:rsidP="00005D50">
            <w:pPr>
              <w:pStyle w:val="TableText"/>
              <w:keepLines w:val="0"/>
            </w:pPr>
            <w:r>
              <w:rPr>
                <w:rFonts w:hint="cs"/>
                <w:rtl/>
              </w:rPr>
              <w:t>3.</w:t>
            </w:r>
          </w:p>
        </w:tc>
        <w:tc>
          <w:tcPr>
            <w:tcW w:w="7143" w:type="dxa"/>
          </w:tcPr>
          <w:p w14:paraId="1D122FF3" w14:textId="7A778C0E" w:rsidR="00005D50" w:rsidRPr="00B4534E" w:rsidRDefault="00005D50" w:rsidP="00B4534E">
            <w:pPr>
              <w:pStyle w:val="TableBlock"/>
              <w:rPr>
                <w:rtl/>
              </w:rPr>
            </w:pPr>
            <w:r w:rsidRPr="00B4534E">
              <w:rPr>
                <w:rFonts w:hint="cs"/>
                <w:rtl/>
              </w:rPr>
              <w:t>(א)</w:t>
            </w:r>
            <w:r w:rsidRPr="00B4534E">
              <w:rPr>
                <w:rtl/>
              </w:rPr>
              <w:tab/>
            </w:r>
            <w:r w:rsidRPr="00B4534E">
              <w:rPr>
                <w:rFonts w:hint="cs"/>
                <w:rtl/>
              </w:rPr>
              <w:t xml:space="preserve">כל ילד ונער זכאי </w:t>
            </w:r>
            <w:r w:rsidR="00040858" w:rsidRPr="00B4534E">
              <w:rPr>
                <w:rFonts w:hint="cs"/>
                <w:rtl/>
              </w:rPr>
              <w:t>לחינוך משלים לפי הוראות חוק זה.</w:t>
            </w:r>
          </w:p>
        </w:tc>
      </w:tr>
      <w:tr w:rsidR="00005D50" w14:paraId="38E123C1" w14:textId="77777777" w:rsidTr="00B4534E">
        <w:trPr>
          <w:cantSplit/>
        </w:trPr>
        <w:tc>
          <w:tcPr>
            <w:tcW w:w="1871" w:type="dxa"/>
          </w:tcPr>
          <w:p w14:paraId="1B17B8F3" w14:textId="77777777" w:rsidR="00005D50" w:rsidRPr="001F2F61" w:rsidRDefault="00005D50" w:rsidP="00005D50">
            <w:pPr>
              <w:pStyle w:val="TableSideHeading"/>
              <w:keepLines w:val="0"/>
            </w:pPr>
          </w:p>
        </w:tc>
        <w:tc>
          <w:tcPr>
            <w:tcW w:w="624" w:type="dxa"/>
          </w:tcPr>
          <w:p w14:paraId="781F02A3" w14:textId="77777777" w:rsidR="00005D50" w:rsidRDefault="00005D50" w:rsidP="00005D50">
            <w:pPr>
              <w:pStyle w:val="TableText"/>
              <w:keepLines w:val="0"/>
            </w:pPr>
          </w:p>
        </w:tc>
        <w:tc>
          <w:tcPr>
            <w:tcW w:w="7143" w:type="dxa"/>
          </w:tcPr>
          <w:p w14:paraId="58B5288A" w14:textId="77777777" w:rsidR="00005D50" w:rsidRPr="00B4534E" w:rsidRDefault="00005D50" w:rsidP="00B4534E">
            <w:pPr>
              <w:pStyle w:val="TableBlock"/>
              <w:rPr>
                <w:rtl/>
              </w:rPr>
            </w:pPr>
            <w:r w:rsidRPr="00B4534E">
              <w:rPr>
                <w:rFonts w:hint="cs"/>
                <w:rtl/>
              </w:rPr>
              <w:t>(ב)</w:t>
            </w:r>
            <w:r w:rsidRPr="00B4534E">
              <w:rPr>
                <w:rtl/>
              </w:rPr>
              <w:tab/>
            </w:r>
            <w:r w:rsidRPr="00B4534E">
              <w:rPr>
                <w:rFonts w:hint="cs"/>
                <w:rtl/>
              </w:rPr>
              <w:t>רשות חינוך מקומית, מוסד חינוך או אדם הפועל מטעמם יכבדו ויקדמו את זכותו של כל ילד ונער להשתתף ללא סייג בפעילות החינוך המשלים לרבות כל פעילות חינוכית, ערכית, חברתית, ותרבותית במסגרות הפנאי במגוון תחומים וידאגו ליצירת שוויון הזדמנויות במסגרות אלה.</w:t>
            </w:r>
          </w:p>
        </w:tc>
      </w:tr>
      <w:tr w:rsidR="00005D50" w14:paraId="46FDA166" w14:textId="77777777" w:rsidTr="00B4534E">
        <w:trPr>
          <w:cantSplit/>
        </w:trPr>
        <w:tc>
          <w:tcPr>
            <w:tcW w:w="1871" w:type="dxa"/>
          </w:tcPr>
          <w:p w14:paraId="302572FD" w14:textId="77777777" w:rsidR="00005D50" w:rsidRDefault="00005D50" w:rsidP="00005D50">
            <w:pPr>
              <w:pStyle w:val="TableSideHeading"/>
              <w:keepLines w:val="0"/>
            </w:pPr>
            <w:r>
              <w:rPr>
                <w:rFonts w:hint="cs"/>
                <w:rtl/>
              </w:rPr>
              <w:t>פרסום הוראות</w:t>
            </w:r>
          </w:p>
        </w:tc>
        <w:tc>
          <w:tcPr>
            <w:tcW w:w="624" w:type="dxa"/>
          </w:tcPr>
          <w:p w14:paraId="27B91F84" w14:textId="77777777" w:rsidR="00005D50" w:rsidRDefault="00005D50" w:rsidP="00005D50">
            <w:pPr>
              <w:pStyle w:val="TableText"/>
              <w:keepLines w:val="0"/>
            </w:pPr>
            <w:r>
              <w:rPr>
                <w:rFonts w:hint="cs"/>
                <w:rtl/>
              </w:rPr>
              <w:t>4.</w:t>
            </w:r>
          </w:p>
        </w:tc>
        <w:tc>
          <w:tcPr>
            <w:tcW w:w="7143" w:type="dxa"/>
          </w:tcPr>
          <w:p w14:paraId="03FAC8FF" w14:textId="77777777" w:rsidR="00005D50" w:rsidRPr="00B4534E" w:rsidRDefault="00005D50" w:rsidP="00B4534E">
            <w:pPr>
              <w:pStyle w:val="TableBlock"/>
              <w:rPr>
                <w:rtl/>
              </w:rPr>
            </w:pPr>
            <w:r w:rsidRPr="00B4534E">
              <w:rPr>
                <w:rFonts w:hint="cs"/>
                <w:rtl/>
              </w:rPr>
              <w:t>(א)</w:t>
            </w:r>
            <w:r w:rsidRPr="00B4534E">
              <w:rPr>
                <w:rtl/>
              </w:rPr>
              <w:tab/>
            </w:r>
            <w:r w:rsidRPr="00B4534E">
              <w:rPr>
                <w:rFonts w:hint="cs"/>
                <w:rtl/>
              </w:rPr>
              <w:t>הוראות חוק זה יובאו לידיעת ילדים, נערים, הורים והצוות המקצועי במוסדות חינוך ובמוסדות שניתן בהם חינוך משלים, בראשית כל שנת פעילות חינוכית ותרבותית במסגרות החינוך השונות, כפי שיקבע השר, באישור הוועדה;</w:t>
            </w:r>
          </w:p>
        </w:tc>
      </w:tr>
      <w:tr w:rsidR="00005D50" w:rsidRPr="00C25D3E" w14:paraId="6D6DE2A5" w14:textId="77777777" w:rsidTr="00B4534E">
        <w:trPr>
          <w:cantSplit/>
        </w:trPr>
        <w:tc>
          <w:tcPr>
            <w:tcW w:w="1871" w:type="dxa"/>
          </w:tcPr>
          <w:p w14:paraId="0B2599D4" w14:textId="77777777" w:rsidR="00005D50" w:rsidRDefault="00005D50" w:rsidP="00005D50">
            <w:pPr>
              <w:pStyle w:val="TableSideHeading"/>
              <w:keepLines w:val="0"/>
            </w:pPr>
          </w:p>
        </w:tc>
        <w:tc>
          <w:tcPr>
            <w:tcW w:w="624" w:type="dxa"/>
          </w:tcPr>
          <w:p w14:paraId="3C8B1057" w14:textId="77777777" w:rsidR="00005D50" w:rsidRDefault="00005D50" w:rsidP="00005D50">
            <w:pPr>
              <w:pStyle w:val="TableText"/>
              <w:keepLines w:val="0"/>
            </w:pPr>
          </w:p>
        </w:tc>
        <w:tc>
          <w:tcPr>
            <w:tcW w:w="7143" w:type="dxa"/>
          </w:tcPr>
          <w:p w14:paraId="3DFEA788" w14:textId="77777777" w:rsidR="00005D50" w:rsidRPr="00B4534E" w:rsidRDefault="00005D50" w:rsidP="00B4534E">
            <w:pPr>
              <w:pStyle w:val="TableBlock"/>
              <w:rPr>
                <w:rtl/>
              </w:rPr>
            </w:pPr>
            <w:r w:rsidRPr="00B4534E">
              <w:rPr>
                <w:rFonts w:hint="cs"/>
                <w:rtl/>
              </w:rPr>
              <w:t>(ב)</w:t>
            </w:r>
            <w:r w:rsidRPr="00B4534E">
              <w:rPr>
                <w:rtl/>
              </w:rPr>
              <w:tab/>
            </w:r>
            <w:r w:rsidRPr="00B4534E">
              <w:rPr>
                <w:rFonts w:hint="cs"/>
                <w:rtl/>
              </w:rPr>
              <w:t>הוראות המנהל הכללי למנהלי מוסדות חינוך ולמנהלי מוסדות שניתן בהם חינוך משלים בדבר שירותי החינוך המשלים ברשות החינוך המקומית לפי חוק זה, יובאו לידיעת הילדים, הנערים, הוריהם והצוות המקצועי בדרך שיקבע השר, באישור הוועדה.</w:t>
            </w:r>
          </w:p>
        </w:tc>
      </w:tr>
      <w:tr w:rsidR="00005D50" w:rsidRPr="00C25D3E" w14:paraId="5C724FC6" w14:textId="77777777" w:rsidTr="00B4534E">
        <w:trPr>
          <w:cantSplit/>
        </w:trPr>
        <w:tc>
          <w:tcPr>
            <w:tcW w:w="1871" w:type="dxa"/>
          </w:tcPr>
          <w:p w14:paraId="526E764D" w14:textId="77777777" w:rsidR="00005D50" w:rsidRDefault="00005D50" w:rsidP="00005D50">
            <w:pPr>
              <w:pStyle w:val="TableSideHeading"/>
              <w:keepLines w:val="0"/>
            </w:pPr>
            <w:r>
              <w:rPr>
                <w:rFonts w:hint="cs"/>
                <w:rtl/>
              </w:rPr>
              <w:t>תקציב</w:t>
            </w:r>
          </w:p>
        </w:tc>
        <w:tc>
          <w:tcPr>
            <w:tcW w:w="624" w:type="dxa"/>
          </w:tcPr>
          <w:p w14:paraId="72BD3B97" w14:textId="77777777" w:rsidR="00005D50" w:rsidRDefault="00005D50" w:rsidP="00005D50">
            <w:pPr>
              <w:pStyle w:val="TableText"/>
              <w:keepLines w:val="0"/>
            </w:pPr>
            <w:r>
              <w:rPr>
                <w:rFonts w:hint="cs"/>
                <w:rtl/>
              </w:rPr>
              <w:t>5.</w:t>
            </w:r>
          </w:p>
        </w:tc>
        <w:tc>
          <w:tcPr>
            <w:tcW w:w="7143" w:type="dxa"/>
          </w:tcPr>
          <w:p w14:paraId="5BFEE3B4" w14:textId="03AC4F6A" w:rsidR="00005D50" w:rsidRPr="00B4534E" w:rsidRDefault="00A76496" w:rsidP="00B4534E">
            <w:pPr>
              <w:pStyle w:val="TableBlock"/>
              <w:rPr>
                <w:rtl/>
              </w:rPr>
            </w:pPr>
            <w:r w:rsidRPr="00B4534E">
              <w:rPr>
                <w:rFonts w:hint="cs"/>
                <w:rtl/>
              </w:rPr>
              <w:t>(א)</w:t>
            </w:r>
            <w:r w:rsidRPr="00B4534E">
              <w:rPr>
                <w:rtl/>
              </w:rPr>
              <w:tab/>
            </w:r>
            <w:r w:rsidR="00005D50" w:rsidRPr="00B4534E">
              <w:rPr>
                <w:rFonts w:hint="cs"/>
                <w:rtl/>
              </w:rPr>
              <w:t>תקציב שנתי להשתתפות של משרד החינוך בעלויות הכרוכות                    בפעילויות השונות של החינוך המשלים ברשויות המקומיות, ייקבע בתחום פעולה נפרד, בסעיף תקציב משרד החינוך בחוק התקציב השנתי; בסעיף זה, "תחום פעולה" ו"סעיף תקציב" – כהגדרתם בחוק תקציב שנתי, כמשמ</w:t>
            </w:r>
            <w:r w:rsidR="00040858" w:rsidRPr="00B4534E">
              <w:rPr>
                <w:rFonts w:hint="cs"/>
                <w:rtl/>
              </w:rPr>
              <w:t xml:space="preserve">עותו בחוק יסודות התקציב, </w:t>
            </w:r>
            <w:proofErr w:type="spellStart"/>
            <w:r w:rsidR="00040858" w:rsidRPr="00B4534E">
              <w:rPr>
                <w:rFonts w:hint="cs"/>
                <w:rtl/>
              </w:rPr>
              <w:t>התשמ"ה</w:t>
            </w:r>
            <w:proofErr w:type="spellEnd"/>
            <w:r w:rsidR="00040858" w:rsidRPr="00B4534E">
              <w:rPr>
                <w:rFonts w:hint="eastAsia"/>
                <w:rtl/>
              </w:rPr>
              <w:t>–</w:t>
            </w:r>
            <w:r w:rsidR="00040858" w:rsidRPr="00B4534E">
              <w:rPr>
                <w:rFonts w:hint="cs"/>
                <w:rtl/>
              </w:rPr>
              <w:t>1985</w:t>
            </w:r>
            <w:bookmarkStart w:id="8" w:name="_GoBack"/>
            <w:r w:rsidR="00040858" w:rsidRPr="00DF7282">
              <w:rPr>
                <w:vertAlign w:val="superscript"/>
                <w:rtl/>
              </w:rPr>
              <w:footnoteReference w:id="5"/>
            </w:r>
            <w:bookmarkEnd w:id="8"/>
            <w:r w:rsidR="00005D50" w:rsidRPr="00B4534E">
              <w:rPr>
                <w:rFonts w:hint="cs"/>
                <w:rtl/>
              </w:rPr>
              <w:t>.</w:t>
            </w:r>
          </w:p>
        </w:tc>
      </w:tr>
      <w:tr w:rsidR="00005D50" w:rsidRPr="00C25D3E" w14:paraId="6CDEE72B" w14:textId="77777777" w:rsidTr="00B4534E">
        <w:trPr>
          <w:cantSplit/>
        </w:trPr>
        <w:tc>
          <w:tcPr>
            <w:tcW w:w="1871" w:type="dxa"/>
          </w:tcPr>
          <w:p w14:paraId="286B4189" w14:textId="77777777" w:rsidR="00005D50" w:rsidRDefault="00005D50" w:rsidP="00005D50">
            <w:pPr>
              <w:pStyle w:val="TableSideHeading"/>
              <w:keepLines w:val="0"/>
            </w:pPr>
          </w:p>
        </w:tc>
        <w:tc>
          <w:tcPr>
            <w:tcW w:w="624" w:type="dxa"/>
          </w:tcPr>
          <w:p w14:paraId="35BE001C" w14:textId="77777777" w:rsidR="00005D50" w:rsidRDefault="00005D50" w:rsidP="00005D50">
            <w:pPr>
              <w:pStyle w:val="TableText"/>
              <w:keepLines w:val="0"/>
            </w:pPr>
          </w:p>
        </w:tc>
        <w:tc>
          <w:tcPr>
            <w:tcW w:w="7143" w:type="dxa"/>
          </w:tcPr>
          <w:p w14:paraId="5516F5C2" w14:textId="28F9B65C" w:rsidR="00005D50" w:rsidRPr="00B4534E" w:rsidRDefault="00A76496" w:rsidP="00B4534E">
            <w:pPr>
              <w:pStyle w:val="TableBlock"/>
              <w:rPr>
                <w:rtl/>
              </w:rPr>
            </w:pPr>
            <w:r w:rsidRPr="00B4534E">
              <w:rPr>
                <w:rFonts w:hint="cs"/>
                <w:rtl/>
              </w:rPr>
              <w:t>(ב)</w:t>
            </w:r>
            <w:r w:rsidRPr="00B4534E">
              <w:rPr>
                <w:rtl/>
              </w:rPr>
              <w:tab/>
            </w:r>
            <w:r w:rsidR="00040858" w:rsidRPr="00B4534E">
              <w:rPr>
                <w:rFonts w:hint="cs"/>
                <w:rtl/>
              </w:rPr>
              <w:t xml:space="preserve">השתתפות משרד החינוך בעלויות של החינוך הבלתי פורמאלי כאמור בסעיף קטן (א) תהיה דיפרנציאלית, על פי </w:t>
            </w:r>
            <w:r w:rsidR="007548B4" w:rsidRPr="00B4534E">
              <w:rPr>
                <w:rFonts w:hint="cs"/>
                <w:rtl/>
              </w:rPr>
              <w:t>ה</w:t>
            </w:r>
            <w:r w:rsidR="00040858" w:rsidRPr="00B4534E">
              <w:rPr>
                <w:rFonts w:hint="cs"/>
                <w:rtl/>
              </w:rPr>
              <w:t xml:space="preserve">אשכול </w:t>
            </w:r>
            <w:r w:rsidR="007548B4" w:rsidRPr="00B4534E">
              <w:rPr>
                <w:rFonts w:hint="cs"/>
                <w:rtl/>
              </w:rPr>
              <w:t>החברתי-כלכלי אליו משתייכת הרשות המקומית לפי פרסומי הלשכה המרכזית לסטטיסטיקה, וכפי שיקבע השר בצו, באישור הוועדה.</w:t>
            </w:r>
          </w:p>
        </w:tc>
      </w:tr>
      <w:tr w:rsidR="00005D50" w14:paraId="7EEAA891" w14:textId="77777777" w:rsidTr="00B4534E">
        <w:trPr>
          <w:cantSplit/>
        </w:trPr>
        <w:tc>
          <w:tcPr>
            <w:tcW w:w="1871" w:type="dxa"/>
          </w:tcPr>
          <w:p w14:paraId="3E5758B4" w14:textId="05004804" w:rsidR="00005D50" w:rsidRDefault="00005D50" w:rsidP="00005D50">
            <w:pPr>
              <w:pStyle w:val="TableSideHeading"/>
              <w:keepLines w:val="0"/>
              <w:rPr>
                <w:rtl/>
              </w:rPr>
            </w:pPr>
            <w:r>
              <w:rPr>
                <w:rFonts w:hint="cs"/>
                <w:rtl/>
              </w:rPr>
              <w:t>ביצוע ותקנות</w:t>
            </w:r>
            <w:r w:rsidR="00A76496">
              <w:rPr>
                <w:rFonts w:hint="cs"/>
                <w:rtl/>
              </w:rPr>
              <w:t xml:space="preserve"> וצו ראשון</w:t>
            </w:r>
          </w:p>
        </w:tc>
        <w:tc>
          <w:tcPr>
            <w:tcW w:w="624" w:type="dxa"/>
          </w:tcPr>
          <w:p w14:paraId="37F2C370" w14:textId="0D3F6543" w:rsidR="00005D50" w:rsidRDefault="00A76496" w:rsidP="00005D50">
            <w:pPr>
              <w:pStyle w:val="TableText"/>
              <w:keepLines w:val="0"/>
              <w:rPr>
                <w:rtl/>
              </w:rPr>
            </w:pPr>
            <w:r>
              <w:rPr>
                <w:rFonts w:hint="cs"/>
                <w:rtl/>
              </w:rPr>
              <w:t>6</w:t>
            </w:r>
            <w:r w:rsidR="00005D50">
              <w:rPr>
                <w:rFonts w:hint="cs"/>
                <w:rtl/>
              </w:rPr>
              <w:t>.</w:t>
            </w:r>
          </w:p>
        </w:tc>
        <w:tc>
          <w:tcPr>
            <w:tcW w:w="7143" w:type="dxa"/>
          </w:tcPr>
          <w:p w14:paraId="2AC6A79D" w14:textId="77777777" w:rsidR="00005D50" w:rsidRPr="00B4534E" w:rsidRDefault="00A76496" w:rsidP="00B4534E">
            <w:pPr>
              <w:pStyle w:val="TableBlock"/>
              <w:rPr>
                <w:rtl/>
              </w:rPr>
            </w:pPr>
            <w:r w:rsidRPr="00B4534E">
              <w:rPr>
                <w:rFonts w:hint="cs"/>
                <w:rtl/>
              </w:rPr>
              <w:t>(א)</w:t>
            </w:r>
            <w:r w:rsidRPr="00B4534E">
              <w:rPr>
                <w:rtl/>
              </w:rPr>
              <w:tab/>
            </w:r>
            <w:r w:rsidRPr="00B4534E">
              <w:rPr>
                <w:rFonts w:hint="cs"/>
                <w:rtl/>
              </w:rPr>
              <w:t>השר ממונה על ביצוע חוק זה והוא רשאי להתקין תקנות לביצועי.</w:t>
            </w:r>
          </w:p>
          <w:p w14:paraId="7740758D" w14:textId="17ED3405" w:rsidR="00A76496" w:rsidRPr="00B4534E" w:rsidRDefault="00A76496" w:rsidP="00B4534E">
            <w:pPr>
              <w:pStyle w:val="TableBlock"/>
              <w:rPr>
                <w:rtl/>
              </w:rPr>
            </w:pPr>
          </w:p>
        </w:tc>
      </w:tr>
      <w:tr w:rsidR="00B4534E" w14:paraId="6666DF0F" w14:textId="77777777" w:rsidTr="00B4534E">
        <w:trPr>
          <w:cantSplit/>
        </w:trPr>
        <w:tc>
          <w:tcPr>
            <w:tcW w:w="1871" w:type="dxa"/>
          </w:tcPr>
          <w:p w14:paraId="2B20054A" w14:textId="77777777" w:rsidR="00B4534E" w:rsidRDefault="00B4534E" w:rsidP="00005D50">
            <w:pPr>
              <w:pStyle w:val="TableSideHeading"/>
              <w:keepLines w:val="0"/>
              <w:rPr>
                <w:rtl/>
              </w:rPr>
            </w:pPr>
          </w:p>
        </w:tc>
        <w:tc>
          <w:tcPr>
            <w:tcW w:w="624" w:type="dxa"/>
          </w:tcPr>
          <w:p w14:paraId="0677BA3C" w14:textId="77777777" w:rsidR="00B4534E" w:rsidRDefault="00B4534E" w:rsidP="00B4534E">
            <w:pPr>
              <w:pStyle w:val="TableText"/>
              <w:rPr>
                <w:rtl/>
              </w:rPr>
            </w:pPr>
          </w:p>
        </w:tc>
        <w:tc>
          <w:tcPr>
            <w:tcW w:w="7143" w:type="dxa"/>
          </w:tcPr>
          <w:p w14:paraId="3A3034D0" w14:textId="01F15C04" w:rsidR="00B4534E" w:rsidRPr="00B4534E" w:rsidRDefault="00B4534E" w:rsidP="00B4534E">
            <w:pPr>
              <w:pStyle w:val="TableBlock"/>
              <w:rPr>
                <w:rtl/>
              </w:rPr>
            </w:pPr>
            <w:r w:rsidRPr="00B4534E">
              <w:rPr>
                <w:rFonts w:hint="cs"/>
                <w:rtl/>
              </w:rPr>
              <w:t>(ב)</w:t>
            </w:r>
            <w:r w:rsidRPr="00B4534E">
              <w:rPr>
                <w:rtl/>
              </w:rPr>
              <w:tab/>
            </w:r>
            <w:r w:rsidRPr="00B4534E">
              <w:rPr>
                <w:rFonts w:hint="cs"/>
                <w:rtl/>
              </w:rPr>
              <w:t>צו ראשון לפי סעיף 5(ב) ייקבע בתוך שישה חודשים מיום פרסומו של חוק זה.</w:t>
            </w:r>
          </w:p>
        </w:tc>
      </w:tr>
    </w:tbl>
    <w:p w14:paraId="7F6961CA" w14:textId="77777777" w:rsidR="002D1EE3" w:rsidRPr="00B4534E" w:rsidRDefault="002D1EE3" w:rsidP="00B4534E">
      <w:pPr>
        <w:pStyle w:val="HeadDivreiHesber"/>
        <w:rPr>
          <w:rtl/>
        </w:rPr>
      </w:pPr>
      <w:r w:rsidRPr="00B4534E">
        <w:rPr>
          <w:rFonts w:hint="cs"/>
          <w:rtl/>
        </w:rPr>
        <w:t>דברי הסבר</w:t>
      </w:r>
    </w:p>
    <w:p w14:paraId="75089784" w14:textId="0D0F324B" w:rsidR="00005D50" w:rsidRPr="00B4534E" w:rsidRDefault="00B4534E" w:rsidP="00B4534E">
      <w:pPr>
        <w:pStyle w:val="Hesber"/>
        <w:rPr>
          <w:rtl/>
        </w:rPr>
      </w:pPr>
      <w:r>
        <w:rPr>
          <w:rFonts w:hint="cs"/>
          <w:rtl/>
        </w:rPr>
        <w:t xml:space="preserve">בישראל קיים חוק </w:t>
      </w:r>
      <w:r w:rsidR="00005D50" w:rsidRPr="00B4534E">
        <w:rPr>
          <w:rFonts w:hint="cs"/>
          <w:rtl/>
        </w:rPr>
        <w:t xml:space="preserve">לימוד חובה, </w:t>
      </w:r>
      <w:proofErr w:type="spellStart"/>
      <w:r w:rsidR="00005D50" w:rsidRPr="00B4534E">
        <w:rPr>
          <w:rFonts w:hint="cs"/>
          <w:rtl/>
        </w:rPr>
        <w:t>התש"ט</w:t>
      </w:r>
      <w:proofErr w:type="spellEnd"/>
      <w:r w:rsidR="0062362F" w:rsidRPr="00B4534E">
        <w:rPr>
          <w:rFonts w:hint="eastAsia"/>
          <w:rtl/>
        </w:rPr>
        <w:t>–</w:t>
      </w:r>
      <w:r w:rsidR="00005D50" w:rsidRPr="00B4534E">
        <w:rPr>
          <w:rFonts w:hint="cs"/>
          <w:rtl/>
        </w:rPr>
        <w:t>194</w:t>
      </w:r>
      <w:r w:rsidR="0062362F" w:rsidRPr="00B4534E">
        <w:rPr>
          <w:rFonts w:hint="cs"/>
          <w:rtl/>
        </w:rPr>
        <w:t xml:space="preserve">9, הקובע הוראות בדבר חינוך חובה </w:t>
      </w:r>
      <w:r w:rsidR="00005D50" w:rsidRPr="00B4534E">
        <w:rPr>
          <w:rFonts w:hint="cs"/>
          <w:rtl/>
        </w:rPr>
        <w:t xml:space="preserve">חינם, אך למעשה, </w:t>
      </w:r>
      <w:r>
        <w:rPr>
          <w:rFonts w:hint="cs"/>
          <w:rtl/>
        </w:rPr>
        <w:lastRenderedPageBreak/>
        <w:t>מעבר לחוק</w:t>
      </w:r>
      <w:r w:rsidR="00005D50" w:rsidRPr="00B4534E">
        <w:rPr>
          <w:rFonts w:hint="cs"/>
          <w:rtl/>
        </w:rPr>
        <w:t xml:space="preserve"> הרשויות המקומיות (מנהל יחיד</w:t>
      </w:r>
      <w:r w:rsidR="0062362F" w:rsidRPr="00B4534E">
        <w:rPr>
          <w:rFonts w:hint="cs"/>
          <w:rtl/>
        </w:rPr>
        <w:t xml:space="preserve">ות הנוער ומועצת תלמידים ונוער) </w:t>
      </w:r>
      <w:proofErr w:type="spellStart"/>
      <w:r w:rsidR="0062362F" w:rsidRPr="00B4534E">
        <w:rPr>
          <w:rFonts w:hint="cs"/>
          <w:rtl/>
        </w:rPr>
        <w:t>ה</w:t>
      </w:r>
      <w:r w:rsidR="00005D50" w:rsidRPr="00B4534E">
        <w:rPr>
          <w:rFonts w:hint="cs"/>
          <w:rtl/>
        </w:rPr>
        <w:t>תשע"א</w:t>
      </w:r>
      <w:proofErr w:type="spellEnd"/>
      <w:r w:rsidR="0062362F" w:rsidRPr="00B4534E">
        <w:rPr>
          <w:rFonts w:hint="eastAsia"/>
          <w:rtl/>
        </w:rPr>
        <w:t>–</w:t>
      </w:r>
      <w:r w:rsidR="00005D50" w:rsidRPr="00B4534E">
        <w:rPr>
          <w:rFonts w:hint="cs"/>
          <w:rtl/>
        </w:rPr>
        <w:t>2011</w:t>
      </w:r>
      <w:r w:rsidR="0062362F" w:rsidRPr="00B4534E">
        <w:rPr>
          <w:rFonts w:hint="cs"/>
          <w:rtl/>
        </w:rPr>
        <w:t>,</w:t>
      </w:r>
      <w:r w:rsidR="00005D50" w:rsidRPr="00B4534E">
        <w:rPr>
          <w:rFonts w:hint="cs"/>
          <w:rtl/>
        </w:rPr>
        <w:t xml:space="preserve"> שהקים את מנהלות יחידות </w:t>
      </w:r>
      <w:r w:rsidR="0062362F" w:rsidRPr="00B4534E">
        <w:rPr>
          <w:rFonts w:hint="cs"/>
          <w:rtl/>
        </w:rPr>
        <w:t>ה</w:t>
      </w:r>
      <w:r w:rsidR="00005D50" w:rsidRPr="00B4534E">
        <w:rPr>
          <w:rFonts w:hint="cs"/>
          <w:rtl/>
        </w:rPr>
        <w:t>נוער ברשויות המקומיות שבהן מתגוררים יותר מ-1000 ילדים ובני נוער, אין חובה חוקית בישראל לספק חינוך בלתי פורמ</w:t>
      </w:r>
      <w:r w:rsidR="0062362F" w:rsidRPr="00B4534E">
        <w:rPr>
          <w:rFonts w:hint="cs"/>
          <w:rtl/>
        </w:rPr>
        <w:t>א</w:t>
      </w:r>
      <w:r w:rsidR="00005D50" w:rsidRPr="00B4534E">
        <w:rPr>
          <w:rFonts w:hint="cs"/>
          <w:rtl/>
        </w:rPr>
        <w:t>לי לילדים ולנוער</w:t>
      </w:r>
      <w:r w:rsidR="00D13251" w:rsidRPr="00B4534E">
        <w:rPr>
          <w:rFonts w:hint="cs"/>
          <w:rtl/>
        </w:rPr>
        <w:t>.</w:t>
      </w:r>
      <w:r w:rsidR="00005D50" w:rsidRPr="00B4534E">
        <w:rPr>
          <w:rFonts w:hint="cs"/>
          <w:rtl/>
        </w:rPr>
        <w:t xml:space="preserve"> </w:t>
      </w:r>
    </w:p>
    <w:p w14:paraId="65A9A4E0" w14:textId="79461928" w:rsidR="00005D50" w:rsidRPr="00B4534E" w:rsidRDefault="00005D50" w:rsidP="00B4534E">
      <w:pPr>
        <w:pStyle w:val="Hesber"/>
        <w:rPr>
          <w:rtl/>
        </w:rPr>
      </w:pPr>
      <w:r w:rsidRPr="00B4534E">
        <w:rPr>
          <w:rtl/>
        </w:rPr>
        <w:t>תחת הכותרת "פעילויות ושירותים בתחום החינוך הבלתי פורמ</w:t>
      </w:r>
      <w:r w:rsidR="0062362F" w:rsidRPr="00B4534E">
        <w:rPr>
          <w:rFonts w:hint="cs"/>
          <w:rtl/>
        </w:rPr>
        <w:t>א</w:t>
      </w:r>
      <w:r w:rsidRPr="00B4534E">
        <w:rPr>
          <w:rtl/>
        </w:rPr>
        <w:t>לי" יש מגוון רחב מאוד של פעילויות</w:t>
      </w:r>
      <w:r w:rsidR="0062362F" w:rsidRPr="00B4534E">
        <w:rPr>
          <w:rFonts w:hint="cs"/>
          <w:rtl/>
        </w:rPr>
        <w:t xml:space="preserve">, </w:t>
      </w:r>
      <w:r w:rsidRPr="00B4534E">
        <w:rPr>
          <w:rtl/>
        </w:rPr>
        <w:t>החל במסגרות טיפול בילדים, דרך מועדוני ילדים ונוער המאפשרים פעילות חופשית או מובנית, פעילויות</w:t>
      </w:r>
      <w:r w:rsidR="0062362F" w:rsidRPr="00B4534E">
        <w:rPr>
          <w:rFonts w:hint="cs"/>
          <w:rtl/>
        </w:rPr>
        <w:t xml:space="preserve"> </w:t>
      </w:r>
      <w:r w:rsidRPr="00B4534E">
        <w:rPr>
          <w:rtl/>
        </w:rPr>
        <w:t>ספורט, מוזיקה, דרמה, תיאטרון, טיולים וכדומה, וכלה במסגרות לימודיות לשעות אחר-הצהריים ומסגרות המיועדות לילדים ולבני-נוער בסיכון. יש הסכמה רחבה בדבר חשיבותם הרבה של שירותי החינוך הבלתי פורמ</w:t>
      </w:r>
      <w:r w:rsidR="0062362F" w:rsidRPr="00B4534E">
        <w:rPr>
          <w:rFonts w:hint="cs"/>
          <w:rtl/>
        </w:rPr>
        <w:t>א</w:t>
      </w:r>
      <w:r w:rsidRPr="00B4534E">
        <w:rPr>
          <w:rtl/>
        </w:rPr>
        <w:t>לי, הן בהקשר של ניצול שעות פנאי, התפתחות אישית ומניעת התנהגויות סיכון והן בהקשר של השוואת זמני העבודה של הורים לזמנים שב</w:t>
      </w:r>
      <w:r w:rsidR="0062362F" w:rsidRPr="00B4534E">
        <w:rPr>
          <w:rtl/>
        </w:rPr>
        <w:t>הם ילדיהם נמצאים במסגרות. עם זא</w:t>
      </w:r>
      <w:r w:rsidR="0062362F" w:rsidRPr="00B4534E">
        <w:rPr>
          <w:rFonts w:hint="cs"/>
          <w:rtl/>
        </w:rPr>
        <w:t xml:space="preserve">ת, </w:t>
      </w:r>
      <w:r w:rsidRPr="00B4534E">
        <w:rPr>
          <w:rtl/>
        </w:rPr>
        <w:t>המעורבות הממשלתית בתחום זה בישראל היא חלקית, מזדמנת ולא מתואמת</w:t>
      </w:r>
      <w:r w:rsidR="0062362F" w:rsidRPr="00B4534E">
        <w:rPr>
          <w:rFonts w:hint="cs"/>
          <w:rtl/>
        </w:rPr>
        <w:t>.</w:t>
      </w:r>
    </w:p>
    <w:p w14:paraId="38272461" w14:textId="411192CC" w:rsidR="00005D50" w:rsidRPr="00B4534E" w:rsidRDefault="00005D50" w:rsidP="00B4534E">
      <w:pPr>
        <w:pStyle w:val="Hesber"/>
        <w:rPr>
          <w:rtl/>
        </w:rPr>
      </w:pPr>
      <w:r w:rsidRPr="00B4534E">
        <w:rPr>
          <w:rFonts w:hint="cs"/>
          <w:rtl/>
        </w:rPr>
        <w:t>ברשויות מקומיות רבות, שממוקמות נמוך על הסולם הסוציו אקונומי, הגישה של הילדים ובני הנוער לחינוך הבלתי פורמאלי הינה פחותה וחלקית, וכך נוצר מצב של העצמת פערים ופגיעה בשוויון הזדמנויות חברתיות וחינוכיות. רק תקצוב ד</w:t>
      </w:r>
      <w:r w:rsidR="000B2A28" w:rsidRPr="00B4534E">
        <w:rPr>
          <w:rFonts w:hint="cs"/>
          <w:rtl/>
        </w:rPr>
        <w:t>יפרנציאלי יכול וחייב לתקן את הע</w:t>
      </w:r>
      <w:r w:rsidRPr="00B4534E">
        <w:rPr>
          <w:rFonts w:hint="cs"/>
          <w:rtl/>
        </w:rPr>
        <w:t>וול החמור הזה שמתחיל מהילדות ומתמשך לאורך השנים.</w:t>
      </w:r>
    </w:p>
    <w:p w14:paraId="7F6961CB" w14:textId="5D587ECC" w:rsidR="00E13C27" w:rsidRDefault="00005D50" w:rsidP="00B4534E">
      <w:pPr>
        <w:pStyle w:val="Hesber"/>
        <w:rPr>
          <w:rtl/>
        </w:rPr>
      </w:pPr>
      <w:r w:rsidRPr="00B4534E">
        <w:rPr>
          <w:rFonts w:hint="cs"/>
          <w:rtl/>
        </w:rPr>
        <w:t>לפיכך, מוצ</w:t>
      </w:r>
      <w:r w:rsidR="000B2A28" w:rsidRPr="00B4534E">
        <w:rPr>
          <w:rFonts w:hint="cs"/>
          <w:rtl/>
        </w:rPr>
        <w:t>ע לעגן בחוק את חובת משרד החינוך</w:t>
      </w:r>
      <w:r w:rsidRPr="00B4534E">
        <w:rPr>
          <w:rFonts w:hint="cs"/>
          <w:rtl/>
        </w:rPr>
        <w:t xml:space="preserve"> והרשות המקומית לדאוג לקיומן של מסגרות הח</w:t>
      </w:r>
      <w:r w:rsidR="000B2A28" w:rsidRPr="00B4534E">
        <w:rPr>
          <w:rFonts w:hint="cs"/>
          <w:rtl/>
        </w:rPr>
        <w:t>ינוך הבלתי פורמאלי לילדים ונוער</w:t>
      </w:r>
      <w:r w:rsidRPr="00B4534E">
        <w:rPr>
          <w:rFonts w:hint="cs"/>
          <w:rtl/>
        </w:rPr>
        <w:t xml:space="preserve"> </w:t>
      </w:r>
      <w:proofErr w:type="spellStart"/>
      <w:r w:rsidR="000B2A28" w:rsidRPr="00B4534E">
        <w:rPr>
          <w:rFonts w:hint="cs"/>
          <w:rtl/>
        </w:rPr>
        <w:t>ו</w:t>
      </w:r>
      <w:r w:rsidRPr="00B4534E">
        <w:rPr>
          <w:rFonts w:hint="cs"/>
          <w:rtl/>
        </w:rPr>
        <w:t>לתקצבו</w:t>
      </w:r>
      <w:proofErr w:type="spellEnd"/>
      <w:r w:rsidRPr="00B4534E">
        <w:rPr>
          <w:rFonts w:hint="cs"/>
          <w:rtl/>
        </w:rPr>
        <w:t xml:space="preserve"> בהתאם לצרכיהם.</w:t>
      </w:r>
    </w:p>
    <w:p w14:paraId="2B486EB5" w14:textId="77777777" w:rsidR="00DF7282" w:rsidRDefault="00DF7282" w:rsidP="00B4534E">
      <w:pPr>
        <w:pStyle w:val="Hesber"/>
        <w:rPr>
          <w:rtl/>
        </w:rPr>
      </w:pPr>
    </w:p>
    <w:p w14:paraId="6CB982A6" w14:textId="77777777" w:rsidR="00DF7282" w:rsidRPr="00D73212" w:rsidRDefault="00DF7282" w:rsidP="00DF7282">
      <w:pPr>
        <w:pStyle w:val="Hesber"/>
        <w:ind w:firstLine="0"/>
        <w:rPr>
          <w:rtl/>
        </w:rPr>
      </w:pPr>
      <w:r w:rsidRPr="00D73212">
        <w:rPr>
          <w:rtl/>
        </w:rPr>
        <w:t>---------------------------------</w:t>
      </w:r>
    </w:p>
    <w:p w14:paraId="23D61677" w14:textId="77777777" w:rsidR="00DF7282" w:rsidRPr="00D73212" w:rsidRDefault="00DF7282" w:rsidP="00DF7282">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72885F4" w14:textId="77777777" w:rsidR="00DF7282" w:rsidRPr="00D73212" w:rsidRDefault="00DF7282" w:rsidP="00DF7282">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18A7E0B9" w14:textId="77777777" w:rsidR="00DF7282" w:rsidRPr="00317312" w:rsidRDefault="00DF7282" w:rsidP="00DF7282">
      <w:pPr>
        <w:pStyle w:val="Hesber"/>
        <w:ind w:firstLine="0"/>
      </w:pPr>
      <w:r>
        <w:rPr>
          <w:rFonts w:hint="cs"/>
          <w:rtl/>
        </w:rPr>
        <w:t>כ' בחשוון</w:t>
      </w:r>
      <w:r w:rsidRPr="00D73212">
        <w:rPr>
          <w:rtl/>
        </w:rPr>
        <w:t xml:space="preserve"> </w:t>
      </w:r>
      <w:proofErr w:type="spellStart"/>
      <w:r>
        <w:rPr>
          <w:rFonts w:hint="cs"/>
          <w:rtl/>
        </w:rPr>
        <w:t>התש"ף</w:t>
      </w:r>
      <w:proofErr w:type="spellEnd"/>
      <w:r>
        <w:rPr>
          <w:rFonts w:hint="cs"/>
          <w:rtl/>
        </w:rPr>
        <w:t xml:space="preserve"> </w:t>
      </w:r>
      <w:r w:rsidRPr="00D73212">
        <w:rPr>
          <w:rtl/>
        </w:rPr>
        <w:t>–</w:t>
      </w:r>
      <w:r>
        <w:rPr>
          <w:rFonts w:hint="cs"/>
          <w:rtl/>
        </w:rPr>
        <w:t xml:space="preserve"> 18.11</w:t>
      </w:r>
      <w:r w:rsidRPr="00D73212">
        <w:rPr>
          <w:rtl/>
        </w:rPr>
        <w:t>.</w:t>
      </w:r>
      <w:r>
        <w:rPr>
          <w:rFonts w:hint="cs"/>
          <w:rtl/>
        </w:rPr>
        <w:t xml:space="preserve">19  </w:t>
      </w:r>
    </w:p>
    <w:p w14:paraId="7B64CF14" w14:textId="77777777" w:rsidR="00DF7282" w:rsidRPr="00E73006" w:rsidRDefault="00DF7282" w:rsidP="00DF7282">
      <w:pPr>
        <w:rPr>
          <w:rFonts w:ascii="Arial" w:eastAsia="Arial Unicode MS" w:hAnsi="Arial"/>
          <w:snapToGrid w:val="0"/>
          <w:sz w:val="20"/>
          <w:szCs w:val="26"/>
          <w:rtl/>
        </w:rPr>
      </w:pPr>
    </w:p>
    <w:p w14:paraId="6569231B" w14:textId="77777777" w:rsidR="00DF7282" w:rsidRPr="00B15BBC" w:rsidRDefault="00DF7282" w:rsidP="00DF7282">
      <w:pPr>
        <w:rPr>
          <w:rFonts w:ascii="Arial" w:eastAsia="Arial Unicode MS" w:hAnsi="Arial" w:hint="cs"/>
          <w:snapToGrid w:val="0"/>
          <w:sz w:val="20"/>
          <w:szCs w:val="26"/>
          <w:rtl/>
        </w:rPr>
      </w:pPr>
    </w:p>
    <w:p w14:paraId="0D74B1EE" w14:textId="77777777" w:rsidR="00DF7282" w:rsidRPr="000339B5" w:rsidRDefault="00DF7282" w:rsidP="00DF7282"/>
    <w:p w14:paraId="14CBE269" w14:textId="77777777" w:rsidR="00DF7282" w:rsidRPr="00B4534E" w:rsidRDefault="00DF7282" w:rsidP="00B4534E">
      <w:pPr>
        <w:pStyle w:val="Hesber"/>
        <w:rPr>
          <w:rtl/>
        </w:rPr>
      </w:pPr>
    </w:p>
    <w:sectPr w:rsidR="00DF7282" w:rsidRPr="00B4534E" w:rsidSect="00B4534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DF7282">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4534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60B5D42" w14:textId="6F9C0086" w:rsidR="00B4534E" w:rsidRDefault="00B4534E">
      <w:pPr>
        <w:pStyle w:val="a4"/>
        <w:rPr>
          <w:rtl/>
        </w:rPr>
      </w:pPr>
      <w:r>
        <w:rPr>
          <w:rStyle w:val="a5"/>
        </w:rPr>
        <w:footnoteRef/>
      </w:r>
      <w:r>
        <w:rPr>
          <w:rtl/>
        </w:rPr>
        <w:t xml:space="preserve"> </w:t>
      </w:r>
      <w:r>
        <w:rPr>
          <w:rFonts w:hint="cs"/>
          <w:rtl/>
        </w:rPr>
        <w:t xml:space="preserve">ס"ח </w:t>
      </w:r>
      <w:proofErr w:type="spellStart"/>
      <w:r>
        <w:rPr>
          <w:rFonts w:hint="cs"/>
          <w:rtl/>
        </w:rPr>
        <w:t>התשנ"ב</w:t>
      </w:r>
      <w:proofErr w:type="spellEnd"/>
      <w:r>
        <w:rPr>
          <w:rFonts w:hint="cs"/>
          <w:rtl/>
        </w:rPr>
        <w:t>, עמ' 150.</w:t>
      </w:r>
    </w:p>
  </w:footnote>
  <w:footnote w:id="3">
    <w:p w14:paraId="58DC586F" w14:textId="77777777" w:rsidR="00005D50" w:rsidRDefault="00005D50" w:rsidP="00005D50">
      <w:pPr>
        <w:pStyle w:val="a4"/>
        <w:rPr>
          <w:rtl/>
        </w:rPr>
      </w:pPr>
      <w:r>
        <w:rPr>
          <w:rStyle w:val="a5"/>
        </w:rPr>
        <w:footnoteRef/>
      </w:r>
      <w:r>
        <w:rPr>
          <w:rtl/>
        </w:rPr>
        <w:t xml:space="preserve"> </w:t>
      </w:r>
      <w:r>
        <w:rPr>
          <w:rFonts w:hint="cs"/>
          <w:rtl/>
        </w:rPr>
        <w:t xml:space="preserve">ס"ח </w:t>
      </w:r>
      <w:proofErr w:type="spellStart"/>
      <w:r>
        <w:rPr>
          <w:rFonts w:hint="cs"/>
          <w:rtl/>
        </w:rPr>
        <w:t>התשי"ג</w:t>
      </w:r>
      <w:proofErr w:type="spellEnd"/>
      <w:r>
        <w:rPr>
          <w:rFonts w:hint="cs"/>
          <w:rtl/>
        </w:rPr>
        <w:t>, עמ' 137.</w:t>
      </w:r>
    </w:p>
  </w:footnote>
  <w:footnote w:id="4">
    <w:p w14:paraId="18398A1F" w14:textId="77777777" w:rsidR="00005D50" w:rsidRDefault="00005D50" w:rsidP="00005D50">
      <w:pPr>
        <w:pStyle w:val="a4"/>
      </w:pPr>
      <w:r>
        <w:rPr>
          <w:rStyle w:val="a5"/>
        </w:rPr>
        <w:footnoteRef/>
      </w:r>
      <w:r>
        <w:rPr>
          <w:rtl/>
        </w:rPr>
        <w:t xml:space="preserve"> </w:t>
      </w:r>
      <w:r>
        <w:rPr>
          <w:rFonts w:hint="cs"/>
          <w:rtl/>
        </w:rPr>
        <w:t xml:space="preserve">ס"ח </w:t>
      </w:r>
      <w:proofErr w:type="spellStart"/>
      <w:r>
        <w:rPr>
          <w:rFonts w:hint="cs"/>
          <w:rtl/>
        </w:rPr>
        <w:t>התש"ט</w:t>
      </w:r>
      <w:proofErr w:type="spellEnd"/>
      <w:r>
        <w:rPr>
          <w:rFonts w:hint="cs"/>
          <w:rtl/>
        </w:rPr>
        <w:t>, עמ' 287.</w:t>
      </w:r>
    </w:p>
  </w:footnote>
  <w:footnote w:id="5">
    <w:p w14:paraId="5F78A311" w14:textId="100BFD61" w:rsidR="00040858" w:rsidRDefault="00040858">
      <w:pPr>
        <w:pStyle w:val="a4"/>
      </w:pPr>
      <w:r>
        <w:rPr>
          <w:rStyle w:val="a5"/>
        </w:rPr>
        <w:footnoteRef/>
      </w:r>
      <w:r>
        <w:rPr>
          <w:rtl/>
        </w:rPr>
        <w:t xml:space="preserve"> </w:t>
      </w:r>
      <w:r>
        <w:rPr>
          <w:rFonts w:hint="cs"/>
          <w:rtl/>
        </w:rPr>
        <w:t xml:space="preserve">ס"ח </w:t>
      </w:r>
      <w:proofErr w:type="spellStart"/>
      <w:r>
        <w:rPr>
          <w:rFonts w:hint="cs"/>
          <w:rtl/>
        </w:rPr>
        <w:t>התשמ"ה</w:t>
      </w:r>
      <w:proofErr w:type="spellEnd"/>
      <w:r>
        <w:rPr>
          <w:rFonts w:hint="cs"/>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5D50"/>
    <w:rsid w:val="00015B27"/>
    <w:rsid w:val="00040858"/>
    <w:rsid w:val="00063A3E"/>
    <w:rsid w:val="00072CAC"/>
    <w:rsid w:val="0007681A"/>
    <w:rsid w:val="000A542E"/>
    <w:rsid w:val="000B2A28"/>
    <w:rsid w:val="00102B6B"/>
    <w:rsid w:val="001052D4"/>
    <w:rsid w:val="0010644B"/>
    <w:rsid w:val="001207F8"/>
    <w:rsid w:val="00121924"/>
    <w:rsid w:val="001279A8"/>
    <w:rsid w:val="0014195F"/>
    <w:rsid w:val="00152609"/>
    <w:rsid w:val="00153E1B"/>
    <w:rsid w:val="001A0623"/>
    <w:rsid w:val="001B1BC0"/>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97D48"/>
    <w:rsid w:val="005B064E"/>
    <w:rsid w:val="005D51AE"/>
    <w:rsid w:val="0062362F"/>
    <w:rsid w:val="0062674B"/>
    <w:rsid w:val="006363B2"/>
    <w:rsid w:val="00644940"/>
    <w:rsid w:val="006818A9"/>
    <w:rsid w:val="006A2D81"/>
    <w:rsid w:val="006C1D0D"/>
    <w:rsid w:val="0070601E"/>
    <w:rsid w:val="00712C72"/>
    <w:rsid w:val="00735FE9"/>
    <w:rsid w:val="007548B4"/>
    <w:rsid w:val="00763CAA"/>
    <w:rsid w:val="00765F66"/>
    <w:rsid w:val="0078664F"/>
    <w:rsid w:val="007A27CE"/>
    <w:rsid w:val="007C3FA6"/>
    <w:rsid w:val="007D15EA"/>
    <w:rsid w:val="007D585A"/>
    <w:rsid w:val="007D5A12"/>
    <w:rsid w:val="007E59F9"/>
    <w:rsid w:val="007F4E38"/>
    <w:rsid w:val="00810BCD"/>
    <w:rsid w:val="00812C98"/>
    <w:rsid w:val="00814D92"/>
    <w:rsid w:val="0083181D"/>
    <w:rsid w:val="00842E5E"/>
    <w:rsid w:val="00843EB2"/>
    <w:rsid w:val="00865572"/>
    <w:rsid w:val="00874BBC"/>
    <w:rsid w:val="00892135"/>
    <w:rsid w:val="00895449"/>
    <w:rsid w:val="00897879"/>
    <w:rsid w:val="008A6870"/>
    <w:rsid w:val="008A7F46"/>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0FA8"/>
    <w:rsid w:val="009A7257"/>
    <w:rsid w:val="009D6E0A"/>
    <w:rsid w:val="009E1E33"/>
    <w:rsid w:val="00A14672"/>
    <w:rsid w:val="00A26BD6"/>
    <w:rsid w:val="00A443CF"/>
    <w:rsid w:val="00A6611D"/>
    <w:rsid w:val="00A76496"/>
    <w:rsid w:val="00A82CB7"/>
    <w:rsid w:val="00A942C1"/>
    <w:rsid w:val="00AA2F03"/>
    <w:rsid w:val="00AC36F7"/>
    <w:rsid w:val="00AC63A4"/>
    <w:rsid w:val="00AD239E"/>
    <w:rsid w:val="00B10265"/>
    <w:rsid w:val="00B16A99"/>
    <w:rsid w:val="00B21211"/>
    <w:rsid w:val="00B35784"/>
    <w:rsid w:val="00B4534E"/>
    <w:rsid w:val="00B733A7"/>
    <w:rsid w:val="00B75C91"/>
    <w:rsid w:val="00B975AD"/>
    <w:rsid w:val="00BC45FB"/>
    <w:rsid w:val="00BF148D"/>
    <w:rsid w:val="00C23B1A"/>
    <w:rsid w:val="00C310EB"/>
    <w:rsid w:val="00C9176A"/>
    <w:rsid w:val="00CF1AA2"/>
    <w:rsid w:val="00D13251"/>
    <w:rsid w:val="00D142D3"/>
    <w:rsid w:val="00D17774"/>
    <w:rsid w:val="00D63620"/>
    <w:rsid w:val="00D8410D"/>
    <w:rsid w:val="00D867D7"/>
    <w:rsid w:val="00DB7060"/>
    <w:rsid w:val="00DE3153"/>
    <w:rsid w:val="00DF7282"/>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147F850-03F5-4EE7-B0E3-19A29F83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34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4534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4534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4534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4534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4534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4534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4534E"/>
    <w:rPr>
      <w:sz w:val="36"/>
      <w:szCs w:val="52"/>
    </w:rPr>
  </w:style>
  <w:style w:type="paragraph" w:customStyle="1" w:styleId="Cover3-Haknesset">
    <w:name w:val="Cover 3-Haknesset"/>
    <w:basedOn w:val="Cover1-Reshumot"/>
    <w:rsid w:val="00B4534E"/>
    <w:rPr>
      <w:b/>
      <w:bCs/>
      <w:spacing w:val="60"/>
    </w:rPr>
  </w:style>
  <w:style w:type="paragraph" w:customStyle="1" w:styleId="Cover4-Date">
    <w:name w:val="Cover 4-Date"/>
    <w:basedOn w:val="a"/>
    <w:rsid w:val="00B4534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4534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4534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4534E"/>
    <w:pPr>
      <w:spacing w:before="120" w:after="120"/>
    </w:pPr>
    <w:rPr>
      <w:color w:val="FF0000"/>
      <w:w w:val="80"/>
    </w:rPr>
  </w:style>
  <w:style w:type="paragraph" w:styleId="a3">
    <w:name w:val="endnote text"/>
    <w:basedOn w:val="a"/>
    <w:semiHidden/>
    <w:rsid w:val="00B4534E"/>
    <w:pPr>
      <w:ind w:left="227" w:hanging="227"/>
    </w:pPr>
    <w:rPr>
      <w:sz w:val="14"/>
      <w:szCs w:val="22"/>
    </w:rPr>
  </w:style>
  <w:style w:type="paragraph" w:customStyle="1" w:styleId="TableText">
    <w:name w:val="Table Text"/>
    <w:basedOn w:val="a"/>
    <w:rsid w:val="00B4534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4534E"/>
    <w:pPr>
      <w:outlineLvl w:val="2"/>
    </w:pPr>
  </w:style>
  <w:style w:type="paragraph" w:customStyle="1" w:styleId="TableBlock">
    <w:name w:val="Table Block"/>
    <w:basedOn w:val="TableText"/>
    <w:rsid w:val="00B4534E"/>
    <w:pPr>
      <w:jc w:val="both"/>
    </w:pPr>
  </w:style>
  <w:style w:type="paragraph" w:customStyle="1" w:styleId="TableHead">
    <w:name w:val="Table Head"/>
    <w:basedOn w:val="TableText"/>
    <w:rsid w:val="00B4534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4534E"/>
    <w:pPr>
      <w:outlineLvl w:val="9"/>
    </w:pPr>
  </w:style>
  <w:style w:type="paragraph" w:customStyle="1" w:styleId="Hesber">
    <w:name w:val="Hesber"/>
    <w:basedOn w:val="a"/>
    <w:rsid w:val="00B4534E"/>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B4534E"/>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B4534E"/>
    <w:rPr>
      <w:vertAlign w:val="superscript"/>
    </w:rPr>
  </w:style>
  <w:style w:type="paragraph" w:customStyle="1" w:styleId="HesberHeading">
    <w:name w:val="Hesber Heading"/>
    <w:basedOn w:val="Hesber"/>
    <w:rsid w:val="00B4534E"/>
    <w:pPr>
      <w:tabs>
        <w:tab w:val="left" w:pos="624"/>
        <w:tab w:val="left" w:pos="1247"/>
      </w:tabs>
    </w:pPr>
    <w:rPr>
      <w:b/>
      <w:bCs/>
    </w:rPr>
  </w:style>
  <w:style w:type="paragraph" w:customStyle="1" w:styleId="HesberWriters">
    <w:name w:val="Hesber Writers"/>
    <w:basedOn w:val="Hesber"/>
    <w:rsid w:val="00B4534E"/>
    <w:pPr>
      <w:spacing w:before="120" w:after="120"/>
      <w:ind w:left="1418"/>
      <w:jc w:val="right"/>
    </w:pPr>
    <w:rPr>
      <w:b/>
      <w:bCs/>
    </w:rPr>
  </w:style>
  <w:style w:type="paragraph" w:customStyle="1" w:styleId="Hesber1st">
    <w:name w:val="Hesber 1st"/>
    <w:basedOn w:val="Hesber"/>
    <w:rsid w:val="00B4534E"/>
    <w:pPr>
      <w:tabs>
        <w:tab w:val="left" w:pos="680"/>
        <w:tab w:val="left" w:pos="1020"/>
      </w:tabs>
      <w:ind w:firstLine="0"/>
    </w:pPr>
  </w:style>
  <w:style w:type="character" w:styleId="a6">
    <w:name w:val="endnote reference"/>
    <w:basedOn w:val="a0"/>
    <w:semiHidden/>
    <w:rsid w:val="00B4534E"/>
    <w:rPr>
      <w:vertAlign w:val="superscript"/>
    </w:rPr>
  </w:style>
  <w:style w:type="paragraph" w:customStyle="1" w:styleId="TableBlockOutdent">
    <w:name w:val="Table BlockOutdent"/>
    <w:basedOn w:val="TableBlock"/>
    <w:rsid w:val="00B4534E"/>
    <w:pPr>
      <w:ind w:left="624" w:hanging="624"/>
    </w:pPr>
  </w:style>
  <w:style w:type="paragraph" w:styleId="a7">
    <w:name w:val="header"/>
    <w:basedOn w:val="a"/>
    <w:rsid w:val="00B4534E"/>
    <w:pPr>
      <w:tabs>
        <w:tab w:val="center" w:pos="4153"/>
        <w:tab w:val="right" w:pos="8306"/>
      </w:tabs>
    </w:pPr>
  </w:style>
  <w:style w:type="paragraph" w:styleId="a8">
    <w:name w:val="footer"/>
    <w:basedOn w:val="a"/>
    <w:rsid w:val="00B4534E"/>
    <w:pPr>
      <w:tabs>
        <w:tab w:val="center" w:pos="4153"/>
        <w:tab w:val="right" w:pos="8306"/>
      </w:tabs>
    </w:pPr>
  </w:style>
  <w:style w:type="paragraph" w:customStyle="1" w:styleId="HeadDivreiHesber">
    <w:name w:val="Head DivreiHesber"/>
    <w:basedOn w:val="a"/>
    <w:rsid w:val="00B4534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4534E"/>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B4534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customStyle="1" w:styleId="p00">
    <w:name w:val="p00"/>
    <w:basedOn w:val="a"/>
    <w:rsid w:val="00005D50"/>
    <w:pPr>
      <w:widowControl/>
      <w:bidi w:val="0"/>
      <w:spacing w:before="100" w:beforeAutospacing="1" w:after="100" w:afterAutospacing="1" w:line="240" w:lineRule="auto"/>
      <w:jc w:val="left"/>
    </w:pPr>
    <w:rPr>
      <w:rFonts w:ascii="Times New Roman" w:eastAsia="Times New Roman" w:hAnsi="Times New Roman" w:cs="Times New Roman"/>
    </w:rPr>
  </w:style>
  <w:style w:type="character" w:styleId="ad">
    <w:name w:val="annotation reference"/>
    <w:basedOn w:val="a0"/>
    <w:semiHidden/>
    <w:unhideWhenUsed/>
    <w:rsid w:val="00B4534E"/>
    <w:rPr>
      <w:sz w:val="16"/>
      <w:szCs w:val="16"/>
    </w:rPr>
  </w:style>
  <w:style w:type="character" w:customStyle="1" w:styleId="10">
    <w:name w:val="כותרת 1 תו"/>
    <w:basedOn w:val="a0"/>
    <w:link w:val="1"/>
    <w:uiPriority w:val="9"/>
    <w:rsid w:val="00B4534E"/>
    <w:rPr>
      <w:rFonts w:asciiTheme="majorHAnsi" w:eastAsiaTheme="majorEastAsia" w:hAnsiTheme="majorHAnsi" w:cs="David"/>
      <w:bCs/>
      <w:sz w:val="32"/>
      <w:szCs w:val="36"/>
    </w:rPr>
  </w:style>
  <w:style w:type="character" w:customStyle="1" w:styleId="20">
    <w:name w:val="כותרת 2 תו"/>
    <w:basedOn w:val="a0"/>
    <w:link w:val="2"/>
    <w:rsid w:val="00B4534E"/>
    <w:rPr>
      <w:rFonts w:asciiTheme="majorHAnsi" w:eastAsiaTheme="majorEastAsia" w:hAnsiTheme="majorHAnsi" w:cs="David"/>
      <w:bCs/>
      <w:sz w:val="26"/>
      <w:szCs w:val="36"/>
      <w:u w:val="single"/>
    </w:rPr>
  </w:style>
  <w:style w:type="character" w:customStyle="1" w:styleId="30">
    <w:name w:val="כותרת 3 תו"/>
    <w:basedOn w:val="a0"/>
    <w:link w:val="3"/>
    <w:rsid w:val="00B4534E"/>
    <w:rPr>
      <w:rFonts w:asciiTheme="majorHAnsi" w:eastAsiaTheme="majorEastAsia" w:hAnsiTheme="majorHAnsi" w:cs="David"/>
      <w:sz w:val="24"/>
      <w:szCs w:val="28"/>
      <w:u w:val="double"/>
    </w:rPr>
  </w:style>
  <w:style w:type="character" w:customStyle="1" w:styleId="40">
    <w:name w:val="כותרת 4 תו"/>
    <w:basedOn w:val="a0"/>
    <w:link w:val="4"/>
    <w:uiPriority w:val="9"/>
    <w:rsid w:val="00B4534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4534E"/>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4534E"/>
    <w:pPr>
      <w:widowControl/>
      <w:spacing w:before="120" w:after="120"/>
      <w:outlineLvl w:val="9"/>
    </w:pPr>
    <w:rPr>
      <w:rtl/>
      <w:cs/>
    </w:rPr>
  </w:style>
  <w:style w:type="paragraph" w:styleId="TOC1">
    <w:name w:val="toc 1"/>
    <w:basedOn w:val="a"/>
    <w:next w:val="a"/>
    <w:autoRedefine/>
    <w:uiPriority w:val="39"/>
    <w:unhideWhenUsed/>
    <w:rsid w:val="00B4534E"/>
    <w:pPr>
      <w:tabs>
        <w:tab w:val="right" w:leader="dot" w:pos="9629"/>
      </w:tabs>
      <w:spacing w:after="100"/>
    </w:pPr>
    <w:rPr>
      <w:bCs/>
      <w:szCs w:val="22"/>
    </w:rPr>
  </w:style>
  <w:style w:type="paragraph" w:styleId="TOC2">
    <w:name w:val="toc 2"/>
    <w:basedOn w:val="a"/>
    <w:next w:val="a"/>
    <w:uiPriority w:val="39"/>
    <w:unhideWhenUsed/>
    <w:rsid w:val="00B4534E"/>
    <w:pPr>
      <w:tabs>
        <w:tab w:val="right" w:leader="dot" w:pos="9628"/>
      </w:tabs>
      <w:spacing w:after="100"/>
    </w:pPr>
    <w:rPr>
      <w:szCs w:val="22"/>
    </w:rPr>
  </w:style>
  <w:style w:type="character" w:styleId="Hyperlink">
    <w:name w:val="Hyperlink"/>
    <w:basedOn w:val="a0"/>
    <w:uiPriority w:val="99"/>
    <w:unhideWhenUsed/>
    <w:rsid w:val="00B4534E"/>
    <w:rPr>
      <w:color w:val="0000FF" w:themeColor="hyperlink"/>
      <w:u w:val="single"/>
    </w:rPr>
  </w:style>
  <w:style w:type="paragraph" w:styleId="TOC3">
    <w:name w:val="toc 3"/>
    <w:basedOn w:val="a"/>
    <w:next w:val="a"/>
    <w:uiPriority w:val="39"/>
    <w:unhideWhenUsed/>
    <w:rsid w:val="00B4534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B4534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4534E"/>
    <w:pPr>
      <w:tabs>
        <w:tab w:val="right" w:leader="dot" w:pos="9628"/>
      </w:tabs>
      <w:spacing w:after="100"/>
      <w:ind w:left="567"/>
    </w:pPr>
    <w:rPr>
      <w:szCs w:val="22"/>
    </w:rPr>
  </w:style>
  <w:style w:type="paragraph" w:styleId="TOC6">
    <w:name w:val="toc 6"/>
    <w:basedOn w:val="a"/>
    <w:next w:val="a"/>
    <w:autoRedefine/>
    <w:semiHidden/>
    <w:unhideWhenUsed/>
    <w:rsid w:val="00B4534E"/>
    <w:pPr>
      <w:spacing w:after="100"/>
      <w:ind w:left="850"/>
    </w:pPr>
  </w:style>
  <w:style w:type="paragraph" w:styleId="TOC7">
    <w:name w:val="toc 7"/>
    <w:basedOn w:val="a"/>
    <w:next w:val="a"/>
    <w:autoRedefine/>
    <w:semiHidden/>
    <w:unhideWhenUsed/>
    <w:rsid w:val="00B4534E"/>
    <w:pPr>
      <w:spacing w:after="100"/>
      <w:ind w:left="1020"/>
    </w:pPr>
  </w:style>
  <w:style w:type="paragraph" w:styleId="TOC8">
    <w:name w:val="toc 8"/>
    <w:basedOn w:val="a"/>
    <w:next w:val="a"/>
    <w:autoRedefine/>
    <w:semiHidden/>
    <w:unhideWhenUsed/>
    <w:rsid w:val="00B4534E"/>
    <w:pPr>
      <w:spacing w:after="100"/>
      <w:ind w:left="1190"/>
    </w:pPr>
  </w:style>
  <w:style w:type="paragraph" w:styleId="TOC9">
    <w:name w:val="toc 9"/>
    <w:basedOn w:val="a"/>
    <w:next w:val="a"/>
    <w:autoRedefine/>
    <w:semiHidden/>
    <w:unhideWhenUsed/>
    <w:rsid w:val="00B4534E"/>
    <w:pPr>
      <w:spacing w:after="100"/>
      <w:ind w:left="1360"/>
    </w:pPr>
  </w:style>
  <w:style w:type="paragraph" w:customStyle="1" w:styleId="TableHead2">
    <w:name w:val="Table Head2"/>
    <w:basedOn w:val="TableHead"/>
    <w:qFormat/>
    <w:rsid w:val="00B4534E"/>
    <w:pPr>
      <w:outlineLvl w:val="9"/>
    </w:pPr>
  </w:style>
  <w:style w:type="paragraph" w:customStyle="1" w:styleId="TableSideHeading2">
    <w:name w:val="Table SideHeading2"/>
    <w:basedOn w:val="TableSideHeading"/>
    <w:autoRedefine/>
    <w:qFormat/>
    <w:rsid w:val="00B4534E"/>
    <w:pPr>
      <w:keepLines w:val="0"/>
      <w:outlineLvl w:val="9"/>
    </w:pPr>
  </w:style>
  <w:style w:type="paragraph" w:customStyle="1" w:styleId="0">
    <w:name w:val="סגנון שורה ראשונה:  0  ס''מ"/>
    <w:basedOn w:val="2"/>
    <w:rsid w:val="00B4534E"/>
    <w:rPr>
      <w:rFonts w:eastAsia="Times New Roman"/>
    </w:rPr>
  </w:style>
  <w:style w:type="paragraph" w:styleId="af">
    <w:name w:val="List Paragraph"/>
    <w:basedOn w:val="a"/>
    <w:uiPriority w:val="34"/>
    <w:qFormat/>
    <w:rsid w:val="00B4534E"/>
    <w:pPr>
      <w:widowControl/>
      <w:spacing w:line="259" w:lineRule="auto"/>
    </w:pPr>
    <w:rPr>
      <w:rFonts w:asciiTheme="minorHAnsi" w:hAnsiTheme="minorHAnsi"/>
      <w:sz w:val="22"/>
    </w:rPr>
  </w:style>
  <w:style w:type="table" w:styleId="af0">
    <w:name w:val="Table Grid"/>
    <w:basedOn w:val="a1"/>
    <w:rsid w:val="00B4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453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4534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4534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4534E"/>
    <w:tblPr/>
    <w:tblStylePr w:type="firstCol">
      <w:pPr>
        <w:keepNext w:val="0"/>
        <w:keepLines/>
        <w:pageBreakBefore w:val="0"/>
        <w:widowControl w:val="0"/>
        <w:suppressLineNumbers w:val="0"/>
        <w:suppressAutoHyphens w:val="0"/>
        <w:wordWrap/>
      </w:pPr>
    </w:tblStylePr>
  </w:style>
  <w:style w:type="paragraph" w:styleId="af2">
    <w:name w:val="annotation text"/>
    <w:basedOn w:val="a"/>
    <w:link w:val="af3"/>
    <w:semiHidden/>
    <w:unhideWhenUsed/>
    <w:rsid w:val="00B4534E"/>
    <w:pPr>
      <w:spacing w:line="240" w:lineRule="auto"/>
    </w:pPr>
    <w:rPr>
      <w:sz w:val="20"/>
      <w:szCs w:val="20"/>
    </w:rPr>
  </w:style>
  <w:style w:type="character" w:customStyle="1" w:styleId="af3">
    <w:name w:val="טקסט הערה תו"/>
    <w:basedOn w:val="a0"/>
    <w:link w:val="af2"/>
    <w:semiHidden/>
    <w:rsid w:val="00B4534E"/>
    <w:rPr>
      <w:rFonts w:ascii="David" w:eastAsiaTheme="minorHAnsi" w:hAnsi="David" w:cs="David"/>
    </w:rPr>
  </w:style>
  <w:style w:type="paragraph" w:styleId="af4">
    <w:name w:val="annotation subject"/>
    <w:basedOn w:val="af2"/>
    <w:next w:val="af2"/>
    <w:link w:val="af5"/>
    <w:semiHidden/>
    <w:unhideWhenUsed/>
    <w:rsid w:val="00B4534E"/>
    <w:rPr>
      <w:b/>
      <w:bCs/>
    </w:rPr>
  </w:style>
  <w:style w:type="character" w:customStyle="1" w:styleId="af5">
    <w:name w:val="נושא הערה תו"/>
    <w:basedOn w:val="af3"/>
    <w:link w:val="af4"/>
    <w:semiHidden/>
    <w:rsid w:val="00B4534E"/>
    <w:rPr>
      <w:rFonts w:ascii="David" w:eastAsiaTheme="minorHAnsi" w:hAnsi="David"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9E2F-00C3-4989-8089-AF6EDEE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13D189-5716-465A-B570-F5CBECE5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604</Words>
  <Characters>3444</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19</cp:revision>
  <cp:lastPrinted>2013-07-04T08:25:00Z</cp:lastPrinted>
  <dcterms:created xsi:type="dcterms:W3CDTF">2015-04-20T09:58:00Z</dcterms:created>
  <dcterms:modified xsi:type="dcterms:W3CDTF">2019-11-13T06:34:00Z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2081717</vt:r8>
  </property>
</Properties>
</file>