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2081608</w:t>
      </w:r>
      <w:bookmarkEnd w:id="0"/>
    </w:p>
    <w:p w14:paraId="7F6961A2" w14:textId="18D444A2" w:rsidR="00E13C27" w:rsidRPr="00DB7060" w:rsidRDefault="00E13C27" w:rsidP="00A443CF">
      <w:pPr>
        <w:pStyle w:val="HeadHatzaotHok"/>
        <w:rPr>
          <w:sz w:val="28"/>
          <w:szCs w:val="28"/>
          <w:rtl/>
        </w:rPr>
      </w:pPr>
      <w:bookmarkStart w:id="1" w:name="LGS_Knesset_Num"/>
      <w:r>
        <w:rPr>
          <w:rFonts w:hint="cs"/>
          <w:sz w:val="28"/>
          <w:szCs w:val="28"/>
          <w:rtl/>
        </w:rPr>
        <w:t>הכנסת העשרים ושתיים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ישראל אייכלר</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694EA2D5" w:rsidR="00904591" w:rsidRPr="00904591" w:rsidRDefault="00266D86" w:rsidP="004D7964">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4D7964">
        <w:rPr>
          <w:rtl/>
        </w:rPr>
        <w:tab/>
      </w:r>
      <w:r w:rsidR="004D7964">
        <w:rPr>
          <w:rFonts w:hint="cs"/>
          <w:rtl/>
        </w:rPr>
        <w:t>פ/623/22</w:t>
      </w:r>
    </w:p>
    <w:p w14:paraId="7F6961AE" w14:textId="0C7E9212" w:rsidR="00E13C27" w:rsidRDefault="00A443CF" w:rsidP="00DB6B64">
      <w:pPr>
        <w:pStyle w:val="HeadHatzaotHok"/>
        <w:rPr>
          <w:rtl/>
        </w:rPr>
      </w:pPr>
      <w:bookmarkStart w:id="6" w:name="LGS_Subject"/>
      <w:r>
        <w:rPr>
          <w:rFonts w:hint="cs"/>
          <w:rtl/>
        </w:rPr>
        <w:t>הצעת חוק לתיקון פקודת המכס (ביטול חיוב בעד בדיקת טובין), התש"ף</w:t>
      </w:r>
      <w:r w:rsidR="00DB6B64">
        <w:rPr>
          <w:rFonts w:hint="eastAsia"/>
          <w:rtl/>
        </w:rPr>
        <w:t>–</w:t>
      </w:r>
      <w:r>
        <w:rPr>
          <w:rFonts w:hint="cs"/>
          <w:rtl/>
        </w:rPr>
        <w:t>2019</w:t>
      </w:r>
      <w:bookmarkEnd w:id="6"/>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9275EA" w14:paraId="4B913DF8" w14:textId="77777777" w:rsidTr="000123A7">
        <w:trPr>
          <w:cantSplit/>
          <w:trHeight w:val="60"/>
        </w:trPr>
        <w:tc>
          <w:tcPr>
            <w:tcW w:w="1871" w:type="dxa"/>
          </w:tcPr>
          <w:p w14:paraId="3022114A" w14:textId="77777777" w:rsidR="009275EA" w:rsidRPr="00ED4163" w:rsidRDefault="009275EA" w:rsidP="000123A7">
            <w:pPr>
              <w:pStyle w:val="TableSideHeading"/>
              <w:keepLines w:val="0"/>
            </w:pPr>
            <w:r>
              <w:rPr>
                <w:rFonts w:hint="cs"/>
                <w:rtl/>
              </w:rPr>
              <w:t>תיקון סעיף 174</w:t>
            </w:r>
          </w:p>
        </w:tc>
        <w:tc>
          <w:tcPr>
            <w:tcW w:w="624" w:type="dxa"/>
          </w:tcPr>
          <w:p w14:paraId="25FE16FB" w14:textId="77777777" w:rsidR="009275EA" w:rsidRDefault="009275EA" w:rsidP="000123A7">
            <w:pPr>
              <w:pStyle w:val="TableText"/>
              <w:keepLines w:val="0"/>
            </w:pPr>
            <w:r>
              <w:rPr>
                <w:rFonts w:hint="cs"/>
                <w:rtl/>
              </w:rPr>
              <w:t>1.</w:t>
            </w:r>
          </w:p>
        </w:tc>
        <w:tc>
          <w:tcPr>
            <w:tcW w:w="7146" w:type="dxa"/>
          </w:tcPr>
          <w:p w14:paraId="1FC45F85" w14:textId="77777777" w:rsidR="009275EA" w:rsidRPr="00593F72" w:rsidRDefault="009275EA" w:rsidP="000123A7">
            <w:pPr>
              <w:pStyle w:val="TableBlock"/>
            </w:pPr>
            <w:r w:rsidRPr="00593F72">
              <w:rPr>
                <w:rFonts w:hint="eastAsia"/>
                <w:rtl/>
              </w:rPr>
              <w:t>בפקודת</w:t>
            </w:r>
            <w:r w:rsidRPr="00593F72">
              <w:rPr>
                <w:rtl/>
              </w:rPr>
              <w:t xml:space="preserve"> </w:t>
            </w:r>
            <w:r w:rsidRPr="00593F72">
              <w:rPr>
                <w:rFonts w:hint="eastAsia"/>
                <w:rtl/>
              </w:rPr>
              <w:t>המכס</w:t>
            </w:r>
            <w:r w:rsidRPr="00DE3E43">
              <w:rPr>
                <w:vertAlign w:val="superscript"/>
                <w:rtl/>
              </w:rPr>
              <w:footnoteReference w:id="2"/>
            </w:r>
            <w:r w:rsidRPr="00593F72">
              <w:rPr>
                <w:rtl/>
              </w:rPr>
              <w:t xml:space="preserve">, </w:t>
            </w:r>
            <w:r w:rsidRPr="00593F72">
              <w:rPr>
                <w:rFonts w:hint="eastAsia"/>
                <w:rtl/>
              </w:rPr>
              <w:t>בסעיף</w:t>
            </w:r>
            <w:r w:rsidRPr="00593F72">
              <w:rPr>
                <w:rtl/>
              </w:rPr>
              <w:t xml:space="preserve"> 174, </w:t>
            </w:r>
            <w:r w:rsidRPr="00593F72">
              <w:rPr>
                <w:rFonts w:hint="eastAsia"/>
                <w:rtl/>
              </w:rPr>
              <w:t>במקום</w:t>
            </w:r>
            <w:r w:rsidRPr="00593F72">
              <w:rPr>
                <w:rtl/>
              </w:rPr>
              <w:t xml:space="preserve"> "</w:t>
            </w:r>
            <w:r>
              <w:rPr>
                <w:rFonts w:hint="cs"/>
                <w:rtl/>
              </w:rPr>
              <w:t xml:space="preserve">יחולו על </w:t>
            </w:r>
            <w:r w:rsidRPr="00593F72">
              <w:rPr>
                <w:rtl/>
              </w:rPr>
              <w:t xml:space="preserve">בעל </w:t>
            </w:r>
            <w:r w:rsidRPr="00593F72">
              <w:rPr>
                <w:rFonts w:hint="eastAsia"/>
                <w:rtl/>
              </w:rPr>
              <w:t>הטובין</w:t>
            </w:r>
            <w:r w:rsidRPr="00593F72">
              <w:rPr>
                <w:rtl/>
              </w:rPr>
              <w:t xml:space="preserve">" </w:t>
            </w:r>
            <w:r w:rsidRPr="00593F72">
              <w:rPr>
                <w:rFonts w:hint="eastAsia"/>
                <w:rtl/>
              </w:rPr>
              <w:t>יבוא</w:t>
            </w:r>
            <w:r w:rsidRPr="00593F72">
              <w:rPr>
                <w:rtl/>
              </w:rPr>
              <w:t xml:space="preserve"> "</w:t>
            </w:r>
            <w:r>
              <w:rPr>
                <w:rFonts w:hint="cs"/>
                <w:rtl/>
              </w:rPr>
              <w:t xml:space="preserve">יחולו על </w:t>
            </w:r>
            <w:r w:rsidRPr="00593F72">
              <w:rPr>
                <w:rtl/>
              </w:rPr>
              <w:t xml:space="preserve">רשות </w:t>
            </w:r>
            <w:r w:rsidRPr="00593F72">
              <w:rPr>
                <w:rFonts w:hint="eastAsia"/>
                <w:rtl/>
              </w:rPr>
              <w:t>המכס</w:t>
            </w:r>
            <w:r w:rsidRPr="00593F72">
              <w:rPr>
                <w:rtl/>
              </w:rPr>
              <w:t xml:space="preserve">, </w:t>
            </w:r>
            <w:r>
              <w:rPr>
                <w:rFonts w:hint="cs"/>
                <w:rtl/>
              </w:rPr>
              <w:t>ו</w:t>
            </w:r>
            <w:r w:rsidRPr="00593F72">
              <w:rPr>
                <w:rtl/>
              </w:rPr>
              <w:t xml:space="preserve">אם ערך הטובין עולה על </w:t>
            </w:r>
            <w:r>
              <w:rPr>
                <w:rFonts w:hint="cs"/>
                <w:rtl/>
              </w:rPr>
              <w:t>50 אלף</w:t>
            </w:r>
            <w:r w:rsidRPr="00593F72">
              <w:rPr>
                <w:rtl/>
              </w:rPr>
              <w:t xml:space="preserve"> שקלים</w:t>
            </w:r>
            <w:r>
              <w:rPr>
                <w:rFonts w:hint="cs"/>
                <w:rtl/>
              </w:rPr>
              <w:t xml:space="preserve"> חדשים </w:t>
            </w:r>
            <w:r>
              <w:rPr>
                <w:rFonts w:hint="eastAsia"/>
                <w:rtl/>
              </w:rPr>
              <w:t>–</w:t>
            </w:r>
            <w:r w:rsidRPr="00593F72">
              <w:rPr>
                <w:rtl/>
              </w:rPr>
              <w:t xml:space="preserve"> יחולו על בעל הטובין".</w:t>
            </w:r>
          </w:p>
        </w:tc>
      </w:tr>
    </w:tbl>
    <w:p w14:paraId="7F6961CA" w14:textId="77777777" w:rsidR="002D1EE3" w:rsidRDefault="002D1EE3" w:rsidP="002D1EE3">
      <w:pPr>
        <w:pStyle w:val="HeadDivreiHesber"/>
        <w:rPr>
          <w:rtl/>
        </w:rPr>
      </w:pPr>
      <w:r w:rsidRPr="0027450A">
        <w:rPr>
          <w:rFonts w:hint="cs"/>
          <w:rtl/>
        </w:rPr>
        <w:t>דברי הסבר</w:t>
      </w:r>
    </w:p>
    <w:p w14:paraId="41A99D00" w14:textId="77777777" w:rsidR="009275EA" w:rsidRPr="00DB6B64" w:rsidRDefault="009275EA" w:rsidP="00AE4EB8">
      <w:pPr>
        <w:pStyle w:val="Hesber"/>
        <w:rPr>
          <w:rtl/>
        </w:rPr>
      </w:pPr>
      <w:r w:rsidRPr="00DB6B64">
        <w:rPr>
          <w:rFonts w:hint="eastAsia"/>
          <w:rtl/>
        </w:rPr>
        <w:t>בשנים</w:t>
      </w:r>
      <w:r w:rsidRPr="00DB6B64">
        <w:rPr>
          <w:rtl/>
        </w:rPr>
        <w:t xml:space="preserve"> האחרונות, השוק הדיגיטלי התפתח בעולם כולו. אזרחי ישראל רוכשים דרך האינטרנט מוצרים במחיר נמוך. המכס בוחר טובין לבדיקה באופן מדגמי. עם זאת, גם אם בדיקת המכס יצאה תקינה, הוצאות הבדיקה לרבות סילוק הטובין אל מקום הבדיקה מוטלות על בעל הטובין. לעיתים תכופות, עלות הבדיקה יקרה יותר מהמוצר עצמו. לחילופין, הרכישה המוזלת בחוץ לארץ בתוספת העלויות, הופכת </w:t>
      </w:r>
      <w:r w:rsidRPr="00DB6B64">
        <w:rPr>
          <w:rFonts w:hint="eastAsia"/>
          <w:rtl/>
        </w:rPr>
        <w:t>לכזו</w:t>
      </w:r>
      <w:r w:rsidRPr="00DB6B64">
        <w:rPr>
          <w:rtl/>
        </w:rPr>
        <w:t xml:space="preserve"> שאינה רווחית. בכל מקרה אין זה ראוי שמוצר שעלותו לרבות רכיב המסים תגדל כתוצאה מתשלום בעד בדיקת המכס. על הפיקוח </w:t>
      </w:r>
      <w:r w:rsidRPr="00DB6B64">
        <w:rPr>
          <w:rFonts w:hint="eastAsia"/>
          <w:rtl/>
        </w:rPr>
        <w:t>להיות</w:t>
      </w:r>
      <w:r w:rsidRPr="00DB6B64">
        <w:rPr>
          <w:rtl/>
        </w:rPr>
        <w:t xml:space="preserve"> </w:t>
      </w:r>
      <w:r w:rsidRPr="00DB6B64">
        <w:rPr>
          <w:rFonts w:hint="eastAsia"/>
          <w:rtl/>
        </w:rPr>
        <w:t>חלק</w:t>
      </w:r>
      <w:r w:rsidRPr="00DB6B64">
        <w:rPr>
          <w:rtl/>
        </w:rPr>
        <w:t xml:space="preserve"> </w:t>
      </w:r>
      <w:r w:rsidRPr="00DB6B64">
        <w:rPr>
          <w:rFonts w:hint="eastAsia"/>
          <w:rtl/>
        </w:rPr>
        <w:t>מתקציב</w:t>
      </w:r>
      <w:r w:rsidRPr="00DB6B64">
        <w:rPr>
          <w:rtl/>
        </w:rPr>
        <w:t xml:space="preserve"> </w:t>
      </w:r>
      <w:r w:rsidRPr="00DB6B64">
        <w:rPr>
          <w:rFonts w:hint="eastAsia"/>
          <w:rtl/>
        </w:rPr>
        <w:t>רשות</w:t>
      </w:r>
      <w:r w:rsidRPr="00DB6B64">
        <w:rPr>
          <w:rtl/>
        </w:rPr>
        <w:t xml:space="preserve"> </w:t>
      </w:r>
      <w:r w:rsidRPr="00DB6B64">
        <w:rPr>
          <w:rFonts w:hint="eastAsia"/>
          <w:rtl/>
        </w:rPr>
        <w:t>המיסים</w:t>
      </w:r>
      <w:r w:rsidRPr="00DB6B64">
        <w:rPr>
          <w:rtl/>
        </w:rPr>
        <w:t xml:space="preserve">. </w:t>
      </w:r>
      <w:r w:rsidRPr="00DB6B64">
        <w:rPr>
          <w:rFonts w:hint="eastAsia"/>
          <w:rtl/>
        </w:rPr>
        <w:t>כיוון</w:t>
      </w:r>
      <w:r w:rsidRPr="00DB6B64">
        <w:rPr>
          <w:rtl/>
        </w:rPr>
        <w:t xml:space="preserve"> </w:t>
      </w:r>
      <w:r w:rsidRPr="00DB6B64">
        <w:rPr>
          <w:rFonts w:hint="eastAsia"/>
          <w:rtl/>
        </w:rPr>
        <w:t>שמדובר</w:t>
      </w:r>
      <w:r w:rsidRPr="00DB6B64">
        <w:rPr>
          <w:rtl/>
        </w:rPr>
        <w:t xml:space="preserve"> </w:t>
      </w:r>
      <w:r w:rsidRPr="00DB6B64">
        <w:rPr>
          <w:rFonts w:hint="eastAsia"/>
          <w:rtl/>
        </w:rPr>
        <w:t>בשירות</w:t>
      </w:r>
      <w:r w:rsidRPr="00DB6B64">
        <w:rPr>
          <w:rtl/>
        </w:rPr>
        <w:t xml:space="preserve"> </w:t>
      </w:r>
      <w:r w:rsidRPr="00DB6B64">
        <w:rPr>
          <w:rFonts w:hint="eastAsia"/>
          <w:rtl/>
        </w:rPr>
        <w:t>ציבורי</w:t>
      </w:r>
      <w:r w:rsidRPr="00DB6B64">
        <w:rPr>
          <w:rtl/>
        </w:rPr>
        <w:t xml:space="preserve"> </w:t>
      </w:r>
      <w:r w:rsidRPr="00DB6B64">
        <w:rPr>
          <w:rFonts w:hint="eastAsia"/>
          <w:rtl/>
        </w:rPr>
        <w:t>שחובת</w:t>
      </w:r>
      <w:r w:rsidRPr="00DB6B64">
        <w:rPr>
          <w:rtl/>
        </w:rPr>
        <w:t xml:space="preserve"> </w:t>
      </w:r>
      <w:r w:rsidRPr="00DB6B64">
        <w:rPr>
          <w:rFonts w:hint="eastAsia"/>
          <w:rtl/>
        </w:rPr>
        <w:t>המדינה</w:t>
      </w:r>
      <w:r w:rsidRPr="00DB6B64">
        <w:rPr>
          <w:rtl/>
        </w:rPr>
        <w:t xml:space="preserve"> </w:t>
      </w:r>
      <w:r w:rsidRPr="00DB6B64">
        <w:rPr>
          <w:rFonts w:hint="eastAsia"/>
          <w:rtl/>
        </w:rPr>
        <w:t>לשאת</w:t>
      </w:r>
      <w:r w:rsidRPr="00DB6B64">
        <w:rPr>
          <w:rtl/>
        </w:rPr>
        <w:t xml:space="preserve"> </w:t>
      </w:r>
      <w:r w:rsidRPr="00DB6B64">
        <w:rPr>
          <w:rFonts w:hint="eastAsia"/>
          <w:rtl/>
        </w:rPr>
        <w:t>בעלותה</w:t>
      </w:r>
      <w:r w:rsidRPr="00DB6B64">
        <w:rPr>
          <w:rtl/>
        </w:rPr>
        <w:t>.</w:t>
      </w:r>
    </w:p>
    <w:p w14:paraId="22F8D607" w14:textId="77777777" w:rsidR="009275EA" w:rsidRPr="00DB6B64" w:rsidRDefault="009275EA" w:rsidP="00AE4EB8">
      <w:pPr>
        <w:pStyle w:val="Hesber"/>
        <w:rPr>
          <w:rtl/>
        </w:rPr>
      </w:pPr>
      <w:r w:rsidRPr="00DB6B64">
        <w:rPr>
          <w:rFonts w:hint="eastAsia"/>
          <w:rtl/>
        </w:rPr>
        <w:t>לפיכך</w:t>
      </w:r>
      <w:r w:rsidRPr="00DB6B64">
        <w:rPr>
          <w:rtl/>
        </w:rPr>
        <w:t xml:space="preserve">, </w:t>
      </w:r>
      <w:r w:rsidRPr="00DB6B64">
        <w:rPr>
          <w:rFonts w:hint="eastAsia"/>
          <w:rtl/>
        </w:rPr>
        <w:t>מוצע</w:t>
      </w:r>
      <w:r w:rsidRPr="00DB6B64">
        <w:rPr>
          <w:rtl/>
        </w:rPr>
        <w:t xml:space="preserve"> </w:t>
      </w:r>
      <w:r w:rsidRPr="00DB6B64">
        <w:rPr>
          <w:rFonts w:hint="eastAsia"/>
          <w:rtl/>
        </w:rPr>
        <w:t>לקבוע</w:t>
      </w:r>
      <w:r w:rsidRPr="00DB6B64">
        <w:rPr>
          <w:rtl/>
        </w:rPr>
        <w:t xml:space="preserve"> </w:t>
      </w:r>
      <w:r w:rsidRPr="00DB6B64">
        <w:rPr>
          <w:rFonts w:hint="eastAsia"/>
          <w:rtl/>
        </w:rPr>
        <w:t>כי</w:t>
      </w:r>
      <w:r w:rsidRPr="00DB6B64">
        <w:rPr>
          <w:rtl/>
        </w:rPr>
        <w:t xml:space="preserve"> </w:t>
      </w:r>
      <w:r w:rsidRPr="00DB6B64">
        <w:rPr>
          <w:rFonts w:hint="eastAsia"/>
          <w:rtl/>
        </w:rPr>
        <w:t>הוצאות</w:t>
      </w:r>
      <w:r w:rsidRPr="00DB6B64">
        <w:rPr>
          <w:rtl/>
        </w:rPr>
        <w:t xml:space="preserve"> </w:t>
      </w:r>
      <w:r w:rsidRPr="00DB6B64">
        <w:rPr>
          <w:rFonts w:hint="eastAsia"/>
          <w:rtl/>
        </w:rPr>
        <w:t>הבדיקה</w:t>
      </w:r>
      <w:r w:rsidRPr="00DB6B64">
        <w:rPr>
          <w:rtl/>
        </w:rPr>
        <w:t xml:space="preserve">, </w:t>
      </w:r>
      <w:r w:rsidRPr="00DB6B64">
        <w:rPr>
          <w:rFonts w:hint="eastAsia"/>
          <w:rtl/>
        </w:rPr>
        <w:t>לרבות</w:t>
      </w:r>
      <w:r w:rsidRPr="00DB6B64">
        <w:rPr>
          <w:rtl/>
        </w:rPr>
        <w:t xml:space="preserve"> </w:t>
      </w:r>
      <w:r w:rsidRPr="00DB6B64">
        <w:rPr>
          <w:rFonts w:hint="eastAsia"/>
          <w:rtl/>
        </w:rPr>
        <w:t>ההוצאות</w:t>
      </w:r>
      <w:r w:rsidRPr="00DB6B64">
        <w:rPr>
          <w:rtl/>
        </w:rPr>
        <w:t xml:space="preserve"> </w:t>
      </w:r>
      <w:r w:rsidRPr="00DB6B64">
        <w:rPr>
          <w:rFonts w:hint="eastAsia"/>
          <w:rtl/>
        </w:rPr>
        <w:t>לסילוק</w:t>
      </w:r>
      <w:r w:rsidRPr="00DB6B64">
        <w:rPr>
          <w:rtl/>
        </w:rPr>
        <w:t xml:space="preserve"> </w:t>
      </w:r>
      <w:r w:rsidRPr="00DB6B64">
        <w:rPr>
          <w:rFonts w:hint="eastAsia"/>
          <w:rtl/>
        </w:rPr>
        <w:t>הטובין</w:t>
      </w:r>
      <w:r w:rsidRPr="00DB6B64">
        <w:rPr>
          <w:rtl/>
        </w:rPr>
        <w:t xml:space="preserve"> </w:t>
      </w:r>
      <w:r w:rsidRPr="00DB6B64">
        <w:rPr>
          <w:rFonts w:hint="eastAsia"/>
          <w:rtl/>
        </w:rPr>
        <w:t>אל</w:t>
      </w:r>
      <w:r w:rsidRPr="00DB6B64">
        <w:rPr>
          <w:rtl/>
        </w:rPr>
        <w:t xml:space="preserve"> </w:t>
      </w:r>
      <w:r w:rsidRPr="00DB6B64">
        <w:rPr>
          <w:rFonts w:hint="eastAsia"/>
          <w:rtl/>
        </w:rPr>
        <w:t>מקום</w:t>
      </w:r>
      <w:r w:rsidRPr="00DB6B64">
        <w:rPr>
          <w:rtl/>
        </w:rPr>
        <w:t xml:space="preserve"> </w:t>
      </w:r>
      <w:r w:rsidRPr="00DB6B64">
        <w:rPr>
          <w:rFonts w:hint="eastAsia"/>
          <w:rtl/>
        </w:rPr>
        <w:t>הבדיקה</w:t>
      </w:r>
      <w:r w:rsidRPr="00DB6B64">
        <w:rPr>
          <w:rtl/>
        </w:rPr>
        <w:t xml:space="preserve"> </w:t>
      </w:r>
      <w:r w:rsidRPr="00DB6B64">
        <w:rPr>
          <w:rFonts w:hint="eastAsia"/>
          <w:rtl/>
        </w:rPr>
        <w:t>יחולו</w:t>
      </w:r>
      <w:r w:rsidRPr="00DB6B64">
        <w:rPr>
          <w:rtl/>
        </w:rPr>
        <w:t xml:space="preserve"> </w:t>
      </w:r>
      <w:r w:rsidRPr="00DB6B64">
        <w:rPr>
          <w:rFonts w:hint="eastAsia"/>
          <w:rtl/>
        </w:rPr>
        <w:t>על</w:t>
      </w:r>
      <w:r w:rsidRPr="00DB6B64">
        <w:rPr>
          <w:rtl/>
        </w:rPr>
        <w:t xml:space="preserve"> </w:t>
      </w:r>
      <w:r w:rsidRPr="00DB6B64">
        <w:rPr>
          <w:rFonts w:hint="eastAsia"/>
          <w:rtl/>
        </w:rPr>
        <w:t>רשות</w:t>
      </w:r>
      <w:r w:rsidRPr="00DB6B64">
        <w:rPr>
          <w:rtl/>
        </w:rPr>
        <w:t xml:space="preserve"> </w:t>
      </w:r>
      <w:r w:rsidRPr="00DB6B64">
        <w:rPr>
          <w:rFonts w:hint="eastAsia"/>
          <w:rtl/>
        </w:rPr>
        <w:t>המכס</w:t>
      </w:r>
      <w:r w:rsidRPr="00DB6B64">
        <w:rPr>
          <w:rtl/>
        </w:rPr>
        <w:t xml:space="preserve">, </w:t>
      </w:r>
      <w:r w:rsidRPr="00DB6B64">
        <w:rPr>
          <w:rFonts w:hint="eastAsia"/>
          <w:rtl/>
        </w:rPr>
        <w:t>ואולם</w:t>
      </w:r>
      <w:r w:rsidRPr="00DB6B64">
        <w:rPr>
          <w:rtl/>
        </w:rPr>
        <w:t xml:space="preserve"> </w:t>
      </w:r>
      <w:r w:rsidRPr="00DB6B64">
        <w:rPr>
          <w:rFonts w:hint="eastAsia"/>
          <w:rtl/>
        </w:rPr>
        <w:t>אם</w:t>
      </w:r>
      <w:r w:rsidRPr="00DB6B64">
        <w:rPr>
          <w:rtl/>
        </w:rPr>
        <w:t xml:space="preserve"> </w:t>
      </w:r>
      <w:r w:rsidRPr="00DB6B64">
        <w:rPr>
          <w:rFonts w:hint="eastAsia"/>
          <w:rtl/>
        </w:rPr>
        <w:t>ערך</w:t>
      </w:r>
      <w:r w:rsidRPr="00DB6B64">
        <w:rPr>
          <w:rtl/>
        </w:rPr>
        <w:t xml:space="preserve"> </w:t>
      </w:r>
      <w:r w:rsidRPr="00DB6B64">
        <w:rPr>
          <w:rFonts w:hint="eastAsia"/>
          <w:rtl/>
        </w:rPr>
        <w:t>הטובין</w:t>
      </w:r>
      <w:r w:rsidRPr="00DB6B64">
        <w:rPr>
          <w:rtl/>
        </w:rPr>
        <w:t xml:space="preserve"> </w:t>
      </w:r>
      <w:r w:rsidRPr="00DB6B64">
        <w:rPr>
          <w:rFonts w:hint="eastAsia"/>
          <w:rtl/>
        </w:rPr>
        <w:t>עלה</w:t>
      </w:r>
      <w:r w:rsidRPr="00DB6B64">
        <w:rPr>
          <w:rtl/>
        </w:rPr>
        <w:t xml:space="preserve"> </w:t>
      </w:r>
      <w:r w:rsidRPr="00DB6B64">
        <w:rPr>
          <w:rFonts w:hint="eastAsia"/>
          <w:rtl/>
        </w:rPr>
        <w:t>על</w:t>
      </w:r>
      <w:r w:rsidRPr="00DB6B64">
        <w:rPr>
          <w:rtl/>
        </w:rPr>
        <w:t xml:space="preserve"> 50 </w:t>
      </w:r>
      <w:r w:rsidRPr="00DB6B64">
        <w:rPr>
          <w:rFonts w:hint="eastAsia"/>
          <w:rtl/>
        </w:rPr>
        <w:t>אלף</w:t>
      </w:r>
      <w:r w:rsidRPr="00DB6B64">
        <w:rPr>
          <w:rtl/>
        </w:rPr>
        <w:t xml:space="preserve"> </w:t>
      </w:r>
      <w:r w:rsidRPr="00DB6B64">
        <w:rPr>
          <w:rFonts w:hint="eastAsia"/>
          <w:rtl/>
        </w:rPr>
        <w:t>שקלים</w:t>
      </w:r>
      <w:r w:rsidRPr="00DB6B64">
        <w:rPr>
          <w:rtl/>
        </w:rPr>
        <w:t xml:space="preserve"> </w:t>
      </w:r>
      <w:r w:rsidRPr="00DB6B64">
        <w:rPr>
          <w:rFonts w:hint="eastAsia"/>
          <w:rtl/>
        </w:rPr>
        <w:t>חדשים</w:t>
      </w:r>
      <w:r w:rsidRPr="00DB6B64">
        <w:rPr>
          <w:rtl/>
        </w:rPr>
        <w:t xml:space="preserve"> </w:t>
      </w:r>
      <w:r w:rsidRPr="00DB6B64">
        <w:rPr>
          <w:rFonts w:hint="eastAsia"/>
          <w:rtl/>
        </w:rPr>
        <w:t>אותן</w:t>
      </w:r>
      <w:r w:rsidRPr="00DB6B64">
        <w:rPr>
          <w:rtl/>
        </w:rPr>
        <w:t xml:space="preserve"> </w:t>
      </w:r>
      <w:r w:rsidRPr="00DB6B64">
        <w:rPr>
          <w:rFonts w:hint="eastAsia"/>
          <w:rtl/>
        </w:rPr>
        <w:t>הוצאות</w:t>
      </w:r>
      <w:r w:rsidRPr="00DB6B64">
        <w:rPr>
          <w:rtl/>
        </w:rPr>
        <w:t xml:space="preserve"> </w:t>
      </w:r>
      <w:r w:rsidRPr="00DB6B64">
        <w:rPr>
          <w:rFonts w:hint="eastAsia"/>
          <w:rtl/>
        </w:rPr>
        <w:t>יחולו</w:t>
      </w:r>
      <w:r w:rsidRPr="00DB6B64">
        <w:rPr>
          <w:rtl/>
        </w:rPr>
        <w:t xml:space="preserve"> </w:t>
      </w:r>
      <w:r w:rsidRPr="00DB6B64">
        <w:rPr>
          <w:rFonts w:hint="eastAsia"/>
          <w:rtl/>
        </w:rPr>
        <w:t>על</w:t>
      </w:r>
      <w:r w:rsidRPr="00DB6B64">
        <w:rPr>
          <w:rtl/>
        </w:rPr>
        <w:t xml:space="preserve"> </w:t>
      </w:r>
      <w:r w:rsidRPr="00DB6B64">
        <w:rPr>
          <w:rFonts w:hint="eastAsia"/>
          <w:rtl/>
        </w:rPr>
        <w:t>בעל</w:t>
      </w:r>
      <w:r w:rsidRPr="00DB6B64">
        <w:rPr>
          <w:rtl/>
        </w:rPr>
        <w:t xml:space="preserve"> </w:t>
      </w:r>
      <w:r w:rsidRPr="00DB6B64">
        <w:rPr>
          <w:rFonts w:hint="eastAsia"/>
          <w:rtl/>
        </w:rPr>
        <w:t>הטובין</w:t>
      </w:r>
      <w:r w:rsidRPr="00DB6B64">
        <w:rPr>
          <w:rtl/>
        </w:rPr>
        <w:t>.</w:t>
      </w:r>
    </w:p>
    <w:p w14:paraId="7F6961CB" w14:textId="3F3799E4" w:rsidR="00E13C27" w:rsidRDefault="009275EA" w:rsidP="00AE4EB8">
      <w:pPr>
        <w:pStyle w:val="Hesber"/>
        <w:rPr>
          <w:rtl/>
        </w:rPr>
      </w:pPr>
      <w:r w:rsidRPr="00DB6B64">
        <w:rPr>
          <w:rFonts w:hint="eastAsia"/>
          <w:rtl/>
        </w:rPr>
        <w:t>הצעת</w:t>
      </w:r>
      <w:r w:rsidRPr="00DB6B64">
        <w:rPr>
          <w:rtl/>
        </w:rPr>
        <w:t xml:space="preserve"> חוק זהה הונחה על שולחן הכנסת העשרים על ידי חבר הכנסת ישראל </w:t>
      </w:r>
      <w:r w:rsidRPr="00DB6B64">
        <w:rPr>
          <w:rFonts w:hint="eastAsia"/>
          <w:rtl/>
        </w:rPr>
        <w:t>אייכלר</w:t>
      </w:r>
      <w:r w:rsidRPr="00DB6B64">
        <w:rPr>
          <w:rtl/>
        </w:rPr>
        <w:t xml:space="preserve"> וקבוצת חברי הכנסת (פ/4100/20).</w:t>
      </w:r>
    </w:p>
    <w:p w14:paraId="08C9B553" w14:textId="05E28248" w:rsidR="004D7964" w:rsidRDefault="004D7964" w:rsidP="00AE4EB8">
      <w:pPr>
        <w:pStyle w:val="Hesber"/>
        <w:rPr>
          <w:rtl/>
        </w:rPr>
      </w:pPr>
    </w:p>
    <w:p w14:paraId="6ED8953F" w14:textId="77777777" w:rsidR="004D7964" w:rsidRDefault="004D7964" w:rsidP="00AE4EB8">
      <w:pPr>
        <w:pStyle w:val="Hesber"/>
        <w:rPr>
          <w:rtl/>
        </w:rPr>
      </w:pPr>
    </w:p>
    <w:p w14:paraId="7D90C997" w14:textId="77777777" w:rsidR="004D7964" w:rsidRPr="00D73212" w:rsidRDefault="004D7964" w:rsidP="004D7964">
      <w:pPr>
        <w:pStyle w:val="Hesber"/>
        <w:rPr>
          <w:color w:val="auto"/>
          <w:rtl/>
          <w:lang w:eastAsia="en-US"/>
        </w:rPr>
      </w:pPr>
      <w:r w:rsidRPr="00D73212">
        <w:rPr>
          <w:color w:val="auto"/>
          <w:rtl/>
          <w:lang w:eastAsia="en-US"/>
        </w:rPr>
        <w:t>---------------------------------</w:t>
      </w:r>
    </w:p>
    <w:p w14:paraId="3692AEFA" w14:textId="77777777" w:rsidR="004D7964" w:rsidRPr="00D73212" w:rsidRDefault="004D7964" w:rsidP="004D7964">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344F6FE2" w14:textId="77777777" w:rsidR="004D7964" w:rsidRPr="00D73212" w:rsidRDefault="004D7964" w:rsidP="004D7964">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6E3519F" w14:textId="6683FA61" w:rsidR="004D7964" w:rsidRPr="00DB6B64" w:rsidRDefault="004D7964" w:rsidP="004D7964">
      <w:pPr>
        <w:pStyle w:val="Hesber"/>
        <w:rPr>
          <w:rtl/>
        </w:rPr>
      </w:pPr>
      <w:r>
        <w:rPr>
          <w:rFonts w:hint="cs"/>
          <w:color w:val="auto"/>
          <w:rtl/>
          <w:lang w:eastAsia="en-US"/>
        </w:rPr>
        <w:t>כ' בחשוון</w:t>
      </w:r>
      <w:r w:rsidRPr="00D73212">
        <w:rPr>
          <w:color w:val="auto"/>
          <w:rtl/>
          <w:lang w:eastAsia="en-US"/>
        </w:rPr>
        <w:t xml:space="preserve"> </w:t>
      </w:r>
      <w:r>
        <w:rPr>
          <w:rFonts w:hint="cs"/>
          <w:color w:val="auto"/>
          <w:rtl/>
          <w:lang w:eastAsia="en-US"/>
        </w:rPr>
        <w:t xml:space="preserve">התש"ף </w:t>
      </w:r>
      <w:r w:rsidRPr="00D73212">
        <w:rPr>
          <w:color w:val="auto"/>
          <w:rtl/>
          <w:lang w:eastAsia="en-US"/>
        </w:rPr>
        <w:t>–</w:t>
      </w:r>
      <w:r>
        <w:rPr>
          <w:rFonts w:hint="cs"/>
          <w:color w:val="auto"/>
          <w:rtl/>
          <w:lang w:eastAsia="en-US"/>
        </w:rPr>
        <w:t xml:space="preserve"> 18.11</w:t>
      </w:r>
      <w:r w:rsidRPr="00D73212">
        <w:rPr>
          <w:color w:val="auto"/>
          <w:rtl/>
          <w:lang w:eastAsia="en-US"/>
        </w:rPr>
        <w:t>.</w:t>
      </w:r>
      <w:r>
        <w:rPr>
          <w:rFonts w:hint="cs"/>
          <w:color w:val="auto"/>
          <w:rtl/>
          <w:lang w:eastAsia="en-US"/>
        </w:rPr>
        <w:t xml:space="preserve">19  </w:t>
      </w:r>
      <w:bookmarkStart w:id="7" w:name="_GoBack"/>
      <w:bookmarkEnd w:id="7"/>
    </w:p>
    <w:sectPr w:rsidR="004D7964" w:rsidRPr="00DB6B64"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Pr>
        <w:rStyle w:val="aa"/>
        <w:noProof/>
        <w:rtl/>
      </w:rPr>
      <w:t>2</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0325F8" w14:textId="77777777" w:rsidR="009275EA" w:rsidRDefault="009275EA" w:rsidP="009275EA">
      <w:pPr>
        <w:pStyle w:val="a4"/>
        <w:rPr>
          <w:rtl/>
        </w:rPr>
      </w:pPr>
      <w:r>
        <w:rPr>
          <w:rStyle w:val="a5"/>
        </w:rPr>
        <w:footnoteRef/>
      </w:r>
      <w:r>
        <w:rPr>
          <w:rtl/>
        </w:rPr>
        <w:t xml:space="preserve"> </w:t>
      </w:r>
      <w:r>
        <w:rPr>
          <w:rFonts w:hint="cs"/>
          <w:rtl/>
        </w:rPr>
        <w:t>דיני מדינת ישראל, נוסח חדש 3, עמ' 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D7964"/>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275EA"/>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AE4EB8"/>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6B64"/>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091A9596-6E43-40EF-AB37-F682717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3A50981437779E428456932B2A638612" ma:contentTypeVersion="" ma:contentTypeDescription="צור מסמך חדש." ma:contentTypeScope="" ma:versionID="2df30a1b375d11bf545563b3a0868245">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7127A3-FAE7-4EA3-98A1-3ACED2D4A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59376FD8-585C-497B-840A-12471A5F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221</Words>
  <Characters>1105</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7</cp:revision>
  <cp:lastPrinted>2019-11-14T09:54:00Z</cp:lastPrinted>
  <dcterms:created xsi:type="dcterms:W3CDTF">2015-04-20T09:58:00Z</dcterms:created>
  <dcterms:modified xsi:type="dcterms:W3CDTF">2019-11-14T09:55:00Z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0x0101003A50981437779E428456932B2A638612</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2081608</vt:r8>
  </property>
</Properties>
</file>