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2081457</w:t>
      </w:r>
      <w:bookmarkEnd w:id="0"/>
    </w:p>
    <w:p w14:paraId="7F6961A2" w14:textId="12879401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bookmarkStart w:id="1" w:name="LGS_Knesset_Num"/>
      <w:r>
        <w:rPr>
          <w:rFonts w:hint="cs"/>
          <w:sz w:val="28"/>
          <w:szCs w:val="28"/>
          <w:rtl/>
        </w:rPr>
        <w:t>הכנסת העשרים ושתיים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מיכאל </w:t>
      </w:r>
      <w:proofErr w:type="spellStart"/>
      <w:r>
        <w:rPr>
          <w:rFonts w:hint="cs"/>
          <w:b/>
          <w:bCs/>
          <w:rtl/>
        </w:rPr>
        <w:t>מלכיאלי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40F19A9" w:rsidR="00E13C27" w:rsidRPr="00E06736" w:rsidRDefault="00904591" w:rsidP="003E08FC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פ/529/22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הביטוח הלאומי (תיקון – פטור מתשלום דמי ביטוח לתלמיד על יסודי),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–2019</w:t>
      </w:r>
      <w:bookmarkEnd w:id="7"/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7143"/>
      </w:tblGrid>
      <w:tr w:rsidR="00374D71" w:rsidRPr="0030787E" w14:paraId="7360913A" w14:textId="77777777" w:rsidTr="00D62322">
        <w:trPr>
          <w:cantSplit/>
        </w:trPr>
        <w:tc>
          <w:tcPr>
            <w:tcW w:w="1870" w:type="dxa"/>
          </w:tcPr>
          <w:p w14:paraId="310969B5" w14:textId="77777777" w:rsidR="00374D71" w:rsidRPr="00E31B41" w:rsidRDefault="00374D71" w:rsidP="00D62322">
            <w:pPr>
              <w:pStyle w:val="TableSideHeading"/>
              <w:outlineLvl w:val="9"/>
            </w:pPr>
            <w:r w:rsidRPr="00E31B41">
              <w:rPr>
                <w:rtl/>
              </w:rPr>
              <w:t>תיקון סעיף 351</w:t>
            </w:r>
          </w:p>
        </w:tc>
        <w:tc>
          <w:tcPr>
            <w:tcW w:w="624" w:type="dxa"/>
          </w:tcPr>
          <w:p w14:paraId="512915AD" w14:textId="77777777" w:rsidR="00374D71" w:rsidRPr="00E31B41" w:rsidRDefault="00374D71" w:rsidP="00D62322">
            <w:pPr>
              <w:pStyle w:val="TableText"/>
              <w:jc w:val="both"/>
              <w:rPr>
                <w:rtl/>
              </w:rPr>
            </w:pPr>
            <w:r w:rsidRPr="00E31B41">
              <w:rPr>
                <w:rtl/>
              </w:rPr>
              <w:t>1.</w:t>
            </w:r>
            <w:r w:rsidRPr="00E31B41">
              <w:t xml:space="preserve">  </w:t>
            </w:r>
            <w:r w:rsidRPr="00E31B41">
              <w:rPr>
                <w:rtl/>
              </w:rPr>
              <w:t xml:space="preserve"> </w:t>
            </w:r>
          </w:p>
        </w:tc>
        <w:tc>
          <w:tcPr>
            <w:tcW w:w="7143" w:type="dxa"/>
          </w:tcPr>
          <w:p w14:paraId="30316E48" w14:textId="3CE4946E" w:rsidR="00374D71" w:rsidRPr="00E31B41" w:rsidRDefault="00374D71" w:rsidP="00D62322">
            <w:pPr>
              <w:pStyle w:val="TableBlock"/>
            </w:pPr>
            <w:r w:rsidRPr="00E31B41">
              <w:rPr>
                <w:rFonts w:hint="eastAsia"/>
                <w:rtl/>
              </w:rPr>
              <w:t>בחוק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הביטוח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הלאומי</w:t>
            </w:r>
            <w:r w:rsidRPr="00E31B41">
              <w:rPr>
                <w:rtl/>
              </w:rPr>
              <w:t xml:space="preserve"> [נוסח </w:t>
            </w:r>
            <w:r w:rsidRPr="00E31B41">
              <w:rPr>
                <w:rFonts w:hint="eastAsia"/>
                <w:rtl/>
              </w:rPr>
              <w:t>משולב</w:t>
            </w:r>
            <w:r w:rsidRPr="00E31B41">
              <w:rPr>
                <w:rtl/>
              </w:rPr>
              <w:t xml:space="preserve">], </w:t>
            </w:r>
            <w:proofErr w:type="spellStart"/>
            <w:r w:rsidRPr="00E31B41">
              <w:rPr>
                <w:rFonts w:hint="eastAsia"/>
                <w:rtl/>
              </w:rPr>
              <w:t>התשנ</w:t>
            </w:r>
            <w:r w:rsidRPr="00E31B41">
              <w:rPr>
                <w:rtl/>
              </w:rPr>
              <w:t>"ה</w:t>
            </w:r>
            <w:proofErr w:type="spellEnd"/>
            <w:r w:rsidRPr="00E31B41">
              <w:rPr>
                <w:rFonts w:hint="eastAsia"/>
                <w:rtl/>
              </w:rPr>
              <w:t>–</w:t>
            </w:r>
            <w:r w:rsidRPr="00E31B41">
              <w:rPr>
                <w:rtl/>
              </w:rPr>
              <w:t>1995</w:t>
            </w:r>
            <w:r w:rsidR="00E31B41" w:rsidRPr="00D62322">
              <w:rPr>
                <w:vertAlign w:val="superscript"/>
                <w:rtl/>
              </w:rPr>
              <w:footnoteReference w:id="2"/>
            </w:r>
            <w:r w:rsidRPr="00E31B41">
              <w:rPr>
                <w:rtl/>
              </w:rPr>
              <w:t xml:space="preserve">, </w:t>
            </w:r>
            <w:r w:rsidRPr="00E31B41">
              <w:rPr>
                <w:rFonts w:hint="eastAsia"/>
                <w:rtl/>
              </w:rPr>
              <w:t>בסעיף</w:t>
            </w:r>
            <w:r w:rsidRPr="00E31B41">
              <w:rPr>
                <w:rtl/>
              </w:rPr>
              <w:t xml:space="preserve"> 351(יא), </w:t>
            </w:r>
            <w:r w:rsidRPr="00E31B41">
              <w:rPr>
                <w:rFonts w:hint="eastAsia"/>
                <w:rtl/>
              </w:rPr>
              <w:t>אחרי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פסקה</w:t>
            </w:r>
            <w:r w:rsidRPr="00E31B41">
              <w:rPr>
                <w:rtl/>
              </w:rPr>
              <w:t xml:space="preserve"> (2ג) </w:t>
            </w:r>
            <w:r w:rsidRPr="00E31B41">
              <w:rPr>
                <w:rFonts w:hint="eastAsia"/>
                <w:rtl/>
              </w:rPr>
              <w:t>יבוא</w:t>
            </w:r>
            <w:r w:rsidRPr="00E31B41">
              <w:rPr>
                <w:rtl/>
              </w:rPr>
              <w:t>:</w:t>
            </w:r>
          </w:p>
        </w:tc>
      </w:tr>
      <w:tr w:rsidR="00374D71" w:rsidRPr="00191A9A" w14:paraId="3E4B9C9A" w14:textId="77777777" w:rsidTr="00D62322">
        <w:trPr>
          <w:cantSplit/>
        </w:trPr>
        <w:tc>
          <w:tcPr>
            <w:tcW w:w="1870" w:type="dxa"/>
          </w:tcPr>
          <w:p w14:paraId="5AB04C70" w14:textId="77777777" w:rsidR="00374D71" w:rsidRDefault="00374D71" w:rsidP="005A21B9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87153F5" w14:textId="77777777" w:rsidR="00374D71" w:rsidRDefault="00374D71" w:rsidP="005A21B9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6EAEADBA" w14:textId="77777777" w:rsidR="00374D71" w:rsidRPr="00E31B41" w:rsidRDefault="00374D71" w:rsidP="00D62322">
            <w:pPr>
              <w:pStyle w:val="TableBlock"/>
              <w:rPr>
                <w:rtl/>
              </w:rPr>
            </w:pPr>
            <w:r w:rsidRPr="00E31B41">
              <w:rPr>
                <w:rtl/>
              </w:rPr>
              <w:t>"(2ד)</w:t>
            </w:r>
            <w:r w:rsidRPr="00E31B41">
              <w:rPr>
                <w:rtl/>
              </w:rPr>
              <w:tab/>
            </w:r>
            <w:r w:rsidRPr="00E31B41">
              <w:rPr>
                <w:rFonts w:hint="eastAsia"/>
                <w:rtl/>
              </w:rPr>
              <w:t>תלמיד</w:t>
            </w:r>
            <w:r w:rsidRPr="00E31B41">
              <w:rPr>
                <w:rtl/>
              </w:rPr>
              <w:t xml:space="preserve"> במוסד חינוכי על יסודי, שטרם מלאו לו 19 שנים, בעד התקופה שבה הוא לומד; לעניין פסקה זו "מוסד חינוכי על יסודי" </w:t>
            </w:r>
            <w:r w:rsidRPr="00E31B41">
              <w:rPr>
                <w:rFonts w:hint="eastAsia"/>
                <w:rtl/>
              </w:rPr>
              <w:t>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מוסד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חינוך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שלומדים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בו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תלמידים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בכיתות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ט</w:t>
            </w:r>
            <w:r w:rsidRPr="00E31B41">
              <w:rPr>
                <w:rtl/>
              </w:rPr>
              <w:t xml:space="preserve">' </w:t>
            </w:r>
            <w:r w:rsidRPr="00E31B41">
              <w:rPr>
                <w:rFonts w:hint="eastAsia"/>
                <w:rtl/>
              </w:rPr>
              <w:t>עד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</w:t>
            </w:r>
            <w:r w:rsidRPr="00E31B41">
              <w:rPr>
                <w:rtl/>
              </w:rPr>
              <w:t xml:space="preserve">"ב </w:t>
            </w:r>
            <w:r w:rsidRPr="00E31B41">
              <w:rPr>
                <w:rFonts w:hint="eastAsia"/>
                <w:rtl/>
              </w:rPr>
              <w:t>או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</w:t>
            </w:r>
            <w:r w:rsidRPr="00E31B41">
              <w:rPr>
                <w:rtl/>
              </w:rPr>
              <w:t xml:space="preserve">' </w:t>
            </w:r>
            <w:r w:rsidRPr="00E31B41">
              <w:rPr>
                <w:rFonts w:hint="eastAsia"/>
                <w:rtl/>
              </w:rPr>
              <w:t>עד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</w:t>
            </w:r>
            <w:r w:rsidRPr="00E31B41">
              <w:rPr>
                <w:rtl/>
              </w:rPr>
              <w:t xml:space="preserve">"ב, </w:t>
            </w:r>
            <w:r w:rsidRPr="00E31B41">
              <w:rPr>
                <w:rFonts w:hint="eastAsia"/>
                <w:rtl/>
              </w:rPr>
              <w:t>ובלבד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שכיתה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ט</w:t>
            </w:r>
            <w:r w:rsidRPr="00E31B41">
              <w:rPr>
                <w:rtl/>
              </w:rPr>
              <w:t xml:space="preserve">' </w:t>
            </w:r>
            <w:r w:rsidRPr="00E31B41">
              <w:rPr>
                <w:rFonts w:hint="eastAsia"/>
                <w:rtl/>
              </w:rPr>
              <w:t>או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</w:t>
            </w:r>
            <w:r w:rsidRPr="00E31B41">
              <w:rPr>
                <w:rtl/>
              </w:rPr>
              <w:t xml:space="preserve">' </w:t>
            </w:r>
            <w:r w:rsidRPr="00E31B41">
              <w:rPr>
                <w:rFonts w:hint="eastAsia"/>
                <w:rtl/>
              </w:rPr>
              <w:t>שבו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היא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מוסד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חינוך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מוכר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או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בית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ספר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על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יסודי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שחל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עליו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חוק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הפיקוח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על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בתי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ספר</w:t>
            </w:r>
            <w:r w:rsidRPr="00E31B41">
              <w:rPr>
                <w:rtl/>
              </w:rPr>
              <w:t xml:space="preserve">, </w:t>
            </w:r>
            <w:proofErr w:type="spellStart"/>
            <w:r w:rsidRPr="00E31B41">
              <w:rPr>
                <w:rFonts w:hint="eastAsia"/>
                <w:rtl/>
              </w:rPr>
              <w:t>התשכ</w:t>
            </w:r>
            <w:r w:rsidRPr="00E31B41">
              <w:rPr>
                <w:rtl/>
              </w:rPr>
              <w:t>"ט</w:t>
            </w:r>
            <w:proofErr w:type="spellEnd"/>
            <w:r w:rsidRPr="00E31B41">
              <w:rPr>
                <w:rFonts w:hint="eastAsia"/>
                <w:rtl/>
              </w:rPr>
              <w:t>–</w:t>
            </w:r>
            <w:r w:rsidRPr="00E31B41">
              <w:rPr>
                <w:rtl/>
              </w:rPr>
              <w:t xml:space="preserve">1969, </w:t>
            </w:r>
            <w:r w:rsidRPr="00E31B41">
              <w:rPr>
                <w:rFonts w:hint="eastAsia"/>
                <w:rtl/>
              </w:rPr>
              <w:t>או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שהוא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מוסד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חינוך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תרבותי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ייחודי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כהגדרתו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בחוק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מוסדות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חינוך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תרבותיים</w:t>
            </w:r>
            <w:r w:rsidRPr="00E31B41">
              <w:rPr>
                <w:rtl/>
              </w:rPr>
              <w:t xml:space="preserve"> </w:t>
            </w:r>
            <w:r w:rsidRPr="00E31B41">
              <w:rPr>
                <w:rFonts w:hint="eastAsia"/>
                <w:rtl/>
              </w:rPr>
              <w:t>ייחודיים</w:t>
            </w:r>
            <w:r w:rsidRPr="00E31B41">
              <w:rPr>
                <w:rtl/>
              </w:rPr>
              <w:t xml:space="preserve">, </w:t>
            </w:r>
            <w:proofErr w:type="spellStart"/>
            <w:r w:rsidRPr="00E31B41">
              <w:rPr>
                <w:rFonts w:hint="eastAsia"/>
                <w:rtl/>
              </w:rPr>
              <w:t>התשס</w:t>
            </w:r>
            <w:r w:rsidRPr="00E31B41">
              <w:rPr>
                <w:rtl/>
              </w:rPr>
              <w:t>"ח</w:t>
            </w:r>
            <w:proofErr w:type="spellEnd"/>
            <w:r w:rsidRPr="00E31B41">
              <w:rPr>
                <w:rFonts w:hint="eastAsia"/>
                <w:rtl/>
              </w:rPr>
              <w:t>–</w:t>
            </w:r>
            <w:r w:rsidRPr="00E31B41">
              <w:rPr>
                <w:rtl/>
              </w:rPr>
              <w:t>2008."</w:t>
            </w:r>
          </w:p>
        </w:tc>
      </w:tr>
    </w:tbl>
    <w:p w14:paraId="7F6961CA" w14:textId="77777777" w:rsidR="002D1EE3" w:rsidRPr="00E31B41" w:rsidRDefault="002D1EE3" w:rsidP="00D62322">
      <w:pPr>
        <w:pStyle w:val="HeadDivreiHesber"/>
        <w:rPr>
          <w:rtl/>
        </w:rPr>
      </w:pPr>
      <w:r w:rsidRPr="00E31B41">
        <w:rPr>
          <w:rFonts w:hint="eastAsia"/>
          <w:rtl/>
        </w:rPr>
        <w:t>דברי</w:t>
      </w:r>
      <w:r w:rsidRPr="00E31B41">
        <w:rPr>
          <w:rtl/>
        </w:rPr>
        <w:t xml:space="preserve"> </w:t>
      </w:r>
      <w:r w:rsidRPr="00E31B41">
        <w:rPr>
          <w:rFonts w:hint="eastAsia"/>
          <w:rtl/>
        </w:rPr>
        <w:t>הסבר</w:t>
      </w:r>
    </w:p>
    <w:p w14:paraId="49D1B7B3" w14:textId="77777777" w:rsidR="00374D71" w:rsidRPr="00D62322" w:rsidRDefault="00374D71" w:rsidP="00D62322">
      <w:pPr>
        <w:pStyle w:val="Hesber"/>
        <w:rPr>
          <w:rtl/>
        </w:rPr>
      </w:pPr>
      <w:r w:rsidRPr="00D62322">
        <w:rPr>
          <w:rFonts w:hint="eastAsia"/>
          <w:rtl/>
        </w:rPr>
        <w:t>תקנה</w:t>
      </w:r>
      <w:r w:rsidRPr="00D62322">
        <w:rPr>
          <w:rtl/>
        </w:rPr>
        <w:t xml:space="preserve"> 11ג </w:t>
      </w:r>
      <w:r w:rsidRPr="00D62322">
        <w:rPr>
          <w:rFonts w:hint="eastAsia"/>
          <w:rtl/>
        </w:rPr>
        <w:t>לתקנות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הביטוח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הלאומי</w:t>
      </w:r>
      <w:r w:rsidRPr="00D62322">
        <w:rPr>
          <w:rtl/>
        </w:rPr>
        <w:t xml:space="preserve">, </w:t>
      </w:r>
      <w:proofErr w:type="spellStart"/>
      <w:r w:rsidRPr="00D62322">
        <w:rPr>
          <w:rFonts w:hint="eastAsia"/>
          <w:rtl/>
        </w:rPr>
        <w:t>התשל</w:t>
      </w:r>
      <w:r w:rsidRPr="00D62322">
        <w:rPr>
          <w:rtl/>
        </w:rPr>
        <w:t>"א</w:t>
      </w:r>
      <w:proofErr w:type="spellEnd"/>
      <w:r w:rsidRPr="00D62322">
        <w:rPr>
          <w:rFonts w:hint="eastAsia"/>
          <w:rtl/>
        </w:rPr>
        <w:t>–</w:t>
      </w:r>
      <w:r w:rsidRPr="00D62322">
        <w:rPr>
          <w:rtl/>
        </w:rPr>
        <w:t xml:space="preserve">1971, </w:t>
      </w:r>
      <w:r w:rsidRPr="00D62322">
        <w:rPr>
          <w:rFonts w:hint="eastAsia"/>
          <w:rtl/>
        </w:rPr>
        <w:t>קובעת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פטור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מתשלום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דמי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ביטוח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לאומי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לתלמידי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כיתות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י</w:t>
      </w:r>
      <w:r w:rsidRPr="00D62322">
        <w:rPr>
          <w:rtl/>
        </w:rPr>
        <w:t xml:space="preserve">"ב </w:t>
      </w:r>
      <w:r w:rsidRPr="00D62322">
        <w:rPr>
          <w:rFonts w:hint="eastAsia"/>
          <w:rtl/>
        </w:rPr>
        <w:t>שטרם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מלאו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להם</w:t>
      </w:r>
      <w:r w:rsidRPr="00D62322">
        <w:rPr>
          <w:rtl/>
        </w:rPr>
        <w:t xml:space="preserve"> 19 </w:t>
      </w:r>
      <w:r w:rsidRPr="00D62322">
        <w:rPr>
          <w:rFonts w:hint="eastAsia"/>
          <w:rtl/>
        </w:rPr>
        <w:t>שנים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והם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לומדים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במוסד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חינוכי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יסודי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ובלבד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שהכנסתם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אינה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עולה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האמור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באותה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תקנה</w:t>
      </w:r>
      <w:r w:rsidRPr="00D62322">
        <w:rPr>
          <w:rtl/>
        </w:rPr>
        <w:t>.</w:t>
      </w:r>
      <w:r w:rsidRPr="00D62322" w:rsidDel="006925B3">
        <w:rPr>
          <w:rtl/>
        </w:rPr>
        <w:t xml:space="preserve"> </w:t>
      </w:r>
    </w:p>
    <w:p w14:paraId="0D8130B6" w14:textId="77777777" w:rsidR="00374D71" w:rsidRPr="00D62322" w:rsidRDefault="00374D71" w:rsidP="00D62322">
      <w:pPr>
        <w:pStyle w:val="Hesber"/>
        <w:rPr>
          <w:rtl/>
        </w:rPr>
      </w:pPr>
      <w:r w:rsidRPr="00D62322">
        <w:rPr>
          <w:rFonts w:hint="eastAsia"/>
          <w:rtl/>
        </w:rPr>
        <w:t>מלשון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התקנה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האמורה</w:t>
      </w:r>
      <w:r w:rsidRPr="00D62322">
        <w:rPr>
          <w:rtl/>
        </w:rPr>
        <w:t xml:space="preserve">  </w:t>
      </w:r>
      <w:r w:rsidRPr="00D62322">
        <w:rPr>
          <w:rFonts w:hint="eastAsia"/>
          <w:rtl/>
        </w:rPr>
        <w:t>עולה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בבירור</w:t>
      </w:r>
      <w:r w:rsidRPr="00D62322">
        <w:rPr>
          <w:rtl/>
        </w:rPr>
        <w:t xml:space="preserve">, </w:t>
      </w:r>
      <w:r w:rsidRPr="00D62322">
        <w:rPr>
          <w:rFonts w:hint="eastAsia"/>
          <w:rtl/>
        </w:rPr>
        <w:t>כי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כל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תלמיד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במוסד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חינוכי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יסודי</w:t>
      </w:r>
      <w:r w:rsidRPr="00D62322">
        <w:rPr>
          <w:rtl/>
        </w:rPr>
        <w:t xml:space="preserve">, </w:t>
      </w:r>
      <w:r w:rsidRPr="00D62322">
        <w:rPr>
          <w:rFonts w:hint="eastAsia"/>
          <w:rtl/>
        </w:rPr>
        <w:t>ללא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קשר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לסוג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המוסד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בו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הוא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לומד</w:t>
      </w:r>
      <w:r w:rsidRPr="00D62322">
        <w:rPr>
          <w:rtl/>
        </w:rPr>
        <w:t xml:space="preserve">, </w:t>
      </w:r>
      <w:r w:rsidRPr="00D62322">
        <w:rPr>
          <w:rFonts w:hint="eastAsia"/>
          <w:rtl/>
        </w:rPr>
        <w:t>זכאי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לפטור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מתשלום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דמי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ביטוח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לאומי</w:t>
      </w:r>
      <w:r w:rsidRPr="00D62322">
        <w:rPr>
          <w:rtl/>
        </w:rPr>
        <w:t xml:space="preserve">. </w:t>
      </w:r>
      <w:r w:rsidRPr="00D62322">
        <w:rPr>
          <w:rFonts w:hint="eastAsia"/>
          <w:rtl/>
        </w:rPr>
        <w:t>אולם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בפועל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המוסד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לביטוח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נוהג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אחרת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ואינו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מעניק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פטור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מדמי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ביטוח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ללומדים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במוסדות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שאינם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של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משרד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החינוך</w:t>
      </w:r>
      <w:r w:rsidRPr="00D62322">
        <w:rPr>
          <w:rtl/>
        </w:rPr>
        <w:t>.</w:t>
      </w:r>
    </w:p>
    <w:p w14:paraId="30367210" w14:textId="0E1D9E26" w:rsidR="00374D71" w:rsidRPr="00D62322" w:rsidRDefault="00374D71" w:rsidP="00D62322">
      <w:pPr>
        <w:pStyle w:val="Hesber"/>
        <w:rPr>
          <w:rtl/>
        </w:rPr>
      </w:pPr>
      <w:r w:rsidRPr="00D62322">
        <w:rPr>
          <w:rFonts w:hint="eastAsia"/>
          <w:rtl/>
        </w:rPr>
        <w:t>אף</w:t>
      </w:r>
      <w:r w:rsidRPr="00D62322">
        <w:rPr>
          <w:rtl/>
        </w:rPr>
        <w:t xml:space="preserve"> בחוזר של המוסד לביטוח לאומי, </w:t>
      </w:r>
      <w:proofErr w:type="spellStart"/>
      <w:r w:rsidRPr="00D62322">
        <w:rPr>
          <w:rtl/>
        </w:rPr>
        <w:t>מינהל</w:t>
      </w:r>
      <w:proofErr w:type="spellEnd"/>
      <w:r w:rsidRPr="00D62322">
        <w:rPr>
          <w:rtl/>
        </w:rPr>
        <w:t xml:space="preserve"> הביטוח והגבייה, המופנה אל מנהלי הסניפים נכתב כדלהלן: "בימים אלה נשלמות ההכנות להכנסת הפטור למערכת הממוכנת, בכל אופן הפטור יינתן באופן אוטומטי יחד עם קליטת קבצי התלמידים העל יסודיים ממשרד החינוך" (חוזר ביטוח מס' 1399, מיום כ"ו אלול </w:t>
      </w:r>
      <w:proofErr w:type="spellStart"/>
      <w:r w:rsidRPr="00D62322">
        <w:rPr>
          <w:rtl/>
        </w:rPr>
        <w:t>התשע"א</w:t>
      </w:r>
      <w:proofErr w:type="spellEnd"/>
      <w:r w:rsidRPr="00D62322">
        <w:rPr>
          <w:rtl/>
        </w:rPr>
        <w:t xml:space="preserve"> (09 בדצמבר 2012)). כלומר, גם מהחוזר ניתן לראות כי המוסד לביטוח </w:t>
      </w:r>
      <w:r w:rsidRPr="00D62322">
        <w:rPr>
          <w:rFonts w:hint="eastAsia"/>
          <w:rtl/>
        </w:rPr>
        <w:t>לאומי</w:t>
      </w:r>
      <w:r w:rsidRPr="00D62322">
        <w:rPr>
          <w:rtl/>
        </w:rPr>
        <w:t xml:space="preserve"> מפרש את התקנה האמורה כך שרק תלמידים הלומדים במוסדות של משרד החינוך יקבלו פטור מתשלום דמי </w:t>
      </w:r>
      <w:r w:rsidRPr="00D62322">
        <w:rPr>
          <w:rtl/>
        </w:rPr>
        <w:lastRenderedPageBreak/>
        <w:t xml:space="preserve">ביטוח ובכך </w:t>
      </w:r>
      <w:r w:rsidR="00D62322" w:rsidRPr="00D62322">
        <w:rPr>
          <w:rFonts w:hint="cs"/>
          <w:rtl/>
        </w:rPr>
        <w:t>נוצרת</w:t>
      </w:r>
      <w:r w:rsidRPr="00D62322">
        <w:rPr>
          <w:rtl/>
        </w:rPr>
        <w:t xml:space="preserve"> הפליה מול תלמידי ישיבה ובנות הלומדות בסמינר, אשר הינם תלמידים לכל דבר, ולפיכך צריכים להיות פטורים גם הם מתשלום דמי ביטוח. </w:t>
      </w:r>
    </w:p>
    <w:p w14:paraId="33C28F47" w14:textId="1F623DC9" w:rsidR="00374D71" w:rsidRPr="00D62322" w:rsidRDefault="00374D71" w:rsidP="00D62322">
      <w:pPr>
        <w:pStyle w:val="Hesber"/>
        <w:rPr>
          <w:rtl/>
        </w:rPr>
      </w:pPr>
      <w:r w:rsidRPr="00D62322">
        <w:rPr>
          <w:rFonts w:hint="eastAsia"/>
          <w:rtl/>
        </w:rPr>
        <w:t>לפיכך</w:t>
      </w:r>
      <w:r w:rsidRPr="00D62322">
        <w:rPr>
          <w:rtl/>
        </w:rPr>
        <w:t xml:space="preserve">, מוצע לפרט את סוגי מוסדות החינוך שהתלמידים הלומדים בהם זכאים לפטור מתשלום דמי ביטוח וזאת על מנת </w:t>
      </w:r>
      <w:r w:rsidR="00D62322" w:rsidRPr="00D62322">
        <w:rPr>
          <w:rFonts w:hint="cs"/>
          <w:rtl/>
        </w:rPr>
        <w:t>שההסדר המשפטי יהיה ברור ולא חד משמעי</w:t>
      </w:r>
      <w:r w:rsidRPr="00D62322">
        <w:rPr>
          <w:rtl/>
        </w:rPr>
        <w:t xml:space="preserve">. </w:t>
      </w:r>
    </w:p>
    <w:p w14:paraId="569D95C1" w14:textId="6509AB1D" w:rsidR="00E31B41" w:rsidRDefault="00E31B41" w:rsidP="00D62322">
      <w:pPr>
        <w:pStyle w:val="Hesber"/>
        <w:rPr>
          <w:rtl/>
        </w:rPr>
      </w:pPr>
      <w:r w:rsidRPr="00D62322">
        <w:rPr>
          <w:rFonts w:hint="eastAsia"/>
          <w:rtl/>
        </w:rPr>
        <w:t>הצעת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חוק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זהה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הונחה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שולחן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הכנסת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העשרים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ואחת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על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ידי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חברי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הכנסת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מיכאל</w:t>
      </w:r>
      <w:r w:rsidRPr="00D62322">
        <w:rPr>
          <w:rtl/>
        </w:rPr>
        <w:t xml:space="preserve"> </w:t>
      </w:r>
      <w:proofErr w:type="spellStart"/>
      <w:r w:rsidRPr="00D62322">
        <w:rPr>
          <w:rFonts w:hint="eastAsia"/>
          <w:rtl/>
        </w:rPr>
        <w:t>מלכיאלי</w:t>
      </w:r>
      <w:proofErr w:type="spellEnd"/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ומשה</w:t>
      </w:r>
      <w:r w:rsidRPr="00D62322">
        <w:rPr>
          <w:rtl/>
        </w:rPr>
        <w:t xml:space="preserve"> </w:t>
      </w:r>
      <w:r w:rsidRPr="00D62322">
        <w:rPr>
          <w:rFonts w:hint="eastAsia"/>
          <w:rtl/>
        </w:rPr>
        <w:t>ארבל</w:t>
      </w:r>
      <w:r w:rsidRPr="00D62322">
        <w:rPr>
          <w:rtl/>
        </w:rPr>
        <w:t xml:space="preserve"> (פ/470/21).</w:t>
      </w:r>
    </w:p>
    <w:p w14:paraId="21F77012" w14:textId="77777777" w:rsidR="00761674" w:rsidRDefault="00761674" w:rsidP="00D62322">
      <w:pPr>
        <w:pStyle w:val="Hesber"/>
        <w:rPr>
          <w:rtl/>
        </w:rPr>
      </w:pPr>
    </w:p>
    <w:p w14:paraId="235B76A2" w14:textId="77777777" w:rsidR="00761674" w:rsidRPr="00D73212" w:rsidRDefault="00761674" w:rsidP="00761674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06E2F062" w14:textId="77777777" w:rsidR="00761674" w:rsidRPr="00D73212" w:rsidRDefault="00761674" w:rsidP="00761674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4B2C96AC" w14:textId="77777777" w:rsidR="00761674" w:rsidRPr="00D73212" w:rsidRDefault="00761674" w:rsidP="00761674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089D31BC" w14:textId="77777777" w:rsidR="00761674" w:rsidRPr="00317312" w:rsidRDefault="00761674" w:rsidP="00761674">
      <w:pPr>
        <w:pStyle w:val="Hesber"/>
        <w:ind w:firstLine="0"/>
      </w:pPr>
      <w:bookmarkStart w:id="8" w:name="_GoBack"/>
      <w:bookmarkEnd w:id="8"/>
      <w:r>
        <w:rPr>
          <w:rFonts w:hint="cs"/>
          <w:rtl/>
        </w:rPr>
        <w:t>כ' בחשוון</w:t>
      </w:r>
      <w:r w:rsidRPr="00D73212">
        <w:rPr>
          <w:rtl/>
        </w:rPr>
        <w:t xml:space="preserve">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 xml:space="preserve"> </w:t>
      </w:r>
      <w:r w:rsidRPr="00D73212">
        <w:rPr>
          <w:rtl/>
        </w:rPr>
        <w:t>–</w:t>
      </w:r>
      <w:r>
        <w:rPr>
          <w:rFonts w:hint="cs"/>
          <w:rtl/>
        </w:rPr>
        <w:t xml:space="preserve"> 18.11</w:t>
      </w:r>
      <w:r w:rsidRPr="00D73212">
        <w:rPr>
          <w:rtl/>
        </w:rPr>
        <w:t>.</w:t>
      </w:r>
      <w:r>
        <w:rPr>
          <w:rFonts w:hint="cs"/>
          <w:rtl/>
        </w:rPr>
        <w:t xml:space="preserve">19  </w:t>
      </w:r>
    </w:p>
    <w:p w14:paraId="1189A655" w14:textId="77777777" w:rsidR="00761674" w:rsidRPr="00E73006" w:rsidRDefault="00761674" w:rsidP="00761674">
      <w:pPr>
        <w:rPr>
          <w:rFonts w:ascii="Arial" w:eastAsia="Arial Unicode MS" w:hAnsi="Arial"/>
          <w:snapToGrid w:val="0"/>
          <w:sz w:val="20"/>
          <w:szCs w:val="26"/>
          <w:rtl/>
        </w:rPr>
      </w:pPr>
    </w:p>
    <w:p w14:paraId="68BEC4B9" w14:textId="77777777" w:rsidR="00761674" w:rsidRPr="00B15BBC" w:rsidRDefault="00761674" w:rsidP="00761674">
      <w:pPr>
        <w:rPr>
          <w:rFonts w:ascii="Arial" w:eastAsia="Arial Unicode MS" w:hAnsi="Arial" w:hint="cs"/>
          <w:snapToGrid w:val="0"/>
          <w:sz w:val="20"/>
          <w:szCs w:val="26"/>
          <w:rtl/>
        </w:rPr>
      </w:pPr>
    </w:p>
    <w:p w14:paraId="798DCFBC" w14:textId="77777777" w:rsidR="00761674" w:rsidRPr="000339B5" w:rsidRDefault="00761674" w:rsidP="00761674"/>
    <w:p w14:paraId="2C9320BB" w14:textId="77777777" w:rsidR="00761674" w:rsidRPr="00D62322" w:rsidRDefault="00761674" w:rsidP="00D62322">
      <w:pPr>
        <w:pStyle w:val="Hesber"/>
        <w:rPr>
          <w:rtl/>
        </w:rPr>
      </w:pPr>
    </w:p>
    <w:p w14:paraId="75C3864D" w14:textId="77777777" w:rsidR="00374D71" w:rsidRDefault="00374D71" w:rsidP="00374D71">
      <w:pPr>
        <w:pStyle w:val="HeadDivreiHesber"/>
        <w:jc w:val="both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D62322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61674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81F1C46" w14:textId="25F8D8B0" w:rsidR="00E31B41" w:rsidRDefault="00E31B41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74D71"/>
    <w:rsid w:val="00386E88"/>
    <w:rsid w:val="00396585"/>
    <w:rsid w:val="003D6E38"/>
    <w:rsid w:val="003D74A0"/>
    <w:rsid w:val="003E08FC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1674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2322"/>
    <w:rsid w:val="00D63620"/>
    <w:rsid w:val="00D8410D"/>
    <w:rsid w:val="00D867D7"/>
    <w:rsid w:val="00DB7060"/>
    <w:rsid w:val="00DE3153"/>
    <w:rsid w:val="00E06736"/>
    <w:rsid w:val="00E13C27"/>
    <w:rsid w:val="00E31B41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C0DEC345-8372-4749-87C3-CEF31D97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B4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1B4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31B4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31B4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31B4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31B4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31B4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31B41"/>
    <w:rPr>
      <w:sz w:val="36"/>
      <w:szCs w:val="52"/>
    </w:rPr>
  </w:style>
  <w:style w:type="paragraph" w:customStyle="1" w:styleId="Cover3-Haknesset">
    <w:name w:val="Cover 3-Haknesset"/>
    <w:basedOn w:val="Cover1-Reshumot"/>
    <w:rsid w:val="00E31B41"/>
    <w:rPr>
      <w:b/>
      <w:bCs/>
      <w:spacing w:val="60"/>
    </w:rPr>
  </w:style>
  <w:style w:type="paragraph" w:customStyle="1" w:styleId="Cover4-Date">
    <w:name w:val="Cover 4-Date"/>
    <w:basedOn w:val="a"/>
    <w:rsid w:val="00E31B4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31B4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E31B4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31B4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31B4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31B4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E31B41"/>
    <w:pPr>
      <w:outlineLvl w:val="2"/>
    </w:pPr>
  </w:style>
  <w:style w:type="paragraph" w:customStyle="1" w:styleId="TableBlock">
    <w:name w:val="Table Block"/>
    <w:basedOn w:val="TableText"/>
    <w:rsid w:val="00E31B41"/>
    <w:pPr>
      <w:jc w:val="both"/>
    </w:pPr>
  </w:style>
  <w:style w:type="paragraph" w:customStyle="1" w:styleId="TableHead">
    <w:name w:val="Table Head"/>
    <w:basedOn w:val="TableText"/>
    <w:rsid w:val="00E31B4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31B41"/>
    <w:pPr>
      <w:outlineLvl w:val="9"/>
    </w:pPr>
  </w:style>
  <w:style w:type="paragraph" w:customStyle="1" w:styleId="Hesber">
    <w:name w:val="Hesber"/>
    <w:basedOn w:val="a"/>
    <w:rsid w:val="00E31B4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E31B4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E31B41"/>
    <w:rPr>
      <w:vertAlign w:val="superscript"/>
    </w:rPr>
  </w:style>
  <w:style w:type="paragraph" w:customStyle="1" w:styleId="HesberHeading">
    <w:name w:val="Hesber Heading"/>
    <w:basedOn w:val="Hesber"/>
    <w:rsid w:val="00E31B4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31B4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E31B41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31B41"/>
    <w:rPr>
      <w:vertAlign w:val="superscript"/>
    </w:rPr>
  </w:style>
  <w:style w:type="paragraph" w:customStyle="1" w:styleId="TableBlockOutdent">
    <w:name w:val="Table BlockOutdent"/>
    <w:basedOn w:val="TableBlock"/>
    <w:rsid w:val="00E31B41"/>
    <w:pPr>
      <w:ind w:left="624" w:hanging="624"/>
    </w:pPr>
  </w:style>
  <w:style w:type="paragraph" w:styleId="a7">
    <w:name w:val="header"/>
    <w:basedOn w:val="a"/>
    <w:rsid w:val="00E31B4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31B4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31B4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31B4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E31B4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E31B4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E31B4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E31B4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E31B4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E31B4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E31B4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31B4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31B4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E31B4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E31B41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31B4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31B4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31B4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31B4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31B4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31B4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E31B4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31B4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31B41"/>
    <w:rPr>
      <w:rFonts w:eastAsia="Times New Roman"/>
    </w:rPr>
  </w:style>
  <w:style w:type="paragraph" w:styleId="ae">
    <w:name w:val="List Paragraph"/>
    <w:basedOn w:val="a"/>
    <w:uiPriority w:val="34"/>
    <w:qFormat/>
    <w:rsid w:val="00E31B41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E3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1B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E31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E31B4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E31B4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AA783F-E19D-4808-8B87-C47248508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1B4F29-8F6B-4662-99AF-39F5AE2D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8</cp:revision>
  <cp:lastPrinted>2019-11-07T14:09:00Z</cp:lastPrinted>
  <dcterms:created xsi:type="dcterms:W3CDTF">2015-04-20T09:58:00Z</dcterms:created>
  <dcterms:modified xsi:type="dcterms:W3CDTF">2019-11-13T09:05:00Z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2081457</vt:r8>
  </property>
</Properties>
</file>