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2081439</w:t>
      </w:r>
      <w:bookmarkEnd w:id="0"/>
    </w:p>
    <w:p w14:paraId="7F6961A2" w14:textId="63A8E80C" w:rsidR="00E13C27" w:rsidRPr="00DB7060" w:rsidRDefault="00E13C27" w:rsidP="00A443CF">
      <w:pPr>
        <w:pStyle w:val="HeadHatzaotHok"/>
        <w:rPr>
          <w:sz w:val="28"/>
          <w:szCs w:val="28"/>
          <w:rtl/>
        </w:rPr>
      </w:pPr>
      <w:bookmarkStart w:id="1" w:name="LGS_Knesset_Num"/>
      <w:r>
        <w:rPr>
          <w:rFonts w:hint="cs"/>
          <w:sz w:val="28"/>
          <w:szCs w:val="28"/>
          <w:rtl/>
        </w:rPr>
        <w:t>הכנסת העשרים ושתיים</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משה ארבל</w:t>
      </w:r>
      <w:r>
        <w:br/>
      </w:r>
      <w:r>
        <w:rPr>
          <w:rFonts w:hint="cs"/>
          <w:b/>
          <w:bCs/>
          <w:rtl/>
        </w:rPr>
        <w:t xml:space="preserve"> </w:t>
      </w:r>
      <w:r>
        <w:tab/>
      </w:r>
      <w:r>
        <w:tab/>
      </w:r>
      <w:r>
        <w:tab/>
      </w:r>
      <w:r>
        <w:tab/>
      </w:r>
      <w:r>
        <w:rPr>
          <w:rFonts w:hint="cs"/>
          <w:b/>
          <w:bCs/>
          <w:rtl/>
        </w:rPr>
        <w:t>ינון אזולאי</w:t>
      </w:r>
      <w:r>
        <w:br/>
      </w:r>
      <w:r>
        <w:rPr>
          <w:rFonts w:hint="cs"/>
          <w:b/>
          <w:bCs/>
          <w:rtl/>
        </w:rPr>
        <w:t xml:space="preserve"> </w:t>
      </w:r>
      <w:r>
        <w:tab/>
      </w:r>
      <w:r>
        <w:tab/>
      </w:r>
      <w:r>
        <w:tab/>
      </w:r>
      <w:r>
        <w:tab/>
      </w:r>
      <w:r>
        <w:rPr>
          <w:rFonts w:hint="cs"/>
          <w:b/>
          <w:bCs/>
          <w:rtl/>
        </w:rPr>
        <w:t>מיכאל מלכיאלי</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2A9CA17C" w14:textId="77777777" w:rsidR="00243B82" w:rsidRDefault="00266D86" w:rsidP="00243B82">
      <w:pPr>
        <w:pStyle w:val="David"/>
        <w:ind w:left="3600"/>
        <w:rPr>
          <w:rtl/>
        </w:rPr>
      </w:pPr>
      <w:r>
        <w:t>____</w:t>
      </w:r>
      <w:r w:rsidR="00E374F2">
        <w:t>__</w:t>
      </w:r>
      <w:r>
        <w:t>__________________________________</w:t>
      </w:r>
      <w:bookmarkStart w:id="6" w:name="Private_Number"/>
      <w:r w:rsidR="00243B82">
        <w:t>_____</w:t>
      </w:r>
    </w:p>
    <w:p w14:paraId="7F6961AB" w14:textId="55EBDA80" w:rsidR="00E13C27" w:rsidRPr="00E06736" w:rsidRDefault="00266D86" w:rsidP="00243B82">
      <w:pPr>
        <w:pStyle w:val="David"/>
        <w:ind w:left="5760" w:firstLine="720"/>
        <w:rPr>
          <w:rtl/>
        </w:rPr>
      </w:pPr>
      <w:r>
        <w:rPr>
          <w:rtl/>
        </w:rPr>
        <w:t>פ/441/22</w:t>
      </w:r>
      <w:bookmarkEnd w:id="6"/>
    </w:p>
    <w:p w14:paraId="7F6961AD" w14:textId="3F801B91" w:rsidR="00E13C27" w:rsidRDefault="00A443CF" w:rsidP="002B4F2E">
      <w:pPr>
        <w:pStyle w:val="HeadHatzaotHok"/>
        <w:rPr>
          <w:rtl/>
        </w:rPr>
      </w:pPr>
      <w:bookmarkStart w:id="7" w:name="LGS_Subject"/>
      <w:r>
        <w:rPr>
          <w:rFonts w:hint="cs"/>
          <w:rtl/>
        </w:rPr>
        <w:t>הצעת חוק בית המשפט לענייני משפחה (</w:t>
      </w:r>
      <w:r w:rsidR="002B4F2E">
        <w:rPr>
          <w:rFonts w:hint="cs"/>
          <w:rtl/>
        </w:rPr>
        <w:t xml:space="preserve">תיקון </w:t>
      </w:r>
      <w:r w:rsidR="002B4F2E">
        <w:rPr>
          <w:rFonts w:hint="eastAsia"/>
          <w:rtl/>
        </w:rPr>
        <w:t xml:space="preserve">– </w:t>
      </w:r>
      <w:r w:rsidRPr="00C150F4">
        <w:rPr>
          <w:rFonts w:hint="cs"/>
          <w:rtl/>
        </w:rPr>
        <w:t>רשימת כונסי נכסים), התש"ף</w:t>
      </w:r>
      <w:r w:rsidR="00C150F4" w:rsidRPr="00C150F4">
        <w:rPr>
          <w:rFonts w:hint="eastAsia"/>
        </w:rPr>
        <w:t>–</w:t>
      </w:r>
      <w:r w:rsidRPr="00C150F4">
        <w:rPr>
          <w:rFonts w:hint="cs"/>
          <w:rtl/>
        </w:rPr>
        <w:t>2019</w:t>
      </w:r>
      <w:bookmarkEnd w:id="7"/>
    </w:p>
    <w:p w14:paraId="15D3B6E8" w14:textId="77777777" w:rsidR="005D371E" w:rsidRPr="00F67051" w:rsidRDefault="005D371E" w:rsidP="00C150F4">
      <w:pPr>
        <w:pStyle w:val="HeadHatzaotHok"/>
        <w:rPr>
          <w:rtl/>
        </w:rPr>
      </w:pPr>
    </w:p>
    <w:tbl>
      <w:tblPr>
        <w:bidiVisual/>
        <w:tblW w:w="5012" w:type="pct"/>
        <w:tblLayout w:type="fixed"/>
        <w:tblCellMar>
          <w:top w:w="57" w:type="dxa"/>
          <w:left w:w="0" w:type="dxa"/>
          <w:bottom w:w="57" w:type="dxa"/>
          <w:right w:w="0" w:type="dxa"/>
        </w:tblCellMar>
        <w:tblLook w:val="01E0" w:firstRow="1" w:lastRow="1" w:firstColumn="1" w:lastColumn="1" w:noHBand="0" w:noVBand="0"/>
      </w:tblPr>
      <w:tblGrid>
        <w:gridCol w:w="1873"/>
        <w:gridCol w:w="623"/>
        <w:gridCol w:w="624"/>
        <w:gridCol w:w="624"/>
        <w:gridCol w:w="628"/>
        <w:gridCol w:w="624"/>
        <w:gridCol w:w="624"/>
        <w:gridCol w:w="4021"/>
        <w:gridCol w:w="21"/>
      </w:tblGrid>
      <w:tr w:rsidR="00E34D1B" w:rsidRPr="00AC7037" w14:paraId="5C80477D" w14:textId="77777777" w:rsidTr="00E34D1B">
        <w:trPr>
          <w:cantSplit/>
        </w:trPr>
        <w:tc>
          <w:tcPr>
            <w:tcW w:w="969" w:type="pct"/>
          </w:tcPr>
          <w:p w14:paraId="742D81EA" w14:textId="29C71DB9" w:rsidR="009818AF" w:rsidRDefault="009818AF" w:rsidP="00E34D1B">
            <w:pPr>
              <w:pStyle w:val="TableSideHeading"/>
              <w:outlineLvl w:val="9"/>
              <w:rPr>
                <w:rtl/>
              </w:rPr>
            </w:pPr>
            <w:r>
              <w:rPr>
                <w:rFonts w:hint="cs"/>
                <w:rtl/>
              </w:rPr>
              <w:t xml:space="preserve">הוספת </w:t>
            </w:r>
            <w:r w:rsidRPr="00E34D1B">
              <w:rPr>
                <w:rFonts w:hint="cs"/>
                <w:rtl/>
              </w:rPr>
              <w:t>סעיף</w:t>
            </w:r>
            <w:r>
              <w:rPr>
                <w:rFonts w:hint="cs"/>
                <w:rtl/>
              </w:rPr>
              <w:t xml:space="preserve"> 9א</w:t>
            </w:r>
          </w:p>
        </w:tc>
        <w:tc>
          <w:tcPr>
            <w:tcW w:w="322" w:type="pct"/>
          </w:tcPr>
          <w:p w14:paraId="10DDF375" w14:textId="41E583AF" w:rsidR="009818AF" w:rsidRPr="00E34D1B" w:rsidRDefault="009818AF" w:rsidP="00E34D1B">
            <w:pPr>
              <w:pStyle w:val="TableText"/>
              <w:jc w:val="both"/>
              <w:rPr>
                <w:rtl/>
              </w:rPr>
            </w:pPr>
            <w:r>
              <w:rPr>
                <w:rFonts w:hint="cs"/>
                <w:rtl/>
              </w:rPr>
              <w:t>1.</w:t>
            </w:r>
          </w:p>
        </w:tc>
        <w:tc>
          <w:tcPr>
            <w:tcW w:w="3708" w:type="pct"/>
            <w:gridSpan w:val="7"/>
          </w:tcPr>
          <w:p w14:paraId="2DD19650" w14:textId="0379FAAC" w:rsidR="009818AF" w:rsidRPr="00E34D1B" w:rsidRDefault="009818AF" w:rsidP="00E34D1B">
            <w:pPr>
              <w:pStyle w:val="TableBlock"/>
              <w:rPr>
                <w:rtl/>
              </w:rPr>
            </w:pPr>
            <w:r w:rsidRPr="00E34D1B">
              <w:rPr>
                <w:rFonts w:hint="cs"/>
                <w:rtl/>
              </w:rPr>
              <w:t>בחוק בית המשפט לענייני משפחה, התשנ"ה</w:t>
            </w:r>
            <w:r w:rsidR="00E34D1B">
              <w:t>–</w:t>
            </w:r>
            <w:r w:rsidRPr="00E34D1B">
              <w:rPr>
                <w:rFonts w:hint="cs"/>
                <w:rtl/>
              </w:rPr>
              <w:t>1995</w:t>
            </w:r>
            <w:r w:rsidRPr="00E34D1B">
              <w:rPr>
                <w:rFonts w:ascii="David" w:hAnsi="David"/>
                <w:sz w:val="26"/>
                <w:vertAlign w:val="superscript"/>
                <w:rtl/>
              </w:rPr>
              <w:footnoteReference w:id="2"/>
            </w:r>
            <w:r w:rsidRPr="00E34D1B">
              <w:rPr>
                <w:rFonts w:hint="cs"/>
                <w:rtl/>
              </w:rPr>
              <w:t>, אחרי סעיף 9 יבוא:</w:t>
            </w:r>
          </w:p>
        </w:tc>
      </w:tr>
      <w:tr w:rsidR="00E34D1B" w14:paraId="7F1C5521" w14:textId="77777777" w:rsidTr="00E34D1B">
        <w:trPr>
          <w:cantSplit/>
        </w:trPr>
        <w:tc>
          <w:tcPr>
            <w:tcW w:w="969" w:type="pct"/>
          </w:tcPr>
          <w:p w14:paraId="50640929" w14:textId="77777777" w:rsidR="00E34D1B" w:rsidRDefault="00E34D1B">
            <w:pPr>
              <w:pStyle w:val="TableSideHeading"/>
              <w:keepLines w:val="0"/>
            </w:pPr>
          </w:p>
        </w:tc>
        <w:tc>
          <w:tcPr>
            <w:tcW w:w="322" w:type="pct"/>
          </w:tcPr>
          <w:p w14:paraId="28C05BB6" w14:textId="77777777" w:rsidR="00E34D1B" w:rsidRDefault="00E34D1B">
            <w:pPr>
              <w:pStyle w:val="TableText"/>
              <w:keepLines w:val="0"/>
            </w:pPr>
          </w:p>
        </w:tc>
        <w:tc>
          <w:tcPr>
            <w:tcW w:w="971" w:type="pct"/>
            <w:gridSpan w:val="3"/>
          </w:tcPr>
          <w:p w14:paraId="768B2B95" w14:textId="659BCFDB" w:rsidR="00E34D1B" w:rsidRPr="00E34D1B" w:rsidRDefault="00E34D1B" w:rsidP="00E34D1B">
            <w:pPr>
              <w:pStyle w:val="TableInnerSideHeading"/>
            </w:pPr>
            <w:r w:rsidRPr="005C29A6">
              <w:rPr>
                <w:rFonts w:hint="cs"/>
                <w:rtl/>
              </w:rPr>
              <w:t>"ר</w:t>
            </w:r>
            <w:r>
              <w:rPr>
                <w:rFonts w:hint="cs"/>
                <w:rtl/>
              </w:rPr>
              <w:t>שימ</w:t>
            </w:r>
            <w:r w:rsidRPr="005C29A6">
              <w:rPr>
                <w:rFonts w:hint="cs"/>
                <w:rtl/>
              </w:rPr>
              <w:t>ת כונסי נכסים</w:t>
            </w:r>
          </w:p>
        </w:tc>
        <w:tc>
          <w:tcPr>
            <w:tcW w:w="323" w:type="pct"/>
          </w:tcPr>
          <w:p w14:paraId="5413E47F" w14:textId="7C8CEC49" w:rsidR="00E34D1B" w:rsidRDefault="00E34D1B" w:rsidP="00E34D1B">
            <w:pPr>
              <w:pStyle w:val="TableText"/>
              <w:jc w:val="both"/>
            </w:pPr>
            <w:r>
              <w:rPr>
                <w:rFonts w:hint="cs"/>
                <w:rtl/>
              </w:rPr>
              <w:t>9א.</w:t>
            </w:r>
          </w:p>
        </w:tc>
        <w:tc>
          <w:tcPr>
            <w:tcW w:w="2415" w:type="pct"/>
            <w:gridSpan w:val="3"/>
          </w:tcPr>
          <w:p w14:paraId="1A31AF3C" w14:textId="6B484957" w:rsidR="00E34D1B" w:rsidRDefault="00E34D1B" w:rsidP="00E34D1B">
            <w:pPr>
              <w:pStyle w:val="TableBlock"/>
            </w:pPr>
            <w:r w:rsidRPr="00E34D1B">
              <w:rPr>
                <w:rFonts w:hint="cs"/>
                <w:rtl/>
              </w:rPr>
              <w:t>(א)</w:t>
            </w:r>
            <w:r>
              <w:tab/>
            </w:r>
            <w:r w:rsidRPr="00D112BF">
              <w:rPr>
                <w:rFonts w:hint="cs"/>
                <w:rtl/>
              </w:rPr>
              <w:t>מצא בית המשפט כי יש צורך במינוי כונס נכסים, ימנה כונס נכסים מתוך רשימה שתגובש בידי ועדה ציבורית שימנה שר המשפטים, שחבריה הם:</w:t>
            </w:r>
          </w:p>
        </w:tc>
      </w:tr>
      <w:tr w:rsidR="00E34D1B" w14:paraId="7ACD1AA7" w14:textId="77777777" w:rsidTr="00E34D1B">
        <w:trPr>
          <w:gridAfter w:val="1"/>
          <w:wAfter w:w="11" w:type="pct"/>
          <w:cantSplit/>
        </w:trPr>
        <w:tc>
          <w:tcPr>
            <w:tcW w:w="969" w:type="pct"/>
          </w:tcPr>
          <w:p w14:paraId="1073C9C0" w14:textId="77777777" w:rsidR="00E34D1B" w:rsidRDefault="00E34D1B">
            <w:pPr>
              <w:pStyle w:val="TableSideHeading"/>
            </w:pPr>
          </w:p>
        </w:tc>
        <w:tc>
          <w:tcPr>
            <w:tcW w:w="322" w:type="pct"/>
          </w:tcPr>
          <w:p w14:paraId="450F71A3" w14:textId="77777777" w:rsidR="00E34D1B" w:rsidRDefault="00E34D1B">
            <w:pPr>
              <w:pStyle w:val="TableText"/>
            </w:pPr>
          </w:p>
        </w:tc>
        <w:tc>
          <w:tcPr>
            <w:tcW w:w="323" w:type="pct"/>
          </w:tcPr>
          <w:p w14:paraId="7C875E77" w14:textId="77777777" w:rsidR="00E34D1B" w:rsidRDefault="00E34D1B">
            <w:pPr>
              <w:pStyle w:val="TableText"/>
            </w:pPr>
          </w:p>
        </w:tc>
        <w:tc>
          <w:tcPr>
            <w:tcW w:w="323" w:type="pct"/>
          </w:tcPr>
          <w:p w14:paraId="703FFCC7" w14:textId="77777777" w:rsidR="00E34D1B" w:rsidRDefault="00E34D1B">
            <w:pPr>
              <w:pStyle w:val="TableText"/>
            </w:pPr>
          </w:p>
        </w:tc>
        <w:tc>
          <w:tcPr>
            <w:tcW w:w="325" w:type="pct"/>
          </w:tcPr>
          <w:p w14:paraId="61D160BE" w14:textId="77777777" w:rsidR="00E34D1B" w:rsidRDefault="00E34D1B">
            <w:pPr>
              <w:pStyle w:val="TableText"/>
            </w:pPr>
          </w:p>
        </w:tc>
        <w:tc>
          <w:tcPr>
            <w:tcW w:w="323" w:type="pct"/>
          </w:tcPr>
          <w:p w14:paraId="38793C01" w14:textId="77777777" w:rsidR="00E34D1B" w:rsidRDefault="00E34D1B">
            <w:pPr>
              <w:pStyle w:val="TableText"/>
            </w:pPr>
          </w:p>
        </w:tc>
        <w:tc>
          <w:tcPr>
            <w:tcW w:w="323" w:type="pct"/>
          </w:tcPr>
          <w:p w14:paraId="1DFFCA2F" w14:textId="77777777" w:rsidR="00E34D1B" w:rsidRDefault="00E34D1B">
            <w:pPr>
              <w:pStyle w:val="TableText"/>
            </w:pPr>
          </w:p>
        </w:tc>
        <w:tc>
          <w:tcPr>
            <w:tcW w:w="2081" w:type="pct"/>
          </w:tcPr>
          <w:p w14:paraId="78FC1C0D" w14:textId="2B2EEBC4" w:rsidR="00E34D1B" w:rsidRDefault="00E34D1B" w:rsidP="00E34D1B">
            <w:pPr>
              <w:pStyle w:val="TableBlock"/>
            </w:pPr>
            <w:r>
              <w:rPr>
                <w:rFonts w:hint="cs"/>
                <w:rtl/>
              </w:rPr>
              <w:t>(1)</w:t>
            </w:r>
            <w:r>
              <w:rPr>
                <w:rtl/>
              </w:rPr>
              <w:tab/>
            </w:r>
            <w:r w:rsidRPr="00E34D1B">
              <w:rPr>
                <w:rFonts w:hint="cs"/>
                <w:rtl/>
              </w:rPr>
              <w:t>שופט בדימוס של בית משפט מחוזי, והוא יהיה היושב ראש;</w:t>
            </w:r>
          </w:p>
        </w:tc>
      </w:tr>
      <w:tr w:rsidR="00E34D1B" w14:paraId="4278EBCD" w14:textId="77777777" w:rsidTr="00E34D1B">
        <w:trPr>
          <w:gridAfter w:val="1"/>
          <w:wAfter w:w="11" w:type="pct"/>
          <w:cantSplit/>
        </w:trPr>
        <w:tc>
          <w:tcPr>
            <w:tcW w:w="969" w:type="pct"/>
          </w:tcPr>
          <w:p w14:paraId="0ECFACCD" w14:textId="77777777" w:rsidR="00E34D1B" w:rsidRDefault="00E34D1B">
            <w:pPr>
              <w:pStyle w:val="TableSideHeading"/>
            </w:pPr>
          </w:p>
        </w:tc>
        <w:tc>
          <w:tcPr>
            <w:tcW w:w="322" w:type="pct"/>
          </w:tcPr>
          <w:p w14:paraId="5024E879" w14:textId="77777777" w:rsidR="00E34D1B" w:rsidRDefault="00E34D1B" w:rsidP="00E34D1B">
            <w:pPr>
              <w:pStyle w:val="TableText"/>
            </w:pPr>
          </w:p>
        </w:tc>
        <w:tc>
          <w:tcPr>
            <w:tcW w:w="323" w:type="pct"/>
          </w:tcPr>
          <w:p w14:paraId="32F7460C" w14:textId="77777777" w:rsidR="00E34D1B" w:rsidRDefault="00E34D1B">
            <w:pPr>
              <w:pStyle w:val="TableText"/>
            </w:pPr>
          </w:p>
        </w:tc>
        <w:tc>
          <w:tcPr>
            <w:tcW w:w="323" w:type="pct"/>
          </w:tcPr>
          <w:p w14:paraId="5346F6E7" w14:textId="77777777" w:rsidR="00E34D1B" w:rsidRDefault="00E34D1B">
            <w:pPr>
              <w:pStyle w:val="TableText"/>
            </w:pPr>
          </w:p>
        </w:tc>
        <w:tc>
          <w:tcPr>
            <w:tcW w:w="325" w:type="pct"/>
          </w:tcPr>
          <w:p w14:paraId="647ACCC4" w14:textId="77777777" w:rsidR="00E34D1B" w:rsidRDefault="00E34D1B">
            <w:pPr>
              <w:pStyle w:val="TableText"/>
            </w:pPr>
          </w:p>
        </w:tc>
        <w:tc>
          <w:tcPr>
            <w:tcW w:w="323" w:type="pct"/>
          </w:tcPr>
          <w:p w14:paraId="560E54AB" w14:textId="77777777" w:rsidR="00E34D1B" w:rsidRDefault="00E34D1B">
            <w:pPr>
              <w:pStyle w:val="TableText"/>
            </w:pPr>
          </w:p>
        </w:tc>
        <w:tc>
          <w:tcPr>
            <w:tcW w:w="323" w:type="pct"/>
          </w:tcPr>
          <w:p w14:paraId="7ED2F950" w14:textId="77777777" w:rsidR="00E34D1B" w:rsidRDefault="00E34D1B">
            <w:pPr>
              <w:pStyle w:val="TableText"/>
            </w:pPr>
          </w:p>
        </w:tc>
        <w:tc>
          <w:tcPr>
            <w:tcW w:w="2081" w:type="pct"/>
          </w:tcPr>
          <w:p w14:paraId="7EB3600E" w14:textId="0283F3F1" w:rsidR="00E34D1B" w:rsidRDefault="00E34D1B" w:rsidP="00E34D1B">
            <w:pPr>
              <w:pStyle w:val="TableBlock"/>
              <w:rPr>
                <w:rtl/>
              </w:rPr>
            </w:pPr>
            <w:r>
              <w:rPr>
                <w:rFonts w:hint="cs"/>
                <w:rtl/>
              </w:rPr>
              <w:t>(2)</w:t>
            </w:r>
            <w:r>
              <w:rPr>
                <w:rtl/>
              </w:rPr>
              <w:tab/>
            </w:r>
            <w:r w:rsidRPr="00D112BF">
              <w:rPr>
                <w:rFonts w:hint="cs"/>
                <w:rtl/>
              </w:rPr>
              <w:t>שני נציגים מטעם שר המשפטים;</w:t>
            </w:r>
          </w:p>
        </w:tc>
      </w:tr>
      <w:tr w:rsidR="00E34D1B" w14:paraId="51690F27" w14:textId="77777777" w:rsidTr="00E34D1B">
        <w:trPr>
          <w:gridAfter w:val="1"/>
          <w:wAfter w:w="11" w:type="pct"/>
          <w:cantSplit/>
        </w:trPr>
        <w:tc>
          <w:tcPr>
            <w:tcW w:w="969" w:type="pct"/>
          </w:tcPr>
          <w:p w14:paraId="6420BA90" w14:textId="77777777" w:rsidR="00E34D1B" w:rsidRDefault="00E34D1B">
            <w:pPr>
              <w:pStyle w:val="TableSideHeading"/>
            </w:pPr>
          </w:p>
        </w:tc>
        <w:tc>
          <w:tcPr>
            <w:tcW w:w="322" w:type="pct"/>
          </w:tcPr>
          <w:p w14:paraId="56A220BF" w14:textId="77777777" w:rsidR="00E34D1B" w:rsidRDefault="00E34D1B" w:rsidP="00E34D1B">
            <w:pPr>
              <w:pStyle w:val="TableText"/>
            </w:pPr>
          </w:p>
        </w:tc>
        <w:tc>
          <w:tcPr>
            <w:tcW w:w="323" w:type="pct"/>
          </w:tcPr>
          <w:p w14:paraId="24CF1196" w14:textId="77777777" w:rsidR="00E34D1B" w:rsidRDefault="00E34D1B">
            <w:pPr>
              <w:pStyle w:val="TableText"/>
            </w:pPr>
          </w:p>
        </w:tc>
        <w:tc>
          <w:tcPr>
            <w:tcW w:w="323" w:type="pct"/>
          </w:tcPr>
          <w:p w14:paraId="36E264EF" w14:textId="77777777" w:rsidR="00E34D1B" w:rsidRDefault="00E34D1B">
            <w:pPr>
              <w:pStyle w:val="TableText"/>
            </w:pPr>
          </w:p>
        </w:tc>
        <w:tc>
          <w:tcPr>
            <w:tcW w:w="325" w:type="pct"/>
          </w:tcPr>
          <w:p w14:paraId="2646FC91" w14:textId="77777777" w:rsidR="00E34D1B" w:rsidRDefault="00E34D1B">
            <w:pPr>
              <w:pStyle w:val="TableText"/>
            </w:pPr>
          </w:p>
        </w:tc>
        <w:tc>
          <w:tcPr>
            <w:tcW w:w="323" w:type="pct"/>
          </w:tcPr>
          <w:p w14:paraId="0C54150E" w14:textId="77777777" w:rsidR="00E34D1B" w:rsidRDefault="00E34D1B">
            <w:pPr>
              <w:pStyle w:val="TableText"/>
            </w:pPr>
          </w:p>
        </w:tc>
        <w:tc>
          <w:tcPr>
            <w:tcW w:w="323" w:type="pct"/>
          </w:tcPr>
          <w:p w14:paraId="10B86D6A" w14:textId="77777777" w:rsidR="00E34D1B" w:rsidRDefault="00E34D1B">
            <w:pPr>
              <w:pStyle w:val="TableText"/>
            </w:pPr>
          </w:p>
        </w:tc>
        <w:tc>
          <w:tcPr>
            <w:tcW w:w="2081" w:type="pct"/>
          </w:tcPr>
          <w:p w14:paraId="0E4A3F3F" w14:textId="555177CA" w:rsidR="00E34D1B" w:rsidRDefault="00E34D1B" w:rsidP="00E34D1B">
            <w:pPr>
              <w:pStyle w:val="TableBlock"/>
              <w:rPr>
                <w:rtl/>
              </w:rPr>
            </w:pPr>
            <w:r>
              <w:rPr>
                <w:rFonts w:hint="cs"/>
                <w:rtl/>
              </w:rPr>
              <w:t>(3)</w:t>
            </w:r>
            <w:r>
              <w:rPr>
                <w:rtl/>
              </w:rPr>
              <w:tab/>
            </w:r>
            <w:r w:rsidRPr="00D112BF">
              <w:rPr>
                <w:rFonts w:hint="cs"/>
                <w:rtl/>
              </w:rPr>
              <w:t>נציג לשכת עורכי הדין.</w:t>
            </w:r>
          </w:p>
        </w:tc>
      </w:tr>
      <w:tr w:rsidR="00E34D1B" w14:paraId="7091EB30" w14:textId="77777777" w:rsidTr="003B755A">
        <w:trPr>
          <w:gridAfter w:val="1"/>
          <w:wAfter w:w="11" w:type="pct"/>
          <w:cantSplit/>
          <w:trHeight w:val="60"/>
        </w:trPr>
        <w:tc>
          <w:tcPr>
            <w:tcW w:w="969" w:type="pct"/>
          </w:tcPr>
          <w:p w14:paraId="5983CF7B" w14:textId="77777777" w:rsidR="00E34D1B" w:rsidRDefault="00E34D1B">
            <w:pPr>
              <w:pStyle w:val="TableSideHeading"/>
            </w:pPr>
          </w:p>
        </w:tc>
        <w:tc>
          <w:tcPr>
            <w:tcW w:w="322" w:type="pct"/>
          </w:tcPr>
          <w:p w14:paraId="30BB93BA" w14:textId="77777777" w:rsidR="00E34D1B" w:rsidRDefault="00E34D1B">
            <w:pPr>
              <w:pStyle w:val="TableText"/>
            </w:pPr>
          </w:p>
        </w:tc>
        <w:tc>
          <w:tcPr>
            <w:tcW w:w="323" w:type="pct"/>
          </w:tcPr>
          <w:p w14:paraId="271F0B95" w14:textId="77777777" w:rsidR="00E34D1B" w:rsidRDefault="00E34D1B">
            <w:pPr>
              <w:pStyle w:val="TableText"/>
            </w:pPr>
          </w:p>
        </w:tc>
        <w:tc>
          <w:tcPr>
            <w:tcW w:w="323" w:type="pct"/>
          </w:tcPr>
          <w:p w14:paraId="6D0C11C4" w14:textId="77777777" w:rsidR="00E34D1B" w:rsidRDefault="00E34D1B">
            <w:pPr>
              <w:pStyle w:val="TableText"/>
            </w:pPr>
          </w:p>
        </w:tc>
        <w:tc>
          <w:tcPr>
            <w:tcW w:w="325" w:type="pct"/>
          </w:tcPr>
          <w:p w14:paraId="031286B7" w14:textId="77777777" w:rsidR="00E34D1B" w:rsidRDefault="00E34D1B">
            <w:pPr>
              <w:pStyle w:val="TableText"/>
            </w:pPr>
          </w:p>
        </w:tc>
        <w:tc>
          <w:tcPr>
            <w:tcW w:w="323" w:type="pct"/>
          </w:tcPr>
          <w:p w14:paraId="78C6CD5B" w14:textId="77777777" w:rsidR="00E34D1B" w:rsidRDefault="00E34D1B">
            <w:pPr>
              <w:pStyle w:val="TableText"/>
            </w:pPr>
          </w:p>
        </w:tc>
        <w:tc>
          <w:tcPr>
            <w:tcW w:w="2404" w:type="pct"/>
            <w:gridSpan w:val="2"/>
          </w:tcPr>
          <w:p w14:paraId="7DC102B6" w14:textId="20EFA061" w:rsidR="00E34D1B" w:rsidRDefault="00E34D1B">
            <w:pPr>
              <w:pStyle w:val="TableBlock"/>
            </w:pPr>
            <w:r>
              <w:rPr>
                <w:rFonts w:hint="cs"/>
                <w:rtl/>
              </w:rPr>
              <w:t>(ב)</w:t>
            </w:r>
            <w:r>
              <w:rPr>
                <w:rtl/>
              </w:rPr>
              <w:tab/>
            </w:r>
            <w:r w:rsidRPr="00D112BF">
              <w:rPr>
                <w:rFonts w:hint="cs"/>
                <w:rtl/>
              </w:rPr>
              <w:t>כשיר להיכלל ברשימת כונסי הנכסים מי שהוא חבר לשכת עורכי הדין, או מי שבידו רישיון לפי חוק רואי חשבון, התשט"ו-1955</w:t>
            </w:r>
            <w:r w:rsidR="00B955D2">
              <w:rPr>
                <w:rStyle w:val="a5"/>
                <w:rtl/>
              </w:rPr>
              <w:footnoteReference w:id="3"/>
            </w:r>
            <w:r w:rsidRPr="00D112BF">
              <w:rPr>
                <w:rFonts w:hint="cs"/>
                <w:rtl/>
              </w:rPr>
              <w:t>, והוא בעל ניסיון של חמש שנות עבודה במקצועו, או מי שהוא בעל מיומנות מיוחדת או ניסיון מוכח בניהול הליכי חדלות פירעון או פירוק שיתוף בנכס, ובלבד שלא ייכלל ברשימה מי שהורשע בעבירה שמפאת מהותה, חומרתה או נסיבותיה, אין הוא ראוי, לדעת הוועדה, לכהן ככונס נכסים.</w:t>
            </w:r>
          </w:p>
        </w:tc>
      </w:tr>
      <w:tr w:rsidR="00E34D1B" w14:paraId="0DDD9E0C" w14:textId="77777777" w:rsidTr="003B755A">
        <w:trPr>
          <w:gridAfter w:val="1"/>
          <w:wAfter w:w="11" w:type="pct"/>
          <w:cantSplit/>
          <w:trHeight w:val="60"/>
        </w:trPr>
        <w:tc>
          <w:tcPr>
            <w:tcW w:w="969" w:type="pct"/>
          </w:tcPr>
          <w:p w14:paraId="5D309DE8" w14:textId="77777777" w:rsidR="00E34D1B" w:rsidRDefault="00E34D1B">
            <w:pPr>
              <w:pStyle w:val="TableSideHeading"/>
            </w:pPr>
          </w:p>
        </w:tc>
        <w:tc>
          <w:tcPr>
            <w:tcW w:w="322" w:type="pct"/>
          </w:tcPr>
          <w:p w14:paraId="2D26B0B6" w14:textId="77777777" w:rsidR="00E34D1B" w:rsidRDefault="00E34D1B" w:rsidP="00E34D1B">
            <w:pPr>
              <w:pStyle w:val="TableText"/>
            </w:pPr>
          </w:p>
        </w:tc>
        <w:tc>
          <w:tcPr>
            <w:tcW w:w="323" w:type="pct"/>
          </w:tcPr>
          <w:p w14:paraId="40561161" w14:textId="77777777" w:rsidR="00E34D1B" w:rsidRDefault="00E34D1B">
            <w:pPr>
              <w:pStyle w:val="TableText"/>
            </w:pPr>
          </w:p>
        </w:tc>
        <w:tc>
          <w:tcPr>
            <w:tcW w:w="323" w:type="pct"/>
          </w:tcPr>
          <w:p w14:paraId="40E59938" w14:textId="77777777" w:rsidR="00E34D1B" w:rsidRDefault="00E34D1B">
            <w:pPr>
              <w:pStyle w:val="TableText"/>
            </w:pPr>
          </w:p>
        </w:tc>
        <w:tc>
          <w:tcPr>
            <w:tcW w:w="325" w:type="pct"/>
          </w:tcPr>
          <w:p w14:paraId="4333D129" w14:textId="77777777" w:rsidR="00E34D1B" w:rsidRDefault="00E34D1B">
            <w:pPr>
              <w:pStyle w:val="TableText"/>
            </w:pPr>
          </w:p>
        </w:tc>
        <w:tc>
          <w:tcPr>
            <w:tcW w:w="323" w:type="pct"/>
          </w:tcPr>
          <w:p w14:paraId="35EBE73D" w14:textId="77777777" w:rsidR="00E34D1B" w:rsidRDefault="00E34D1B">
            <w:pPr>
              <w:pStyle w:val="TableText"/>
            </w:pPr>
          </w:p>
        </w:tc>
        <w:tc>
          <w:tcPr>
            <w:tcW w:w="2404" w:type="pct"/>
            <w:gridSpan w:val="2"/>
          </w:tcPr>
          <w:p w14:paraId="3612E4BB" w14:textId="614B97AC" w:rsidR="00E34D1B" w:rsidRDefault="00E34D1B">
            <w:pPr>
              <w:pStyle w:val="TableBlock"/>
              <w:rPr>
                <w:rtl/>
              </w:rPr>
            </w:pPr>
            <w:r>
              <w:rPr>
                <w:rFonts w:hint="cs"/>
                <w:rtl/>
              </w:rPr>
              <w:t>(ג)</w:t>
            </w:r>
            <w:r>
              <w:rPr>
                <w:rtl/>
              </w:rPr>
              <w:tab/>
            </w:r>
            <w:r w:rsidRPr="00D112BF">
              <w:rPr>
                <w:rFonts w:hint="cs"/>
                <w:rtl/>
              </w:rPr>
              <w:t>שר המשפטים יקבע, באישור ועדת החוקה, חוק ומשפט של הכנסת, הוראות לעניין גיבוש רשימת כונסי הנכסים לפי סעיף זה, ובכלל זה בעניינים אלה:</w:t>
            </w:r>
          </w:p>
        </w:tc>
      </w:tr>
      <w:tr w:rsidR="00E34D1B" w14:paraId="47F44843" w14:textId="77777777" w:rsidTr="003B755A">
        <w:trPr>
          <w:gridAfter w:val="1"/>
          <w:wAfter w:w="11" w:type="pct"/>
          <w:cantSplit/>
          <w:trHeight w:val="60"/>
        </w:trPr>
        <w:tc>
          <w:tcPr>
            <w:tcW w:w="969" w:type="pct"/>
          </w:tcPr>
          <w:p w14:paraId="2C068CDC" w14:textId="77777777" w:rsidR="00E34D1B" w:rsidRDefault="00E34D1B">
            <w:pPr>
              <w:pStyle w:val="TableSideHeading"/>
            </w:pPr>
          </w:p>
        </w:tc>
        <w:tc>
          <w:tcPr>
            <w:tcW w:w="322" w:type="pct"/>
          </w:tcPr>
          <w:p w14:paraId="12569291" w14:textId="77777777" w:rsidR="00E34D1B" w:rsidRDefault="00E34D1B">
            <w:pPr>
              <w:pStyle w:val="TableText"/>
            </w:pPr>
          </w:p>
        </w:tc>
        <w:tc>
          <w:tcPr>
            <w:tcW w:w="323" w:type="pct"/>
          </w:tcPr>
          <w:p w14:paraId="1E417276" w14:textId="77777777" w:rsidR="00E34D1B" w:rsidRDefault="00E34D1B">
            <w:pPr>
              <w:pStyle w:val="TableText"/>
            </w:pPr>
          </w:p>
        </w:tc>
        <w:tc>
          <w:tcPr>
            <w:tcW w:w="323" w:type="pct"/>
          </w:tcPr>
          <w:p w14:paraId="4FD0CBAB" w14:textId="77777777" w:rsidR="00E34D1B" w:rsidRDefault="00E34D1B">
            <w:pPr>
              <w:pStyle w:val="TableText"/>
            </w:pPr>
          </w:p>
        </w:tc>
        <w:tc>
          <w:tcPr>
            <w:tcW w:w="325" w:type="pct"/>
          </w:tcPr>
          <w:p w14:paraId="18223ECF" w14:textId="77777777" w:rsidR="00E34D1B" w:rsidRDefault="00E34D1B">
            <w:pPr>
              <w:pStyle w:val="TableText"/>
            </w:pPr>
          </w:p>
        </w:tc>
        <w:tc>
          <w:tcPr>
            <w:tcW w:w="323" w:type="pct"/>
          </w:tcPr>
          <w:p w14:paraId="74D03CF3" w14:textId="77777777" w:rsidR="00E34D1B" w:rsidRDefault="00E34D1B">
            <w:pPr>
              <w:pStyle w:val="TableText"/>
            </w:pPr>
          </w:p>
        </w:tc>
        <w:tc>
          <w:tcPr>
            <w:tcW w:w="323" w:type="pct"/>
          </w:tcPr>
          <w:p w14:paraId="73BF277E" w14:textId="77777777" w:rsidR="00E34D1B" w:rsidRDefault="00E34D1B">
            <w:pPr>
              <w:pStyle w:val="TableText"/>
            </w:pPr>
          </w:p>
        </w:tc>
        <w:tc>
          <w:tcPr>
            <w:tcW w:w="2081" w:type="pct"/>
          </w:tcPr>
          <w:p w14:paraId="075AF84D" w14:textId="09E6D8DA" w:rsidR="00E34D1B" w:rsidRDefault="00E34D1B">
            <w:pPr>
              <w:pStyle w:val="TableBlock"/>
            </w:pPr>
            <w:r>
              <w:rPr>
                <w:rFonts w:hint="cs"/>
                <w:rtl/>
              </w:rPr>
              <w:t>(1)</w:t>
            </w:r>
            <w:r>
              <w:rPr>
                <w:rtl/>
              </w:rPr>
              <w:tab/>
            </w:r>
            <w:r w:rsidRPr="00D112BF">
              <w:rPr>
                <w:rFonts w:hint="cs"/>
                <w:rtl/>
              </w:rPr>
              <w:t>תנאי כשירות נוספים הדרושים לשם הכללה ברשימה או סייגים להכללה כאמור, ובכלל זה לדרוש הכשרה מקצועית או עמידה בבחינה מקצועית, ורשאי השר לקבוע תנאי כשירות שונים לסוגים שונים של הליכים בהתאם להיקפם ומורכבותם;</w:t>
            </w:r>
          </w:p>
        </w:tc>
      </w:tr>
      <w:tr w:rsidR="00E34D1B" w14:paraId="765B0D20" w14:textId="77777777" w:rsidTr="003B755A">
        <w:trPr>
          <w:gridAfter w:val="1"/>
          <w:wAfter w:w="11" w:type="pct"/>
          <w:cantSplit/>
          <w:trHeight w:val="60"/>
        </w:trPr>
        <w:tc>
          <w:tcPr>
            <w:tcW w:w="969" w:type="pct"/>
          </w:tcPr>
          <w:p w14:paraId="04B64DE5" w14:textId="77777777" w:rsidR="00E34D1B" w:rsidRDefault="00E34D1B">
            <w:pPr>
              <w:pStyle w:val="TableSideHeading"/>
            </w:pPr>
          </w:p>
        </w:tc>
        <w:tc>
          <w:tcPr>
            <w:tcW w:w="322" w:type="pct"/>
          </w:tcPr>
          <w:p w14:paraId="60D708AE" w14:textId="77777777" w:rsidR="00E34D1B" w:rsidRDefault="00E34D1B" w:rsidP="00E34D1B">
            <w:pPr>
              <w:pStyle w:val="TableText"/>
            </w:pPr>
          </w:p>
        </w:tc>
        <w:tc>
          <w:tcPr>
            <w:tcW w:w="323" w:type="pct"/>
          </w:tcPr>
          <w:p w14:paraId="3474E7C8" w14:textId="77777777" w:rsidR="00E34D1B" w:rsidRDefault="00E34D1B">
            <w:pPr>
              <w:pStyle w:val="TableText"/>
            </w:pPr>
          </w:p>
        </w:tc>
        <w:tc>
          <w:tcPr>
            <w:tcW w:w="323" w:type="pct"/>
          </w:tcPr>
          <w:p w14:paraId="03ECC511" w14:textId="77777777" w:rsidR="00E34D1B" w:rsidRDefault="00E34D1B">
            <w:pPr>
              <w:pStyle w:val="TableText"/>
            </w:pPr>
          </w:p>
        </w:tc>
        <w:tc>
          <w:tcPr>
            <w:tcW w:w="325" w:type="pct"/>
          </w:tcPr>
          <w:p w14:paraId="2D50D5C0" w14:textId="77777777" w:rsidR="00E34D1B" w:rsidRDefault="00E34D1B">
            <w:pPr>
              <w:pStyle w:val="TableText"/>
            </w:pPr>
          </w:p>
        </w:tc>
        <w:tc>
          <w:tcPr>
            <w:tcW w:w="323" w:type="pct"/>
          </w:tcPr>
          <w:p w14:paraId="1124DF8D" w14:textId="77777777" w:rsidR="00E34D1B" w:rsidRDefault="00E34D1B">
            <w:pPr>
              <w:pStyle w:val="TableText"/>
            </w:pPr>
          </w:p>
        </w:tc>
        <w:tc>
          <w:tcPr>
            <w:tcW w:w="323" w:type="pct"/>
          </w:tcPr>
          <w:p w14:paraId="4EA0CB8F" w14:textId="77777777" w:rsidR="00E34D1B" w:rsidRDefault="00E34D1B">
            <w:pPr>
              <w:pStyle w:val="TableText"/>
            </w:pPr>
          </w:p>
        </w:tc>
        <w:tc>
          <w:tcPr>
            <w:tcW w:w="2081" w:type="pct"/>
          </w:tcPr>
          <w:p w14:paraId="09AE14A7" w14:textId="1490BF08" w:rsidR="00E34D1B" w:rsidRDefault="00E34D1B">
            <w:pPr>
              <w:pStyle w:val="TableBlock"/>
              <w:rPr>
                <w:rtl/>
              </w:rPr>
            </w:pPr>
            <w:r>
              <w:rPr>
                <w:rFonts w:hint="cs"/>
                <w:rtl/>
              </w:rPr>
              <w:t>(2)</w:t>
            </w:r>
            <w:r>
              <w:rPr>
                <w:rtl/>
              </w:rPr>
              <w:tab/>
            </w:r>
            <w:r w:rsidRPr="00D112BF">
              <w:rPr>
                <w:rFonts w:hint="cs"/>
                <w:rtl/>
              </w:rPr>
              <w:t>סדרי עבודתה של הוועדה, ובכלל זה הוראות לעניין פרסום הרשימה ושינויה, לרבות גריעה ממנה."</w:t>
            </w:r>
          </w:p>
        </w:tc>
      </w:tr>
    </w:tbl>
    <w:p w14:paraId="7F6961CA" w14:textId="77777777" w:rsidR="002D1EE3" w:rsidRDefault="002D1EE3" w:rsidP="002D1EE3">
      <w:pPr>
        <w:pStyle w:val="HeadDivreiHesber"/>
        <w:rPr>
          <w:rtl/>
        </w:rPr>
      </w:pPr>
      <w:r w:rsidRPr="0027450A">
        <w:rPr>
          <w:rFonts w:hint="cs"/>
          <w:rtl/>
        </w:rPr>
        <w:t>דברי הסבר</w:t>
      </w:r>
    </w:p>
    <w:p w14:paraId="421EF5BD" w14:textId="005B00BE" w:rsidR="00483EA8" w:rsidRPr="003B755A" w:rsidRDefault="00483EA8" w:rsidP="003B755A">
      <w:pPr>
        <w:pStyle w:val="Hesber"/>
        <w:rPr>
          <w:rtl/>
        </w:rPr>
      </w:pPr>
      <w:r w:rsidRPr="003B755A">
        <w:rPr>
          <w:rFonts w:hint="cs"/>
          <w:rtl/>
        </w:rPr>
        <w:t>בשנת 2018 חוקקה הכנסת את חוק חדלות פירעון ושיקום כלכלי, התשע"ח</w:t>
      </w:r>
      <w:r w:rsidRPr="003B755A">
        <w:rPr>
          <w:rtl/>
        </w:rPr>
        <w:t>–</w:t>
      </w:r>
      <w:r w:rsidRPr="003B755A">
        <w:rPr>
          <w:rFonts w:hint="cs"/>
          <w:rtl/>
        </w:rPr>
        <w:t>2018, אשר ביקש לעצב מחדש, בצורה מרוכזת, את הדינים החלים על חדלות פירעון של יחידים או חברות. בכלל זה, קבע חוק חדלות פירעון ושיקום כלכלי כי ימוסדו רשימות של נאמנים, אשר יגובשו על-ידי ועדה ציבורית בהתאם לקריטריונים ברורים, ונאמנים בהליכי חדלות פירעון ימונו מתוך רשימות אלו.</w:t>
      </w:r>
    </w:p>
    <w:p w14:paraId="38C6294E" w14:textId="3C76F2B2" w:rsidR="00483EA8" w:rsidRPr="003B755A" w:rsidRDefault="00483EA8" w:rsidP="003B755A">
      <w:pPr>
        <w:pStyle w:val="Hesber"/>
        <w:rPr>
          <w:rtl/>
        </w:rPr>
      </w:pPr>
      <w:r w:rsidRPr="003B755A">
        <w:rPr>
          <w:rFonts w:hint="cs"/>
          <w:rtl/>
        </w:rPr>
        <w:t xml:space="preserve">לאור תפקידם הדומה של כונסי נכסים שמונו על-ידי בית המשפט לענייני משפחה, במסגרת הליכים לפי חוק בית המשפט לענייני משפחה (להלן </w:t>
      </w:r>
      <w:r w:rsidRPr="003B755A">
        <w:rPr>
          <w:rtl/>
        </w:rPr>
        <w:t>–</w:t>
      </w:r>
      <w:r w:rsidRPr="003B755A">
        <w:rPr>
          <w:rFonts w:hint="cs"/>
          <w:rtl/>
        </w:rPr>
        <w:t xml:space="preserve"> החוק), מן הראוי כי אף כונסי נכסים אלו ייבחרו לפי קריטריונים ברורים ושוויוניים ומתוך מאגר ידוע לציבור. זאת על-מנת להבטיח את מקצועיותם של כונסי הנכסים שימונו מכוח חוק זה ואת אמון הציבור בהליך השקוף לו. מצב הדברים הקיים היום, לפיו מתמנים כונסי נכסים על-פי קרבה מסוימת לנושא המשרה הממנה או כאשר האינטרס של הנושים מיוצג על-ידי כונס הנכסים באופן שעלול ליצור מראית עין שאינו מייצג את אינטרס הציבור כזרועו של בית המשפט ונאמנו, אינו רצוי או ראוי.</w:t>
      </w:r>
    </w:p>
    <w:p w14:paraId="7F6961CB" w14:textId="1FC3D740" w:rsidR="00E13C27" w:rsidRDefault="00483EA8" w:rsidP="003B755A">
      <w:pPr>
        <w:pStyle w:val="Hesber"/>
        <w:rPr>
          <w:rtl/>
        </w:rPr>
      </w:pPr>
      <w:r w:rsidRPr="003B755A">
        <w:rPr>
          <w:rFonts w:hint="cs"/>
          <w:rtl/>
        </w:rPr>
        <w:t xml:space="preserve">לפיכך, מוצע לתקן את החוק ולקבוע הסדר דומה להסדרים הקבועים בסעיפים 37 ו-126 לחוק חדלות פירעון ושיקום כלכלי. </w:t>
      </w:r>
    </w:p>
    <w:p w14:paraId="7307D1D8" w14:textId="77777777" w:rsidR="001A6A0B" w:rsidRDefault="001A6A0B" w:rsidP="003B755A">
      <w:pPr>
        <w:pStyle w:val="Hesber"/>
        <w:rPr>
          <w:rtl/>
        </w:rPr>
      </w:pPr>
    </w:p>
    <w:p w14:paraId="3C19F667" w14:textId="77777777" w:rsidR="001A6A0B" w:rsidRPr="00D73212" w:rsidRDefault="001A6A0B" w:rsidP="001A6A0B">
      <w:pPr>
        <w:pStyle w:val="Hesber"/>
        <w:ind w:firstLine="0"/>
        <w:rPr>
          <w:rtl/>
        </w:rPr>
      </w:pPr>
      <w:r w:rsidRPr="00D73212">
        <w:rPr>
          <w:rtl/>
        </w:rPr>
        <w:t>---------------------------------</w:t>
      </w:r>
    </w:p>
    <w:p w14:paraId="4B0E97E5" w14:textId="77777777" w:rsidR="001A6A0B" w:rsidRPr="00D73212" w:rsidRDefault="001A6A0B" w:rsidP="001A6A0B">
      <w:pPr>
        <w:pStyle w:val="Hesber"/>
        <w:ind w:firstLine="0"/>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09E61B2A" w14:textId="77777777" w:rsidR="001A6A0B" w:rsidRPr="00D73212" w:rsidRDefault="001A6A0B" w:rsidP="001A6A0B">
      <w:pPr>
        <w:pStyle w:val="Hesber"/>
        <w:ind w:firstLine="0"/>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5BACCE1B" w14:textId="77777777" w:rsidR="001A6A0B" w:rsidRPr="00317312" w:rsidRDefault="001A6A0B" w:rsidP="001A6A0B">
      <w:pPr>
        <w:pStyle w:val="Hesber"/>
        <w:ind w:firstLine="0"/>
      </w:pPr>
      <w:r>
        <w:rPr>
          <w:rFonts w:hint="cs"/>
          <w:rtl/>
        </w:rPr>
        <w:t>כ' בחשוון</w:t>
      </w:r>
      <w:r w:rsidRPr="00D73212">
        <w:rPr>
          <w:rtl/>
        </w:rPr>
        <w:t xml:space="preserve"> </w:t>
      </w:r>
      <w:r>
        <w:rPr>
          <w:rFonts w:hint="cs"/>
          <w:rtl/>
        </w:rPr>
        <w:t xml:space="preserve">התש"ף </w:t>
      </w:r>
      <w:r w:rsidRPr="00D73212">
        <w:rPr>
          <w:rtl/>
        </w:rPr>
        <w:t>–</w:t>
      </w:r>
      <w:r>
        <w:rPr>
          <w:rFonts w:hint="cs"/>
          <w:rtl/>
        </w:rPr>
        <w:t xml:space="preserve"> 18.11</w:t>
      </w:r>
      <w:r w:rsidRPr="00D73212">
        <w:rPr>
          <w:rtl/>
        </w:rPr>
        <w:t>.</w:t>
      </w:r>
      <w:r>
        <w:rPr>
          <w:rFonts w:hint="cs"/>
          <w:rtl/>
        </w:rPr>
        <w:t xml:space="preserve">19  </w:t>
      </w:r>
    </w:p>
    <w:p w14:paraId="0E0A4C33" w14:textId="77777777" w:rsidR="001A6A0B" w:rsidRPr="003B755A" w:rsidRDefault="001A6A0B" w:rsidP="003B755A">
      <w:pPr>
        <w:pStyle w:val="Hesber"/>
        <w:rPr>
          <w:rtl/>
        </w:rPr>
      </w:pPr>
    </w:p>
    <w:sectPr w:rsidR="001A6A0B" w:rsidRPr="003B755A" w:rsidSect="00E34D1B">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B955D2">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E34D1B">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21F1A37" w14:textId="77777777" w:rsidR="009818AF" w:rsidRDefault="009818AF" w:rsidP="009818AF">
      <w:pPr>
        <w:pStyle w:val="a4"/>
        <w:rPr>
          <w:rtl/>
        </w:rPr>
      </w:pPr>
      <w:r>
        <w:rPr>
          <w:rStyle w:val="a5"/>
        </w:rPr>
        <w:footnoteRef/>
      </w:r>
      <w:r>
        <w:rPr>
          <w:rtl/>
        </w:rPr>
        <w:t xml:space="preserve"> </w:t>
      </w:r>
      <w:r>
        <w:rPr>
          <w:rFonts w:hint="cs"/>
          <w:rtl/>
        </w:rPr>
        <w:t>ס"ח התשנ"ה, עמ' 393.</w:t>
      </w:r>
    </w:p>
  </w:footnote>
  <w:footnote w:id="3">
    <w:p w14:paraId="23E87272" w14:textId="32DE251E" w:rsidR="00B955D2" w:rsidRDefault="00B955D2">
      <w:pPr>
        <w:pStyle w:val="a4"/>
        <w:rPr>
          <w:rFonts w:hint="cs"/>
        </w:rPr>
      </w:pPr>
      <w:r>
        <w:rPr>
          <w:rStyle w:val="a5"/>
        </w:rPr>
        <w:footnoteRef/>
      </w:r>
      <w:r>
        <w:rPr>
          <w:rtl/>
        </w:rPr>
        <w:t xml:space="preserve"> </w:t>
      </w:r>
      <w:r>
        <w:rPr>
          <w:rFonts w:hint="cs"/>
          <w:rtl/>
        </w:rPr>
        <w:t>ס"ח תשט"ו, עמ' 26.</w:t>
      </w:r>
      <w:bookmarkStart w:id="8" w:name="_GoBack"/>
      <w:bookmarkEnd w:id="8"/>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D12EB8"/>
    <w:multiLevelType w:val="hybridMultilevel"/>
    <w:tmpl w:val="3CE6CDD8"/>
    <w:lvl w:ilvl="0" w:tplc="93AE1B5C">
      <w:start w:val="1"/>
      <w:numFmt w:val="hebrew1"/>
      <w:lvlText w:val="(%1)"/>
      <w:lvlJc w:val="left"/>
      <w:pPr>
        <w:ind w:left="420" w:hanging="360"/>
      </w:pPr>
      <w:rPr>
        <w:rFonts w:hint="default"/>
        <w:sz w:val="26"/>
        <w:lang w:val="en-U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23146AB8"/>
    <w:multiLevelType w:val="hybridMultilevel"/>
    <w:tmpl w:val="375C0DD0"/>
    <w:lvl w:ilvl="0" w:tplc="55A88484">
      <w:start w:val="1"/>
      <w:numFmt w:val="decimal"/>
      <w:lvlText w:val="(%1)"/>
      <w:lvlJc w:val="left"/>
      <w:pPr>
        <w:ind w:left="780" w:hanging="360"/>
      </w:pPr>
      <w:rPr>
        <w:rFonts w:hint="default"/>
        <w:sz w:val="26"/>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35151C2C"/>
    <w:multiLevelType w:val="hybridMultilevel"/>
    <w:tmpl w:val="00AAE22A"/>
    <w:lvl w:ilvl="0" w:tplc="D1901196">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E466AD"/>
    <w:multiLevelType w:val="hybridMultilevel"/>
    <w:tmpl w:val="AB3A5966"/>
    <w:lvl w:ilvl="0" w:tplc="D1901196">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A292C32"/>
    <w:multiLevelType w:val="hybridMultilevel"/>
    <w:tmpl w:val="4FBC34E8"/>
    <w:lvl w:ilvl="0" w:tplc="14844CEC">
      <w:start w:val="2"/>
      <w:numFmt w:val="hebrew1"/>
      <w:lvlText w:val="(%1)"/>
      <w:lvlJc w:val="left"/>
      <w:pPr>
        <w:ind w:left="420" w:hanging="360"/>
      </w:pPr>
      <w:rPr>
        <w:rFonts w:hint="default"/>
        <w:sz w:val="26"/>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65122CB0"/>
    <w:multiLevelType w:val="hybridMultilevel"/>
    <w:tmpl w:val="FECEACC4"/>
    <w:lvl w:ilvl="0" w:tplc="D1901196">
      <w:start w:val="1"/>
      <w:numFmt w:val="decimal"/>
      <w:lvlText w:val="(%1)"/>
      <w:lvlJc w:val="left"/>
      <w:pPr>
        <w:ind w:left="780" w:hanging="360"/>
      </w:pPr>
      <w:rPr>
        <w:rFonts w:hint="default"/>
        <w:sz w:val="26"/>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DE07FB"/>
    <w:multiLevelType w:val="hybridMultilevel"/>
    <w:tmpl w:val="CA6AF36E"/>
    <w:lvl w:ilvl="0" w:tplc="D1901196">
      <w:start w:val="1"/>
      <w:numFmt w:val="decimal"/>
      <w:lvlText w:val="(%1)"/>
      <w:lvlJc w:val="left"/>
      <w:pPr>
        <w:ind w:left="780" w:hanging="360"/>
      </w:pPr>
      <w:rPr>
        <w:rFonts w:hint="default"/>
        <w:sz w:val="26"/>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1"/>
  </w:num>
  <w:num w:numId="13">
    <w:abstractNumId w:val="11"/>
  </w:num>
  <w:num w:numId="14">
    <w:abstractNumId w:val="22"/>
  </w:num>
  <w:num w:numId="15">
    <w:abstractNumId w:val="13"/>
  </w:num>
  <w:num w:numId="16">
    <w:abstractNumId w:val="20"/>
  </w:num>
  <w:num w:numId="17">
    <w:abstractNumId w:val="23"/>
  </w:num>
  <w:num w:numId="18">
    <w:abstractNumId w:val="17"/>
  </w:num>
  <w:num w:numId="19">
    <w:abstractNumId w:val="17"/>
    <w:lvlOverride w:ilvl="0">
      <w:startOverride w:val="1"/>
    </w:lvlOverride>
  </w:num>
  <w:num w:numId="20">
    <w:abstractNumId w:val="1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8"/>
  </w:num>
  <w:num w:numId="26">
    <w:abstractNumId w:val="14"/>
  </w:num>
  <w:num w:numId="27">
    <w:abstractNumId w:val="1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438BB"/>
    <w:rsid w:val="00063A3E"/>
    <w:rsid w:val="00072CAC"/>
    <w:rsid w:val="0007681A"/>
    <w:rsid w:val="000A542E"/>
    <w:rsid w:val="000C1E91"/>
    <w:rsid w:val="00102B6B"/>
    <w:rsid w:val="001052D4"/>
    <w:rsid w:val="0010644B"/>
    <w:rsid w:val="001207F8"/>
    <w:rsid w:val="00121924"/>
    <w:rsid w:val="001279A8"/>
    <w:rsid w:val="0014195F"/>
    <w:rsid w:val="00152609"/>
    <w:rsid w:val="00153E1B"/>
    <w:rsid w:val="001A0623"/>
    <w:rsid w:val="001A6A0B"/>
    <w:rsid w:val="001C23B0"/>
    <w:rsid w:val="001D7AAF"/>
    <w:rsid w:val="001F75F9"/>
    <w:rsid w:val="00203A7F"/>
    <w:rsid w:val="0021633A"/>
    <w:rsid w:val="002200A1"/>
    <w:rsid w:val="002362BF"/>
    <w:rsid w:val="00241B97"/>
    <w:rsid w:val="002425D1"/>
    <w:rsid w:val="00243B82"/>
    <w:rsid w:val="00246756"/>
    <w:rsid w:val="00251E58"/>
    <w:rsid w:val="00253407"/>
    <w:rsid w:val="00254605"/>
    <w:rsid w:val="00266D86"/>
    <w:rsid w:val="002728B4"/>
    <w:rsid w:val="0027600C"/>
    <w:rsid w:val="00292712"/>
    <w:rsid w:val="0029565B"/>
    <w:rsid w:val="002A487D"/>
    <w:rsid w:val="002B4F2E"/>
    <w:rsid w:val="002C2E29"/>
    <w:rsid w:val="002C3041"/>
    <w:rsid w:val="002D1EE3"/>
    <w:rsid w:val="002F1D80"/>
    <w:rsid w:val="003232A2"/>
    <w:rsid w:val="00325C14"/>
    <w:rsid w:val="0036422C"/>
    <w:rsid w:val="003710F6"/>
    <w:rsid w:val="00386E88"/>
    <w:rsid w:val="00396585"/>
    <w:rsid w:val="003B755A"/>
    <w:rsid w:val="003D6E38"/>
    <w:rsid w:val="003D74A0"/>
    <w:rsid w:val="004033D8"/>
    <w:rsid w:val="004073F0"/>
    <w:rsid w:val="00412A7D"/>
    <w:rsid w:val="00416B4D"/>
    <w:rsid w:val="00417CFC"/>
    <w:rsid w:val="00427A4A"/>
    <w:rsid w:val="00483EA8"/>
    <w:rsid w:val="004A06DC"/>
    <w:rsid w:val="004B24ED"/>
    <w:rsid w:val="004B6625"/>
    <w:rsid w:val="004D2D82"/>
    <w:rsid w:val="004D3876"/>
    <w:rsid w:val="004E4552"/>
    <w:rsid w:val="004E6CDF"/>
    <w:rsid w:val="00525D1E"/>
    <w:rsid w:val="005344F8"/>
    <w:rsid w:val="00541FF8"/>
    <w:rsid w:val="00553C9D"/>
    <w:rsid w:val="00562A66"/>
    <w:rsid w:val="005B064E"/>
    <w:rsid w:val="005C29A6"/>
    <w:rsid w:val="005D371E"/>
    <w:rsid w:val="005D51AE"/>
    <w:rsid w:val="005D7B77"/>
    <w:rsid w:val="006033A7"/>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526"/>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18AF"/>
    <w:rsid w:val="00982412"/>
    <w:rsid w:val="00983A8D"/>
    <w:rsid w:val="009A0DB8"/>
    <w:rsid w:val="009A7257"/>
    <w:rsid w:val="009D6E0A"/>
    <w:rsid w:val="009E1E33"/>
    <w:rsid w:val="00A14672"/>
    <w:rsid w:val="00A26BD6"/>
    <w:rsid w:val="00A403C2"/>
    <w:rsid w:val="00A443CF"/>
    <w:rsid w:val="00A6611D"/>
    <w:rsid w:val="00A82CB7"/>
    <w:rsid w:val="00A942C1"/>
    <w:rsid w:val="00AA2F03"/>
    <w:rsid w:val="00AA7139"/>
    <w:rsid w:val="00AC36F7"/>
    <w:rsid w:val="00AC63A4"/>
    <w:rsid w:val="00AD239E"/>
    <w:rsid w:val="00B10265"/>
    <w:rsid w:val="00B16A99"/>
    <w:rsid w:val="00B21211"/>
    <w:rsid w:val="00B35784"/>
    <w:rsid w:val="00B733A7"/>
    <w:rsid w:val="00B75C91"/>
    <w:rsid w:val="00B955D2"/>
    <w:rsid w:val="00B975AD"/>
    <w:rsid w:val="00BC45FB"/>
    <w:rsid w:val="00BF0C36"/>
    <w:rsid w:val="00BF148D"/>
    <w:rsid w:val="00C150F4"/>
    <w:rsid w:val="00C23B1A"/>
    <w:rsid w:val="00C310EB"/>
    <w:rsid w:val="00C734BE"/>
    <w:rsid w:val="00C9176A"/>
    <w:rsid w:val="00CF1AA2"/>
    <w:rsid w:val="00D112BF"/>
    <w:rsid w:val="00D142D3"/>
    <w:rsid w:val="00D17774"/>
    <w:rsid w:val="00D63620"/>
    <w:rsid w:val="00D8410D"/>
    <w:rsid w:val="00D867D7"/>
    <w:rsid w:val="00DB7060"/>
    <w:rsid w:val="00DE3153"/>
    <w:rsid w:val="00E06736"/>
    <w:rsid w:val="00E13C27"/>
    <w:rsid w:val="00E33BBD"/>
    <w:rsid w:val="00E34D1B"/>
    <w:rsid w:val="00E374F2"/>
    <w:rsid w:val="00E45103"/>
    <w:rsid w:val="00E5599D"/>
    <w:rsid w:val="00E55A60"/>
    <w:rsid w:val="00E62778"/>
    <w:rsid w:val="00E635A2"/>
    <w:rsid w:val="00E63D38"/>
    <w:rsid w:val="00E665B9"/>
    <w:rsid w:val="00EA01E6"/>
    <w:rsid w:val="00EA3DE8"/>
    <w:rsid w:val="00EA758F"/>
    <w:rsid w:val="00ED4A6F"/>
    <w:rsid w:val="00EF3A3A"/>
    <w:rsid w:val="00F56C21"/>
    <w:rsid w:val="00F628D6"/>
    <w:rsid w:val="00F67051"/>
    <w:rsid w:val="00F86A1E"/>
    <w:rsid w:val="00FA5E88"/>
    <w:rsid w:val="00FA67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15AB062-2324-4A55-8436-03B695A2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D1B"/>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E34D1B"/>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E34D1B"/>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E34D1B"/>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E34D1B"/>
    <w:pPr>
      <w:numPr>
        <w:numId w:val="21"/>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E34D1B"/>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E34D1B"/>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E34D1B"/>
    <w:rPr>
      <w:sz w:val="36"/>
      <w:szCs w:val="52"/>
    </w:rPr>
  </w:style>
  <w:style w:type="paragraph" w:customStyle="1" w:styleId="Cover3-Haknesset">
    <w:name w:val="Cover 3-Haknesset"/>
    <w:basedOn w:val="Cover1-Reshumot"/>
    <w:rsid w:val="00E34D1B"/>
    <w:rPr>
      <w:b/>
      <w:bCs/>
      <w:spacing w:val="60"/>
    </w:rPr>
  </w:style>
  <w:style w:type="paragraph" w:customStyle="1" w:styleId="Cover4-Date">
    <w:name w:val="Cover 4-Date"/>
    <w:basedOn w:val="a"/>
    <w:rsid w:val="00E34D1B"/>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E34D1B"/>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E34D1B"/>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E34D1B"/>
    <w:pPr>
      <w:spacing w:before="120" w:after="120"/>
    </w:pPr>
    <w:rPr>
      <w:color w:val="FF0000"/>
      <w:w w:val="80"/>
    </w:rPr>
  </w:style>
  <w:style w:type="paragraph" w:styleId="a3">
    <w:name w:val="endnote text"/>
    <w:basedOn w:val="a"/>
    <w:semiHidden/>
    <w:rsid w:val="00E34D1B"/>
    <w:pPr>
      <w:ind w:left="227" w:hanging="227"/>
    </w:pPr>
    <w:rPr>
      <w:sz w:val="14"/>
      <w:szCs w:val="22"/>
    </w:rPr>
  </w:style>
  <w:style w:type="paragraph" w:customStyle="1" w:styleId="TableText">
    <w:name w:val="Table Text"/>
    <w:basedOn w:val="a"/>
    <w:rsid w:val="00E34D1B"/>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E34D1B"/>
    <w:pPr>
      <w:outlineLvl w:val="2"/>
    </w:pPr>
  </w:style>
  <w:style w:type="paragraph" w:customStyle="1" w:styleId="TableBlock">
    <w:name w:val="Table Block"/>
    <w:basedOn w:val="TableText"/>
    <w:rsid w:val="00E34D1B"/>
    <w:pPr>
      <w:jc w:val="both"/>
    </w:pPr>
  </w:style>
  <w:style w:type="paragraph" w:customStyle="1" w:styleId="TableHead">
    <w:name w:val="Table Head"/>
    <w:basedOn w:val="TableText"/>
    <w:rsid w:val="00E34D1B"/>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E34D1B"/>
    <w:pPr>
      <w:outlineLvl w:val="9"/>
    </w:pPr>
  </w:style>
  <w:style w:type="paragraph" w:customStyle="1" w:styleId="Hesber">
    <w:name w:val="Hesber"/>
    <w:basedOn w:val="a"/>
    <w:rsid w:val="00E34D1B"/>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E34D1B"/>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E34D1B"/>
    <w:rPr>
      <w:vertAlign w:val="superscript"/>
    </w:rPr>
  </w:style>
  <w:style w:type="paragraph" w:customStyle="1" w:styleId="HesberHeading">
    <w:name w:val="Hesber Heading"/>
    <w:basedOn w:val="Hesber"/>
    <w:rsid w:val="00E34D1B"/>
    <w:pPr>
      <w:tabs>
        <w:tab w:val="left" w:pos="624"/>
        <w:tab w:val="left" w:pos="1247"/>
      </w:tabs>
    </w:pPr>
    <w:rPr>
      <w:b/>
      <w:bCs/>
    </w:rPr>
  </w:style>
  <w:style w:type="paragraph" w:customStyle="1" w:styleId="HesberWriters">
    <w:name w:val="Hesber Writers"/>
    <w:basedOn w:val="Hesber"/>
    <w:rsid w:val="00E34D1B"/>
    <w:pPr>
      <w:spacing w:before="120" w:after="120"/>
      <w:ind w:left="1418"/>
      <w:jc w:val="right"/>
    </w:pPr>
    <w:rPr>
      <w:b/>
      <w:bCs/>
    </w:rPr>
  </w:style>
  <w:style w:type="paragraph" w:customStyle="1" w:styleId="Hesber1st">
    <w:name w:val="Hesber 1st"/>
    <w:basedOn w:val="Hesber"/>
    <w:rsid w:val="00E34D1B"/>
    <w:pPr>
      <w:tabs>
        <w:tab w:val="left" w:pos="680"/>
        <w:tab w:val="left" w:pos="1020"/>
      </w:tabs>
      <w:ind w:firstLine="0"/>
    </w:pPr>
  </w:style>
  <w:style w:type="character" w:styleId="a6">
    <w:name w:val="endnote reference"/>
    <w:basedOn w:val="a0"/>
    <w:semiHidden/>
    <w:rsid w:val="00E34D1B"/>
    <w:rPr>
      <w:vertAlign w:val="superscript"/>
    </w:rPr>
  </w:style>
  <w:style w:type="paragraph" w:customStyle="1" w:styleId="TableBlockOutdent">
    <w:name w:val="Table BlockOutdent"/>
    <w:basedOn w:val="TableBlock"/>
    <w:rsid w:val="00E34D1B"/>
    <w:pPr>
      <w:ind w:left="624" w:hanging="624"/>
    </w:pPr>
  </w:style>
  <w:style w:type="paragraph" w:styleId="a7">
    <w:name w:val="header"/>
    <w:basedOn w:val="a"/>
    <w:rsid w:val="00E34D1B"/>
    <w:pPr>
      <w:tabs>
        <w:tab w:val="center" w:pos="4153"/>
        <w:tab w:val="right" w:pos="8306"/>
      </w:tabs>
    </w:pPr>
  </w:style>
  <w:style w:type="paragraph" w:styleId="a8">
    <w:name w:val="footer"/>
    <w:basedOn w:val="a"/>
    <w:rsid w:val="00E34D1B"/>
    <w:pPr>
      <w:tabs>
        <w:tab w:val="center" w:pos="4153"/>
        <w:tab w:val="right" w:pos="8306"/>
      </w:tabs>
    </w:pPr>
  </w:style>
  <w:style w:type="paragraph" w:customStyle="1" w:styleId="HeadDivreiHesber">
    <w:name w:val="Head DivreiHesber"/>
    <w:basedOn w:val="a"/>
    <w:rsid w:val="00E34D1B"/>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E34D1B"/>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E34D1B"/>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E34D1B"/>
    <w:rPr>
      <w:rFonts w:asciiTheme="majorHAnsi" w:eastAsiaTheme="majorEastAsia" w:hAnsiTheme="majorHAnsi" w:cs="David"/>
      <w:bCs/>
      <w:sz w:val="32"/>
      <w:szCs w:val="36"/>
    </w:rPr>
  </w:style>
  <w:style w:type="character" w:customStyle="1" w:styleId="20">
    <w:name w:val="כותרת 2 תו"/>
    <w:basedOn w:val="a0"/>
    <w:link w:val="2"/>
    <w:rsid w:val="00E34D1B"/>
    <w:rPr>
      <w:rFonts w:asciiTheme="majorHAnsi" w:eastAsiaTheme="majorEastAsia" w:hAnsiTheme="majorHAnsi" w:cs="David"/>
      <w:bCs/>
      <w:sz w:val="26"/>
      <w:szCs w:val="36"/>
      <w:u w:val="single"/>
    </w:rPr>
  </w:style>
  <w:style w:type="character" w:customStyle="1" w:styleId="30">
    <w:name w:val="כותרת 3 תו"/>
    <w:basedOn w:val="a0"/>
    <w:link w:val="3"/>
    <w:rsid w:val="00E34D1B"/>
    <w:rPr>
      <w:rFonts w:asciiTheme="majorHAnsi" w:eastAsiaTheme="majorEastAsia" w:hAnsiTheme="majorHAnsi" w:cs="David"/>
      <w:sz w:val="24"/>
      <w:szCs w:val="28"/>
      <w:u w:val="double"/>
    </w:rPr>
  </w:style>
  <w:style w:type="character" w:customStyle="1" w:styleId="40">
    <w:name w:val="כותרת 4 תו"/>
    <w:basedOn w:val="a0"/>
    <w:link w:val="4"/>
    <w:uiPriority w:val="9"/>
    <w:rsid w:val="00E34D1B"/>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E34D1B"/>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E34D1B"/>
    <w:pPr>
      <w:widowControl/>
      <w:spacing w:before="120" w:after="120"/>
      <w:outlineLvl w:val="9"/>
    </w:pPr>
    <w:rPr>
      <w:rtl/>
      <w:cs/>
    </w:rPr>
  </w:style>
  <w:style w:type="paragraph" w:styleId="TOC1">
    <w:name w:val="toc 1"/>
    <w:basedOn w:val="a"/>
    <w:next w:val="a"/>
    <w:autoRedefine/>
    <w:uiPriority w:val="39"/>
    <w:unhideWhenUsed/>
    <w:rsid w:val="00E34D1B"/>
    <w:pPr>
      <w:tabs>
        <w:tab w:val="right" w:leader="dot" w:pos="9629"/>
      </w:tabs>
      <w:spacing w:after="100"/>
    </w:pPr>
    <w:rPr>
      <w:bCs/>
      <w:szCs w:val="22"/>
    </w:rPr>
  </w:style>
  <w:style w:type="paragraph" w:styleId="TOC2">
    <w:name w:val="toc 2"/>
    <w:basedOn w:val="a"/>
    <w:next w:val="a"/>
    <w:uiPriority w:val="39"/>
    <w:unhideWhenUsed/>
    <w:rsid w:val="00E34D1B"/>
    <w:pPr>
      <w:tabs>
        <w:tab w:val="right" w:leader="dot" w:pos="9628"/>
      </w:tabs>
      <w:spacing w:after="100"/>
    </w:pPr>
    <w:rPr>
      <w:szCs w:val="22"/>
    </w:rPr>
  </w:style>
  <w:style w:type="character" w:styleId="Hyperlink">
    <w:name w:val="Hyperlink"/>
    <w:basedOn w:val="a0"/>
    <w:uiPriority w:val="99"/>
    <w:unhideWhenUsed/>
    <w:rsid w:val="00E34D1B"/>
    <w:rPr>
      <w:color w:val="0000FF" w:themeColor="hyperlink"/>
      <w:u w:val="single"/>
    </w:rPr>
  </w:style>
  <w:style w:type="paragraph" w:styleId="TOC3">
    <w:name w:val="toc 3"/>
    <w:basedOn w:val="a"/>
    <w:next w:val="a"/>
    <w:uiPriority w:val="39"/>
    <w:unhideWhenUsed/>
    <w:rsid w:val="00E34D1B"/>
    <w:pPr>
      <w:numPr>
        <w:numId w:val="24"/>
      </w:numPr>
      <w:tabs>
        <w:tab w:val="right" w:leader="dot" w:pos="9629"/>
      </w:tabs>
      <w:spacing w:after="100"/>
      <w:ind w:left="811" w:hanging="357"/>
    </w:pPr>
    <w:rPr>
      <w:szCs w:val="22"/>
    </w:rPr>
  </w:style>
  <w:style w:type="paragraph" w:styleId="TOC4">
    <w:name w:val="toc 4"/>
    <w:basedOn w:val="a"/>
    <w:next w:val="a"/>
    <w:autoRedefine/>
    <w:unhideWhenUsed/>
    <w:qFormat/>
    <w:rsid w:val="00E34D1B"/>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E34D1B"/>
    <w:pPr>
      <w:tabs>
        <w:tab w:val="right" w:leader="dot" w:pos="9628"/>
      </w:tabs>
      <w:spacing w:after="100"/>
      <w:ind w:left="567"/>
    </w:pPr>
    <w:rPr>
      <w:szCs w:val="22"/>
    </w:rPr>
  </w:style>
  <w:style w:type="paragraph" w:styleId="TOC6">
    <w:name w:val="toc 6"/>
    <w:basedOn w:val="a"/>
    <w:next w:val="a"/>
    <w:autoRedefine/>
    <w:semiHidden/>
    <w:unhideWhenUsed/>
    <w:rsid w:val="00E34D1B"/>
    <w:pPr>
      <w:spacing w:after="100"/>
      <w:ind w:left="850"/>
    </w:pPr>
  </w:style>
  <w:style w:type="paragraph" w:styleId="TOC7">
    <w:name w:val="toc 7"/>
    <w:basedOn w:val="a"/>
    <w:next w:val="a"/>
    <w:autoRedefine/>
    <w:semiHidden/>
    <w:unhideWhenUsed/>
    <w:rsid w:val="00E34D1B"/>
    <w:pPr>
      <w:spacing w:after="100"/>
      <w:ind w:left="1020"/>
    </w:pPr>
  </w:style>
  <w:style w:type="paragraph" w:styleId="TOC8">
    <w:name w:val="toc 8"/>
    <w:basedOn w:val="a"/>
    <w:next w:val="a"/>
    <w:autoRedefine/>
    <w:semiHidden/>
    <w:unhideWhenUsed/>
    <w:rsid w:val="00E34D1B"/>
    <w:pPr>
      <w:spacing w:after="100"/>
      <w:ind w:left="1190"/>
    </w:pPr>
  </w:style>
  <w:style w:type="paragraph" w:styleId="TOC9">
    <w:name w:val="toc 9"/>
    <w:basedOn w:val="a"/>
    <w:next w:val="a"/>
    <w:autoRedefine/>
    <w:semiHidden/>
    <w:unhideWhenUsed/>
    <w:rsid w:val="00E34D1B"/>
    <w:pPr>
      <w:spacing w:after="100"/>
      <w:ind w:left="1360"/>
    </w:pPr>
  </w:style>
  <w:style w:type="paragraph" w:customStyle="1" w:styleId="TableHead2">
    <w:name w:val="Table Head2"/>
    <w:basedOn w:val="TableHead"/>
    <w:qFormat/>
    <w:rsid w:val="00E34D1B"/>
    <w:pPr>
      <w:outlineLvl w:val="9"/>
    </w:pPr>
  </w:style>
  <w:style w:type="paragraph" w:customStyle="1" w:styleId="TableSideHeading2">
    <w:name w:val="Table SideHeading2"/>
    <w:basedOn w:val="TableSideHeading"/>
    <w:autoRedefine/>
    <w:qFormat/>
    <w:rsid w:val="00E34D1B"/>
    <w:pPr>
      <w:keepLines w:val="0"/>
      <w:outlineLvl w:val="9"/>
    </w:pPr>
  </w:style>
  <w:style w:type="paragraph" w:customStyle="1" w:styleId="0">
    <w:name w:val="סגנון שורה ראשונה:  0  ס''מ"/>
    <w:basedOn w:val="2"/>
    <w:rsid w:val="00E34D1B"/>
    <w:rPr>
      <w:rFonts w:eastAsia="Times New Roman"/>
    </w:rPr>
  </w:style>
  <w:style w:type="paragraph" w:styleId="ae">
    <w:name w:val="List Paragraph"/>
    <w:basedOn w:val="a"/>
    <w:uiPriority w:val="34"/>
    <w:qFormat/>
    <w:rsid w:val="00E34D1B"/>
    <w:pPr>
      <w:widowControl/>
      <w:spacing w:line="259" w:lineRule="auto"/>
    </w:pPr>
    <w:rPr>
      <w:rFonts w:asciiTheme="minorHAnsi" w:hAnsiTheme="minorHAnsi"/>
      <w:sz w:val="22"/>
    </w:rPr>
  </w:style>
  <w:style w:type="table" w:styleId="af">
    <w:name w:val="Table Grid"/>
    <w:basedOn w:val="a1"/>
    <w:rsid w:val="00E34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E34D1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E34D1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E34D1B"/>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E34D1B"/>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919670">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F0365-BE1F-4970-ACAF-E510A45CD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192D95A-6292-4811-A422-6DF55C3A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Pages>
  <Words>385</Words>
  <Characters>2198</Characters>
  <Application>Microsoft Office Word</Application>
  <DocSecurity>0</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29</cp:revision>
  <cp:lastPrinted>2013-07-04T08:25:00Z</cp:lastPrinted>
  <dcterms:created xsi:type="dcterms:W3CDTF">2015-04-20T09:58:00Z</dcterms:created>
  <dcterms:modified xsi:type="dcterms:W3CDTF">2019-11-12T12:01:00Z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2081439</vt:r8>
  </property>
</Properties>
</file>