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2081430</w:t>
      </w:r>
      <w:bookmarkEnd w:id="0"/>
    </w:p>
    <w:p w14:paraId="7F6961A2" w14:textId="1A162F81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bookmarkStart w:id="1" w:name="LGS_Knesset_Num"/>
      <w:r>
        <w:rPr>
          <w:rFonts w:hint="cs"/>
          <w:sz w:val="28"/>
          <w:szCs w:val="28"/>
          <w:rtl/>
        </w:rPr>
        <w:t>הכנסת 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16B1C9E0" w:rsidR="00E13C27" w:rsidRPr="00CF1AA2" w:rsidRDefault="008F6665" w:rsidP="00B8770C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מיכאל </w:t>
      </w:r>
      <w:proofErr w:type="spellStart"/>
      <w:r>
        <w:rPr>
          <w:rFonts w:hint="cs"/>
          <w:b/>
          <w:bCs/>
          <w:rtl/>
        </w:rPr>
        <w:t>מלכיאלי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54881A95" w:rsidR="00E13C27" w:rsidRDefault="00904591" w:rsidP="00B8770C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פ/608/22</w:t>
      </w:r>
      <w:bookmarkEnd w:id="6"/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הביטוח הלאומי (תיקון – דמי אבטלה למתמחים),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F25B10" w:rsidRPr="00C34DE2" w14:paraId="1C324AD8" w14:textId="77777777" w:rsidTr="00332059">
        <w:trPr>
          <w:cantSplit/>
          <w:trHeight w:val="60"/>
        </w:trPr>
        <w:tc>
          <w:tcPr>
            <w:tcW w:w="1871" w:type="dxa"/>
          </w:tcPr>
          <w:p w14:paraId="30A50FB3" w14:textId="77777777" w:rsidR="00F25B10" w:rsidRDefault="00F25B10" w:rsidP="00332059">
            <w:pPr>
              <w:pStyle w:val="TableSideHeading"/>
              <w:keepLines w:val="0"/>
            </w:pPr>
            <w:r>
              <w:rPr>
                <w:rFonts w:ascii="David" w:hAnsi="David" w:hint="cs"/>
                <w:sz w:val="26"/>
                <w:rtl/>
              </w:rPr>
              <w:t>תיקון סעיף 163</w:t>
            </w:r>
          </w:p>
        </w:tc>
        <w:tc>
          <w:tcPr>
            <w:tcW w:w="624" w:type="dxa"/>
          </w:tcPr>
          <w:p w14:paraId="475811B4" w14:textId="77777777" w:rsidR="00F25B10" w:rsidRDefault="00F25B10" w:rsidP="00332059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8AC11C4" w14:textId="5AAD4A22" w:rsidR="00F25B10" w:rsidRPr="00C34DE2" w:rsidRDefault="00F25B10" w:rsidP="00332059">
            <w:pPr>
              <w:pStyle w:val="TableBlock"/>
            </w:pPr>
            <w:r>
              <w:rPr>
                <w:rtl/>
              </w:rPr>
              <w:t xml:space="preserve">בחוק הביטוח הלאומי [נוסח משולב], </w:t>
            </w:r>
            <w:proofErr w:type="spellStart"/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תשנ"ה</w:t>
            </w:r>
            <w:proofErr w:type="spellEnd"/>
            <w:r>
              <w:rPr>
                <w:rFonts w:hint="cs"/>
                <w:rtl/>
              </w:rPr>
              <w:t>–</w:t>
            </w:r>
            <w:r>
              <w:rPr>
                <w:rtl/>
              </w:rPr>
              <w:t>1995</w:t>
            </w:r>
            <w:r w:rsidR="00AD266C"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בסעיף 163</w:t>
            </w:r>
            <w:r>
              <w:rPr>
                <w:rFonts w:hint="cs"/>
                <w:rtl/>
              </w:rPr>
              <w:t xml:space="preserve">, סעיף קטן </w:t>
            </w:r>
            <w:r>
              <w:rPr>
                <w:rtl/>
              </w:rPr>
              <w:t>(ד)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בטל. </w:t>
            </w:r>
          </w:p>
        </w:tc>
      </w:tr>
    </w:tbl>
    <w:p w14:paraId="7F6961CA" w14:textId="77777777" w:rsidR="002D1EE3" w:rsidRPr="00707E59" w:rsidRDefault="002D1EE3" w:rsidP="00707E59">
      <w:pPr>
        <w:pStyle w:val="HeadDivreiHesber"/>
        <w:rPr>
          <w:rtl/>
        </w:rPr>
      </w:pPr>
      <w:r w:rsidRPr="00707E59">
        <w:rPr>
          <w:rFonts w:hint="cs"/>
          <w:rtl/>
        </w:rPr>
        <w:t>דברי הסבר</w:t>
      </w:r>
    </w:p>
    <w:p w14:paraId="40EB9341" w14:textId="77777777" w:rsidR="00F25B10" w:rsidRPr="00AD266C" w:rsidRDefault="00F25B10" w:rsidP="00B8770C">
      <w:pPr>
        <w:pStyle w:val="Hesber"/>
        <w:spacing w:line="240" w:lineRule="auto"/>
        <w:rPr>
          <w:rtl/>
        </w:rPr>
      </w:pPr>
      <w:r w:rsidRPr="00AD266C">
        <w:rPr>
          <w:rFonts w:hint="eastAsia"/>
          <w:rtl/>
        </w:rPr>
        <w:t>בפרק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ז</w:t>
      </w:r>
      <w:r w:rsidRPr="00AD266C">
        <w:rPr>
          <w:rtl/>
        </w:rPr>
        <w:t xml:space="preserve">' </w:t>
      </w:r>
      <w:r w:rsidRPr="00AD266C">
        <w:rPr>
          <w:rFonts w:hint="eastAsia"/>
          <w:rtl/>
        </w:rPr>
        <w:t>לחוק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הביטוח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הלאומי</w:t>
      </w:r>
      <w:r w:rsidRPr="00AD266C">
        <w:rPr>
          <w:rtl/>
        </w:rPr>
        <w:t xml:space="preserve"> [נוסח </w:t>
      </w:r>
      <w:r w:rsidRPr="00AD266C">
        <w:rPr>
          <w:rFonts w:hint="eastAsia"/>
          <w:rtl/>
        </w:rPr>
        <w:t>משולב</w:t>
      </w:r>
      <w:r w:rsidRPr="00AD266C">
        <w:rPr>
          <w:rtl/>
        </w:rPr>
        <w:t xml:space="preserve">], </w:t>
      </w:r>
      <w:proofErr w:type="spellStart"/>
      <w:r w:rsidRPr="00AD266C">
        <w:rPr>
          <w:rFonts w:hint="eastAsia"/>
          <w:rtl/>
        </w:rPr>
        <w:t>התשנ</w:t>
      </w:r>
      <w:proofErr w:type="spellEnd"/>
      <w:r w:rsidRPr="00AD266C">
        <w:rPr>
          <w:rtl/>
        </w:rPr>
        <w:t xml:space="preserve">''ה–1995 (להלן </w:t>
      </w:r>
      <w:r w:rsidRPr="00AD266C">
        <w:rPr>
          <w:rFonts w:hint="eastAsia"/>
          <w:rtl/>
        </w:rPr>
        <w:t>–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החוק</w:t>
      </w:r>
      <w:r w:rsidRPr="00AD266C">
        <w:rPr>
          <w:rtl/>
        </w:rPr>
        <w:t xml:space="preserve">), </w:t>
      </w:r>
      <w:r w:rsidRPr="00AD266C">
        <w:rPr>
          <w:rFonts w:hint="eastAsia"/>
          <w:rtl/>
        </w:rPr>
        <w:t>נקבע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כי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מבוטח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שהוא</w:t>
      </w:r>
      <w:r w:rsidRPr="00AD266C">
        <w:rPr>
          <w:rtl/>
        </w:rPr>
        <w:t xml:space="preserve"> מובטל, והשלים תקופת אכשרה, יהיה זכאי לדמי אבטלה בכפוף לתנאים לפי החוק. </w:t>
      </w:r>
      <w:r w:rsidRPr="00AD266C">
        <w:rPr>
          <w:rFonts w:hint="eastAsia"/>
          <w:rtl/>
        </w:rPr>
        <w:t>תשלום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דמי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אבטלה</w:t>
      </w:r>
      <w:r w:rsidRPr="00AD266C">
        <w:rPr>
          <w:rtl/>
        </w:rPr>
        <w:t xml:space="preserve"> מהווה רשת ביטחון סוציאלית </w:t>
      </w:r>
      <w:r w:rsidRPr="00AD266C">
        <w:rPr>
          <w:rFonts w:hint="eastAsia"/>
          <w:rtl/>
        </w:rPr>
        <w:t>ב</w:t>
      </w:r>
      <w:r w:rsidRPr="00AD266C">
        <w:rPr>
          <w:rtl/>
        </w:rPr>
        <w:t xml:space="preserve">תקופת </w:t>
      </w:r>
      <w:r w:rsidRPr="00AD266C">
        <w:rPr>
          <w:rFonts w:hint="eastAsia"/>
          <w:rtl/>
        </w:rPr>
        <w:t>הזמן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שמבוטח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הוא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מובטל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ואינו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עובד</w:t>
      </w:r>
      <w:r w:rsidRPr="00AD266C">
        <w:rPr>
          <w:rtl/>
        </w:rPr>
        <w:t>.</w:t>
      </w:r>
    </w:p>
    <w:p w14:paraId="287D019A" w14:textId="77777777" w:rsidR="00F25B10" w:rsidRPr="00AD266C" w:rsidRDefault="00F25B10" w:rsidP="00B8770C">
      <w:pPr>
        <w:pStyle w:val="Hesber"/>
        <w:spacing w:line="240" w:lineRule="auto"/>
        <w:rPr>
          <w:rtl/>
        </w:rPr>
      </w:pPr>
      <w:r w:rsidRPr="00AD266C">
        <w:rPr>
          <w:rtl/>
        </w:rPr>
        <w:t xml:space="preserve">בשנת 2009, </w:t>
      </w:r>
      <w:r w:rsidRPr="00AD266C">
        <w:rPr>
          <w:rFonts w:hint="eastAsia"/>
          <w:rtl/>
        </w:rPr>
        <w:t>בתיקון</w:t>
      </w:r>
      <w:r w:rsidRPr="00AD266C">
        <w:rPr>
          <w:rtl/>
        </w:rPr>
        <w:t xml:space="preserve"> 114 לחוק, נקבע כי אדם שנבחן בבחינה לפי חוק לשכת עורכי הדין, </w:t>
      </w:r>
      <w:proofErr w:type="spellStart"/>
      <w:r w:rsidRPr="00AD266C">
        <w:rPr>
          <w:rtl/>
        </w:rPr>
        <w:t>התשכ</w:t>
      </w:r>
      <w:proofErr w:type="spellEnd"/>
      <w:r w:rsidRPr="00AD266C">
        <w:rPr>
          <w:rtl/>
        </w:rPr>
        <w:t xml:space="preserve">''א–1961, או שנבחן בבחינה בחשבונאות לפי חוק רואי חשבון, </w:t>
      </w:r>
      <w:proofErr w:type="spellStart"/>
      <w:r w:rsidRPr="00AD266C">
        <w:rPr>
          <w:rtl/>
        </w:rPr>
        <w:t>התשט</w:t>
      </w:r>
      <w:proofErr w:type="spellEnd"/>
      <w:r w:rsidRPr="00AD266C">
        <w:rPr>
          <w:rtl/>
        </w:rPr>
        <w:t xml:space="preserve">''ו–1955, לא יראו אותו כמובטל בחודשיים הקודמים לבחינה, ולכן הוא אינו זכאי לדמי אבטלה. התיקון לחוק נבע מתוך הבנה </w:t>
      </w:r>
      <w:r w:rsidRPr="00AD266C">
        <w:rPr>
          <w:rFonts w:hint="eastAsia"/>
          <w:rtl/>
        </w:rPr>
        <w:t>שנבחנים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בבחינות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אלה</w:t>
      </w:r>
      <w:r w:rsidRPr="00AD266C">
        <w:rPr>
          <w:rtl/>
        </w:rPr>
        <w:t xml:space="preserve"> אינם מחפשים עבודה במהלך תקופה זו, אלא מתכוננים לבחינ</w:t>
      </w:r>
      <w:r w:rsidRPr="00AD266C">
        <w:rPr>
          <w:rFonts w:hint="eastAsia"/>
          <w:rtl/>
        </w:rPr>
        <w:t>ה</w:t>
      </w:r>
      <w:r w:rsidRPr="00AD266C">
        <w:rPr>
          <w:rtl/>
        </w:rPr>
        <w:t xml:space="preserve">, למרות שהם נרשמים כדורשי עבודה בשירות התעסוקה. </w:t>
      </w:r>
    </w:p>
    <w:p w14:paraId="5EB33461" w14:textId="77777777" w:rsidR="00F25B10" w:rsidRPr="00AD266C" w:rsidRDefault="00F25B10" w:rsidP="00B8770C">
      <w:pPr>
        <w:pStyle w:val="Hesber"/>
        <w:spacing w:line="240" w:lineRule="auto"/>
        <w:rPr>
          <w:rtl/>
        </w:rPr>
      </w:pPr>
      <w:r w:rsidRPr="00AD266C">
        <w:rPr>
          <w:rFonts w:hint="eastAsia"/>
          <w:rtl/>
        </w:rPr>
        <w:t>נוסף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על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כך</w:t>
      </w:r>
      <w:r w:rsidRPr="00AD266C">
        <w:rPr>
          <w:rtl/>
        </w:rPr>
        <w:t xml:space="preserve">, </w:t>
      </w:r>
      <w:r w:rsidRPr="00AD266C">
        <w:rPr>
          <w:rFonts w:hint="eastAsia"/>
          <w:rtl/>
        </w:rPr>
        <w:t>הנבחנים</w:t>
      </w:r>
      <w:r w:rsidRPr="00AD266C">
        <w:rPr>
          <w:rtl/>
        </w:rPr>
        <w:t xml:space="preserve"> בבחינות אלה אינם זכאים לקבלת פיצויי פיטורי</w:t>
      </w:r>
      <w:r w:rsidRPr="00AD266C">
        <w:rPr>
          <w:rFonts w:hint="eastAsia"/>
          <w:rtl/>
        </w:rPr>
        <w:t>ם</w:t>
      </w:r>
      <w:r w:rsidRPr="00AD266C">
        <w:rPr>
          <w:rtl/>
        </w:rPr>
        <w:t xml:space="preserve"> בשל סיום התמחותם. מתמחים אל</w:t>
      </w:r>
      <w:r w:rsidRPr="00AD266C">
        <w:rPr>
          <w:rFonts w:hint="eastAsia"/>
          <w:rtl/>
        </w:rPr>
        <w:t>ה</w:t>
      </w:r>
      <w:r w:rsidRPr="00AD266C">
        <w:rPr>
          <w:rtl/>
        </w:rPr>
        <w:t xml:space="preserve"> משלמים </w:t>
      </w:r>
      <w:r w:rsidRPr="00AD266C">
        <w:rPr>
          <w:rFonts w:hint="eastAsia"/>
          <w:rtl/>
        </w:rPr>
        <w:t>דמי</w:t>
      </w:r>
      <w:r w:rsidRPr="00AD266C">
        <w:rPr>
          <w:rtl/>
        </w:rPr>
        <w:t xml:space="preserve"> ביטוח לאומי </w:t>
      </w:r>
      <w:r w:rsidRPr="00AD266C">
        <w:rPr>
          <w:rFonts w:hint="eastAsia"/>
          <w:rtl/>
        </w:rPr>
        <w:t>במשך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שנים</w:t>
      </w:r>
      <w:r w:rsidRPr="00AD266C">
        <w:rPr>
          <w:rtl/>
        </w:rPr>
        <w:t xml:space="preserve">, </w:t>
      </w:r>
      <w:r w:rsidRPr="00AD266C">
        <w:rPr>
          <w:rFonts w:hint="eastAsia"/>
          <w:rtl/>
        </w:rPr>
        <w:t>ולכן</w:t>
      </w:r>
      <w:r w:rsidRPr="00AD266C">
        <w:rPr>
          <w:rtl/>
        </w:rPr>
        <w:t xml:space="preserve"> הם צריכים להיות זכאים לדמי אבטלה ככל עובד, עם סיום יחסי העבודה עקב סיום תקופת ההתמחות. </w:t>
      </w:r>
    </w:p>
    <w:p w14:paraId="1BED595D" w14:textId="77777777" w:rsidR="00F25B10" w:rsidRPr="00AD266C" w:rsidRDefault="00F25B10" w:rsidP="00B8770C">
      <w:pPr>
        <w:pStyle w:val="Hesber"/>
        <w:spacing w:line="240" w:lineRule="auto"/>
        <w:rPr>
          <w:rtl/>
        </w:rPr>
      </w:pPr>
      <w:r w:rsidRPr="00AD266C">
        <w:rPr>
          <w:rFonts w:hint="eastAsia"/>
          <w:rtl/>
        </w:rPr>
        <w:t>בעוד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ש</w:t>
      </w:r>
      <w:r w:rsidRPr="00AD266C">
        <w:rPr>
          <w:rtl/>
        </w:rPr>
        <w:t xml:space="preserve">המדיניות המוצהרת </w:t>
      </w:r>
      <w:r w:rsidRPr="00AD266C">
        <w:rPr>
          <w:rFonts w:hint="eastAsia"/>
          <w:rtl/>
        </w:rPr>
        <w:t>של</w:t>
      </w:r>
      <w:r w:rsidRPr="00AD266C">
        <w:rPr>
          <w:rtl/>
        </w:rPr>
        <w:t xml:space="preserve"> ממשלת ישראל הי</w:t>
      </w:r>
      <w:r w:rsidRPr="00AD266C">
        <w:rPr>
          <w:rFonts w:hint="eastAsia"/>
          <w:rtl/>
        </w:rPr>
        <w:t>א</w:t>
      </w:r>
      <w:r w:rsidRPr="00AD266C">
        <w:rPr>
          <w:rtl/>
        </w:rPr>
        <w:t xml:space="preserve"> חיזוק ההשכלה הגבוהה בישראל והשכבות החלשות, תיקון </w:t>
      </w:r>
      <w:r w:rsidRPr="00AD266C">
        <w:rPr>
          <w:rFonts w:hint="eastAsia"/>
          <w:rtl/>
        </w:rPr>
        <w:t>מס</w:t>
      </w:r>
      <w:r w:rsidRPr="00AD266C">
        <w:rPr>
          <w:rtl/>
        </w:rPr>
        <w:t xml:space="preserve">' 114 </w:t>
      </w:r>
      <w:r w:rsidRPr="00AD266C">
        <w:rPr>
          <w:rFonts w:hint="eastAsia"/>
          <w:rtl/>
        </w:rPr>
        <w:t>לחוק</w:t>
      </w:r>
      <w:r w:rsidRPr="00AD266C">
        <w:rPr>
          <w:rtl/>
        </w:rPr>
        <w:t xml:space="preserve"> י</w:t>
      </w:r>
      <w:r w:rsidRPr="00AD266C">
        <w:rPr>
          <w:rFonts w:hint="eastAsia"/>
          <w:rtl/>
        </w:rPr>
        <w:t>ו</w:t>
      </w:r>
      <w:r w:rsidRPr="00AD266C">
        <w:rPr>
          <w:rtl/>
        </w:rPr>
        <w:t xml:space="preserve">צר פערים. כמו כן, אין הצדקה להבחין בין נבחנים לבחינות הלשכה האמורות ובין נבחנים במקצועות אחרים שעבודתם הסתיימה. הבחנה זו מפלה נבחנים שאינם יכולים </w:t>
      </w:r>
      <w:r w:rsidRPr="00AD266C">
        <w:rPr>
          <w:rFonts w:hint="eastAsia"/>
          <w:rtl/>
        </w:rPr>
        <w:t>להיעזר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בהוריהם</w:t>
      </w:r>
      <w:r w:rsidRPr="00AD266C">
        <w:rPr>
          <w:rtl/>
        </w:rPr>
        <w:t>.</w:t>
      </w:r>
    </w:p>
    <w:p w14:paraId="7B89FC61" w14:textId="1F71CEBB" w:rsidR="00F25B10" w:rsidRPr="00AD266C" w:rsidRDefault="00F25B10" w:rsidP="00B8770C">
      <w:pPr>
        <w:pStyle w:val="Hesber"/>
        <w:spacing w:line="240" w:lineRule="auto"/>
        <w:rPr>
          <w:rtl/>
        </w:rPr>
      </w:pPr>
      <w:r w:rsidRPr="00AD266C">
        <w:rPr>
          <w:rFonts w:hint="eastAsia"/>
          <w:rtl/>
        </w:rPr>
        <w:t>יודגש</w:t>
      </w:r>
      <w:r w:rsidRPr="00AD266C">
        <w:rPr>
          <w:rtl/>
        </w:rPr>
        <w:t xml:space="preserve">, כי רבים </w:t>
      </w:r>
      <w:r w:rsidR="00707E59">
        <w:rPr>
          <w:rFonts w:hint="cs"/>
          <w:rtl/>
        </w:rPr>
        <w:t>מהנבחנים</w:t>
      </w:r>
      <w:r w:rsidRPr="00AD266C">
        <w:rPr>
          <w:rtl/>
        </w:rPr>
        <w:t xml:space="preserve"> הם בעלי משפחות שאין באפשרותם לעבור חודשיים אלו ללא הכנסה, אך לא תמיד מתאפשר להם לעבוד במקביל ללמידה לבחינות ההסמכה. לפיכך, מוצע </w:t>
      </w:r>
      <w:r w:rsidRPr="00AD266C">
        <w:rPr>
          <w:rFonts w:hint="eastAsia"/>
          <w:rtl/>
        </w:rPr>
        <w:t>לבטל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את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ההוראה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המגבילה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את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זכאותם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לדמי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אבטלה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של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נבחנים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בבחינות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במשפטים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ובחשבונאות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הלומדים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למבחני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הלשכות</w:t>
      </w:r>
      <w:r w:rsidRPr="00AD266C">
        <w:rPr>
          <w:rtl/>
        </w:rPr>
        <w:t xml:space="preserve"> האמורות, </w:t>
      </w:r>
      <w:r w:rsidRPr="00AD266C">
        <w:rPr>
          <w:rFonts w:hint="eastAsia"/>
          <w:rtl/>
        </w:rPr>
        <w:t>וכך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יהיו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זכאים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בדומה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לנבחנים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ב</w:t>
      </w:r>
      <w:r w:rsidRPr="00AD266C">
        <w:rPr>
          <w:rtl/>
        </w:rPr>
        <w:t xml:space="preserve">בחינות ההסמכה במקצועות </w:t>
      </w:r>
      <w:r w:rsidRPr="00AD266C">
        <w:rPr>
          <w:rFonts w:hint="eastAsia"/>
          <w:rtl/>
        </w:rPr>
        <w:t>אחרים</w:t>
      </w:r>
      <w:r w:rsidRPr="00AD266C">
        <w:rPr>
          <w:rtl/>
        </w:rPr>
        <w:t>, כגון אחיות, שמאים, יועצי השקעות ו</w:t>
      </w:r>
      <w:r w:rsidRPr="00AD266C">
        <w:rPr>
          <w:rFonts w:hint="eastAsia"/>
          <w:rtl/>
        </w:rPr>
        <w:t>כדומה</w:t>
      </w:r>
      <w:r w:rsidRPr="00AD266C">
        <w:rPr>
          <w:rtl/>
        </w:rPr>
        <w:t xml:space="preserve">. </w:t>
      </w:r>
    </w:p>
    <w:p w14:paraId="5169BD54" w14:textId="61320089" w:rsidR="00AD266C" w:rsidRDefault="00AD266C" w:rsidP="00B8770C">
      <w:pPr>
        <w:pStyle w:val="Hesber"/>
        <w:spacing w:line="240" w:lineRule="auto"/>
        <w:rPr>
          <w:rtl/>
        </w:rPr>
      </w:pPr>
      <w:r w:rsidRPr="00AD266C">
        <w:rPr>
          <w:rFonts w:hint="eastAsia"/>
          <w:rtl/>
        </w:rPr>
        <w:t>הצעות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חוק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זהות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הונחו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על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שולחן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הכנסת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העשרים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על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ידי</w:t>
      </w:r>
      <w:r w:rsidRPr="00AD266C">
        <w:rPr>
          <w:rtl/>
        </w:rPr>
        <w:t xml:space="preserve"> </w:t>
      </w:r>
      <w:r w:rsidRPr="00AD266C">
        <w:rPr>
          <w:rFonts w:hint="eastAsia"/>
          <w:rtl/>
        </w:rPr>
        <w:t>חברי</w:t>
      </w:r>
      <w:r w:rsidRPr="00AD266C">
        <w:rPr>
          <w:rtl/>
        </w:rPr>
        <w:t xml:space="preserve"> הכנסת </w:t>
      </w:r>
      <w:r w:rsidRPr="00AD266C">
        <w:rPr>
          <w:rFonts w:hint="eastAsia"/>
          <w:rtl/>
        </w:rPr>
        <w:t>מיכאל</w:t>
      </w:r>
      <w:r w:rsidRPr="00AD266C">
        <w:rPr>
          <w:rtl/>
        </w:rPr>
        <w:t xml:space="preserve"> </w:t>
      </w:r>
      <w:proofErr w:type="spellStart"/>
      <w:r w:rsidRPr="00AD266C">
        <w:rPr>
          <w:rtl/>
        </w:rPr>
        <w:t>מלכיאלי</w:t>
      </w:r>
      <w:proofErr w:type="spellEnd"/>
      <w:r w:rsidRPr="00AD266C">
        <w:rPr>
          <w:rtl/>
        </w:rPr>
        <w:t xml:space="preserve"> וינון אזולאי </w:t>
      </w:r>
      <w:r w:rsidRPr="00AD266C">
        <w:rPr>
          <w:rtl/>
        </w:rPr>
        <w:lastRenderedPageBreak/>
        <w:t xml:space="preserve">(פ/5768/20) </w:t>
      </w:r>
      <w:r w:rsidRPr="00AD266C">
        <w:rPr>
          <w:rFonts w:hint="eastAsia"/>
          <w:rtl/>
        </w:rPr>
        <w:t>ועל</w:t>
      </w:r>
      <w:r w:rsidRPr="00AD266C">
        <w:rPr>
          <w:rtl/>
        </w:rPr>
        <w:t xml:space="preserve"> שולחן הכנסת העשרים ואחת על ידי חבר הכנסת מיכאל </w:t>
      </w:r>
      <w:proofErr w:type="spellStart"/>
      <w:r w:rsidRPr="00AD266C">
        <w:rPr>
          <w:rtl/>
        </w:rPr>
        <w:t>מלכיאלי</w:t>
      </w:r>
      <w:proofErr w:type="spellEnd"/>
      <w:r w:rsidRPr="00AD266C">
        <w:rPr>
          <w:rtl/>
        </w:rPr>
        <w:t xml:space="preserve"> וקבוצת חברי הכנסת (פ/485/21).</w:t>
      </w:r>
    </w:p>
    <w:p w14:paraId="0470A631" w14:textId="77777777" w:rsidR="00B8770C" w:rsidRDefault="00B8770C" w:rsidP="00B8770C">
      <w:pPr>
        <w:pStyle w:val="Hesber"/>
        <w:spacing w:line="240" w:lineRule="auto"/>
        <w:rPr>
          <w:rtl/>
        </w:rPr>
      </w:pPr>
    </w:p>
    <w:p w14:paraId="71C983DE" w14:textId="77777777" w:rsidR="00B8770C" w:rsidRPr="00D73212" w:rsidRDefault="00B8770C" w:rsidP="00B8770C">
      <w:pPr>
        <w:pStyle w:val="Hesber"/>
        <w:spacing w:line="240" w:lineRule="auto"/>
        <w:ind w:firstLine="0"/>
        <w:rPr>
          <w:color w:val="auto"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AD4BEC7" w14:textId="77777777" w:rsidR="00B8770C" w:rsidRPr="00D73212" w:rsidRDefault="00B8770C" w:rsidP="00B8770C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EA7BE1F" w14:textId="77777777" w:rsidR="00B8770C" w:rsidRPr="00D73212" w:rsidRDefault="00B8770C" w:rsidP="00B8770C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F6961CB" w14:textId="52165E5E" w:rsidR="00E13C27" w:rsidRDefault="00B8770C" w:rsidP="00B8770C">
      <w:pPr>
        <w:pStyle w:val="Hesber"/>
        <w:spacing w:line="240" w:lineRule="auto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>כ' בחשוון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>
        <w:rPr>
          <w:rFonts w:hint="cs"/>
          <w:color w:val="auto"/>
          <w:rtl/>
          <w:lang w:eastAsia="en-US"/>
        </w:rPr>
        <w:t>התש"ף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18.11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  <w:bookmarkStart w:id="8" w:name="_GoBack"/>
      <w:bookmarkEnd w:id="8"/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B8770C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501DE61" w14:textId="6C094934" w:rsidR="00AD266C" w:rsidRDefault="00AD266C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07E59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3A15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D266C"/>
    <w:rsid w:val="00B10265"/>
    <w:rsid w:val="00B16A99"/>
    <w:rsid w:val="00B21211"/>
    <w:rsid w:val="00B35784"/>
    <w:rsid w:val="00B733A7"/>
    <w:rsid w:val="00B75C91"/>
    <w:rsid w:val="00B8770C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25B10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AB78552-963C-4920-92D1-4CB252FF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A9D7E7-3E29-46A6-9A07-D46F97B47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C7C08D-8921-414D-B27D-830D215B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10</cp:revision>
  <cp:lastPrinted>2019-11-07T10:57:00Z</cp:lastPrinted>
  <dcterms:created xsi:type="dcterms:W3CDTF">2015-04-20T09:58:00Z</dcterms:created>
  <dcterms:modified xsi:type="dcterms:W3CDTF">2019-11-14T07:16:00Z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2081430</vt:r8>
  </property>
</Properties>
</file>