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2081423</w:t>
      </w:r>
      <w:bookmarkEnd w:id="0"/>
    </w:p>
    <w:p w14:paraId="7F6961A2" w14:textId="15C4A597"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A" w14:textId="039EBB97" w:rsidR="00E13C27" w:rsidRPr="00CF1AA2" w:rsidRDefault="008F6665" w:rsidP="00102B7C">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יעקב אשר</w:t>
      </w:r>
      <w:r>
        <w:br/>
      </w:r>
      <w:r>
        <w:rPr>
          <w:rFonts w:hint="cs"/>
          <w:b/>
          <w:bCs/>
          <w:rtl/>
        </w:rPr>
        <w:t xml:space="preserve"> </w:t>
      </w:r>
      <w:r>
        <w:tab/>
      </w:r>
      <w:r>
        <w:tab/>
      </w:r>
      <w:r>
        <w:tab/>
      </w:r>
      <w:r>
        <w:tab/>
      </w:r>
      <w:r>
        <w:rPr>
          <w:rFonts w:hint="cs"/>
          <w:b/>
          <w:bCs/>
          <w:rtl/>
        </w:rPr>
        <w:t>משה גפני</w:t>
      </w:r>
      <w:r>
        <w:br/>
      </w:r>
      <w:r>
        <w:rPr>
          <w:rFonts w:hint="cs"/>
          <w:b/>
          <w:bCs/>
          <w:rtl/>
        </w:rPr>
        <w:t xml:space="preserve"> </w:t>
      </w:r>
      <w:r>
        <w:tab/>
      </w:r>
      <w:r>
        <w:tab/>
      </w:r>
      <w:r>
        <w:tab/>
      </w:r>
      <w:r>
        <w:tab/>
      </w:r>
      <w:r>
        <w:rPr>
          <w:rFonts w:hint="cs"/>
          <w:b/>
          <w:bCs/>
          <w:rtl/>
        </w:rPr>
        <w:t>אורי מקלב</w:t>
      </w:r>
      <w:r>
        <w:br/>
      </w:r>
      <w:r>
        <w:rPr>
          <w:rFonts w:hint="cs"/>
          <w:b/>
          <w:bCs/>
          <w:rtl/>
        </w:rPr>
        <w:t xml:space="preserve"> </w:t>
      </w:r>
      <w:r>
        <w:tab/>
      </w:r>
      <w:r>
        <w:tab/>
      </w:r>
      <w:r>
        <w:tab/>
      </w:r>
      <w:r>
        <w:tab/>
      </w:r>
      <w:r>
        <w:rPr>
          <w:rFonts w:hint="cs"/>
          <w:b/>
          <w:bCs/>
          <w:rtl/>
        </w:rPr>
        <w:t xml:space="preserve">יעקב </w:t>
      </w:r>
      <w:proofErr w:type="spellStart"/>
      <w:r>
        <w:rPr>
          <w:rFonts w:hint="cs"/>
          <w:b/>
          <w:bCs/>
          <w:rtl/>
        </w:rPr>
        <w:t>טסלר</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1BF32245" w:rsidR="00904591" w:rsidRPr="00102B7C" w:rsidRDefault="00266D86" w:rsidP="0036422C">
      <w:pPr>
        <w:pStyle w:val="David"/>
        <w:spacing w:before="0" w:line="360" w:lineRule="auto"/>
        <w:ind w:left="3544"/>
        <w:rPr>
          <w:rFonts w:hint="cs"/>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r w:rsidR="00102B7C">
        <w:rPr>
          <w:rFonts w:hint="cs"/>
          <w:rtl/>
        </w:rPr>
        <w:t>פ/535/22</w:t>
      </w:r>
    </w:p>
    <w:p w14:paraId="597662E4" w14:textId="2E0BE5DB" w:rsidR="00102B7C" w:rsidRDefault="00A443CF" w:rsidP="00102B7C">
      <w:pPr>
        <w:pStyle w:val="HeadHatzaotHok"/>
        <w:rPr>
          <w:rtl/>
        </w:rPr>
      </w:pPr>
      <w:bookmarkStart w:id="6" w:name="LGS_Subject"/>
      <w:r>
        <w:rPr>
          <w:rFonts w:hint="cs"/>
          <w:rtl/>
        </w:rPr>
        <w:t xml:space="preserve">הצעת חוק לתיקון פקודת מס הכנסה (פטור ממס על משיכה הונית מקופת גמל), </w:t>
      </w:r>
      <w:proofErr w:type="spellStart"/>
      <w:r>
        <w:rPr>
          <w:rFonts w:hint="cs"/>
          <w:rtl/>
        </w:rPr>
        <w:t>התש"ף</w:t>
      </w:r>
      <w:proofErr w:type="spellEnd"/>
      <w:r>
        <w:rPr>
          <w:rFonts w:hint="cs"/>
          <w:rtl/>
        </w:rPr>
        <w:t>–2019</w:t>
      </w:r>
      <w:bookmarkEnd w:id="6"/>
    </w:p>
    <w:tbl>
      <w:tblPr>
        <w:bidiVisual/>
        <w:tblW w:w="9369" w:type="dxa"/>
        <w:tblLayout w:type="fixed"/>
        <w:tblCellMar>
          <w:top w:w="57" w:type="dxa"/>
          <w:left w:w="0" w:type="dxa"/>
          <w:bottom w:w="57" w:type="dxa"/>
          <w:right w:w="0" w:type="dxa"/>
        </w:tblCellMar>
        <w:tblLook w:val="01E0" w:firstRow="1" w:lastRow="1" w:firstColumn="1" w:lastColumn="1" w:noHBand="0" w:noVBand="0"/>
      </w:tblPr>
      <w:tblGrid>
        <w:gridCol w:w="1818"/>
        <w:gridCol w:w="606"/>
        <w:gridCol w:w="6945"/>
      </w:tblGrid>
      <w:tr w:rsidR="00107ABF" w:rsidRPr="008145F5" w14:paraId="521C3C3A" w14:textId="77777777" w:rsidTr="00107ABF">
        <w:trPr>
          <w:cantSplit/>
          <w:trHeight w:val="50"/>
        </w:trPr>
        <w:tc>
          <w:tcPr>
            <w:tcW w:w="1818" w:type="dxa"/>
          </w:tcPr>
          <w:p w14:paraId="65017501" w14:textId="77777777" w:rsidR="00107ABF" w:rsidRDefault="00107ABF" w:rsidP="002F62B3">
            <w:pPr>
              <w:pStyle w:val="TableSideHeading"/>
              <w:keepLines w:val="0"/>
            </w:pPr>
            <w:r>
              <w:rPr>
                <w:rFonts w:hint="cs"/>
                <w:rtl/>
              </w:rPr>
              <w:t>תיקון סעיף 9א</w:t>
            </w:r>
          </w:p>
        </w:tc>
        <w:tc>
          <w:tcPr>
            <w:tcW w:w="606" w:type="dxa"/>
          </w:tcPr>
          <w:p w14:paraId="03F29776" w14:textId="77777777" w:rsidR="00107ABF" w:rsidRDefault="00107ABF" w:rsidP="002F62B3">
            <w:pPr>
              <w:pStyle w:val="TableText"/>
            </w:pPr>
            <w:r>
              <w:rPr>
                <w:rFonts w:hint="cs"/>
                <w:rtl/>
              </w:rPr>
              <w:t>1.</w:t>
            </w:r>
          </w:p>
        </w:tc>
        <w:tc>
          <w:tcPr>
            <w:tcW w:w="6945" w:type="dxa"/>
          </w:tcPr>
          <w:p w14:paraId="0CA93328" w14:textId="77777777" w:rsidR="00107ABF" w:rsidRPr="008145F5" w:rsidRDefault="00107ABF" w:rsidP="002F62B3">
            <w:pPr>
              <w:widowControl/>
              <w:autoSpaceDE/>
              <w:autoSpaceDN/>
              <w:bidi w:val="0"/>
              <w:adjustRightInd/>
              <w:spacing w:before="0" w:line="240" w:lineRule="auto"/>
              <w:ind w:firstLine="0"/>
              <w:jc w:val="right"/>
              <w:textAlignment w:val="auto"/>
              <w:rPr>
                <w:rFonts w:ascii="Times New Roman" w:hAnsi="Times New Roman" w:cs="Times New Roman"/>
                <w:color w:val="auto"/>
                <w:sz w:val="24"/>
                <w:szCs w:val="24"/>
                <w:rtl/>
                <w:lang w:eastAsia="en-US"/>
              </w:rPr>
            </w:pPr>
            <w:r>
              <w:rPr>
                <w:rFonts w:ascii="Arial" w:eastAsia="Arial Unicode MS" w:hAnsi="Arial" w:cs="David" w:hint="cs"/>
                <w:spacing w:val="0"/>
                <w:sz w:val="26"/>
                <w:szCs w:val="26"/>
                <w:rtl/>
              </w:rPr>
              <w:t>בפקודת מס הכנסה</w:t>
            </w:r>
            <w:r>
              <w:rPr>
                <w:rFonts w:ascii="Arial" w:eastAsia="Arial Unicode MS" w:hAnsi="Arial" w:cs="David"/>
                <w:spacing w:val="0"/>
                <w:sz w:val="26"/>
                <w:szCs w:val="26"/>
                <w:vertAlign w:val="superscript"/>
                <w:rtl/>
              </w:rPr>
              <w:footnoteReference w:id="2"/>
            </w:r>
            <w:r>
              <w:rPr>
                <w:rFonts w:ascii="Arial" w:eastAsia="Arial Unicode MS" w:hAnsi="Arial" w:cs="David" w:hint="cs"/>
                <w:spacing w:val="0"/>
                <w:sz w:val="26"/>
                <w:szCs w:val="26"/>
                <w:rtl/>
              </w:rPr>
              <w:t>, בסעיף 9א, אחרי סעיף קטן (ז) יבוא:</w:t>
            </w:r>
            <w:r>
              <w:rPr>
                <w:rFonts w:ascii="Times New Roman" w:hAnsi="Times New Roman" w:cs="Times New Roman"/>
                <w:color w:val="auto"/>
                <w:spacing w:val="0"/>
                <w:sz w:val="24"/>
                <w:szCs w:val="24"/>
                <w:rtl/>
                <w:lang w:eastAsia="en-US"/>
              </w:rPr>
              <w:t xml:space="preserve"> </w:t>
            </w:r>
          </w:p>
        </w:tc>
      </w:tr>
      <w:tr w:rsidR="00107ABF" w14:paraId="7292D432" w14:textId="77777777" w:rsidTr="00107ABF">
        <w:trPr>
          <w:cantSplit/>
          <w:trHeight w:val="50"/>
        </w:trPr>
        <w:tc>
          <w:tcPr>
            <w:tcW w:w="1818" w:type="dxa"/>
          </w:tcPr>
          <w:p w14:paraId="203F6DD7" w14:textId="77777777" w:rsidR="00107ABF" w:rsidRDefault="00107ABF" w:rsidP="002F62B3">
            <w:pPr>
              <w:pStyle w:val="TableSideHeading"/>
              <w:keepLines w:val="0"/>
              <w:rPr>
                <w:rtl/>
              </w:rPr>
            </w:pPr>
          </w:p>
        </w:tc>
        <w:tc>
          <w:tcPr>
            <w:tcW w:w="606" w:type="dxa"/>
          </w:tcPr>
          <w:p w14:paraId="3C6592BE" w14:textId="77777777" w:rsidR="00107ABF" w:rsidRDefault="00107ABF" w:rsidP="002F62B3">
            <w:pPr>
              <w:pStyle w:val="TableText"/>
            </w:pPr>
          </w:p>
        </w:tc>
        <w:tc>
          <w:tcPr>
            <w:tcW w:w="6945" w:type="dxa"/>
          </w:tcPr>
          <w:p w14:paraId="1FBB615C" w14:textId="77777777" w:rsidR="00107ABF" w:rsidRDefault="00107ABF" w:rsidP="002F62B3">
            <w:pPr>
              <w:pStyle w:val="TableBlock"/>
              <w:keepLines w:val="0"/>
              <w:rPr>
                <w:rtl/>
              </w:rPr>
            </w:pPr>
            <w:r>
              <w:rPr>
                <w:rFonts w:hint="cs"/>
                <w:rtl/>
              </w:rPr>
              <w:t>"(ח)</w:t>
            </w:r>
            <w:r>
              <w:rPr>
                <w:rtl/>
              </w:rPr>
              <w:tab/>
            </w:r>
            <w:r>
              <w:rPr>
                <w:rFonts w:hint="cs"/>
                <w:sz w:val="26"/>
                <w:rtl/>
              </w:rPr>
              <w:t>על אף האמור בכל דין או הסכם, סכומים שמשך עמית שהגיע לגיל פרישה מקופת גמל, לרבות ריבית, הפרשי הצמדה ורווחים אחרים שנצברו בקופה יהיו פטורים ממס, ובלבד שהסכום שנצבר בקופת הגמל אינו עולה על 100,000 שקלים חדשים."</w:t>
            </w:r>
            <w:r>
              <w:rPr>
                <w:rFonts w:hint="cs"/>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57CABFFC" w14:textId="77777777" w:rsidR="00107ABF" w:rsidRPr="00AC7C52" w:rsidRDefault="00107ABF" w:rsidP="00130591">
      <w:pPr>
        <w:pStyle w:val="Hesber"/>
        <w:rPr>
          <w:rtl/>
        </w:rPr>
      </w:pPr>
      <w:r w:rsidRPr="00AC7C52">
        <w:rPr>
          <w:rFonts w:hint="eastAsia"/>
          <w:rtl/>
        </w:rPr>
        <w:t>אנשים</w:t>
      </w:r>
      <w:r w:rsidRPr="00AC7C52">
        <w:rPr>
          <w:rtl/>
        </w:rPr>
        <w:t xml:space="preserve"> </w:t>
      </w:r>
      <w:r w:rsidRPr="00AC7C52">
        <w:rPr>
          <w:rFonts w:hint="eastAsia"/>
          <w:rtl/>
        </w:rPr>
        <w:t>שהגיעו</w:t>
      </w:r>
      <w:r w:rsidRPr="00AC7C52">
        <w:rPr>
          <w:rtl/>
        </w:rPr>
        <w:t xml:space="preserve"> </w:t>
      </w:r>
      <w:r w:rsidRPr="00AC7C52">
        <w:rPr>
          <w:rFonts w:hint="eastAsia"/>
          <w:rtl/>
        </w:rPr>
        <w:t>לגיל</w:t>
      </w:r>
      <w:r w:rsidRPr="00AC7C52">
        <w:rPr>
          <w:rtl/>
        </w:rPr>
        <w:t xml:space="preserve"> </w:t>
      </w:r>
      <w:r w:rsidRPr="00AC7C52">
        <w:rPr>
          <w:rFonts w:hint="eastAsia"/>
          <w:rtl/>
        </w:rPr>
        <w:t>פרישה</w:t>
      </w:r>
      <w:r w:rsidRPr="00AC7C52">
        <w:rPr>
          <w:rtl/>
        </w:rPr>
        <w:t xml:space="preserve"> </w:t>
      </w:r>
      <w:r w:rsidRPr="00AC7C52">
        <w:rPr>
          <w:rFonts w:hint="eastAsia"/>
          <w:rtl/>
        </w:rPr>
        <w:t>וחיים</w:t>
      </w:r>
      <w:r w:rsidRPr="00AC7C52">
        <w:rPr>
          <w:rtl/>
        </w:rPr>
        <w:t xml:space="preserve"> </w:t>
      </w:r>
      <w:r w:rsidRPr="00AC7C52">
        <w:rPr>
          <w:rFonts w:hint="eastAsia"/>
          <w:rtl/>
        </w:rPr>
        <w:t>מקצבה</w:t>
      </w:r>
      <w:r w:rsidRPr="00AC7C52">
        <w:rPr>
          <w:rtl/>
        </w:rPr>
        <w:t xml:space="preserve"> </w:t>
      </w:r>
      <w:r w:rsidRPr="00AC7C52">
        <w:rPr>
          <w:rFonts w:hint="eastAsia"/>
          <w:rtl/>
        </w:rPr>
        <w:t>שנתית</w:t>
      </w:r>
      <w:r w:rsidRPr="00AC7C52">
        <w:rPr>
          <w:rtl/>
        </w:rPr>
        <w:t xml:space="preserve">, </w:t>
      </w:r>
      <w:r w:rsidRPr="00AC7C52">
        <w:rPr>
          <w:rFonts w:hint="eastAsia"/>
          <w:rtl/>
        </w:rPr>
        <w:t>מחויבים</w:t>
      </w:r>
      <w:r w:rsidRPr="00AC7C52">
        <w:rPr>
          <w:rtl/>
        </w:rPr>
        <w:t xml:space="preserve"> </w:t>
      </w:r>
      <w:r w:rsidRPr="00AC7C52">
        <w:rPr>
          <w:rFonts w:hint="eastAsia"/>
          <w:rtl/>
        </w:rPr>
        <w:t>כיום</w:t>
      </w:r>
      <w:r w:rsidRPr="00AC7C52">
        <w:rPr>
          <w:rtl/>
        </w:rPr>
        <w:t xml:space="preserve"> </w:t>
      </w:r>
      <w:r w:rsidRPr="00AC7C52">
        <w:rPr>
          <w:rFonts w:hint="eastAsia"/>
          <w:rtl/>
        </w:rPr>
        <w:t>במס</w:t>
      </w:r>
      <w:r w:rsidRPr="00AC7C52">
        <w:rPr>
          <w:rtl/>
        </w:rPr>
        <w:t xml:space="preserve"> </w:t>
      </w:r>
      <w:r w:rsidRPr="00AC7C52">
        <w:rPr>
          <w:rFonts w:hint="eastAsia"/>
          <w:rtl/>
        </w:rPr>
        <w:t>הכנסה</w:t>
      </w:r>
      <w:r w:rsidRPr="00AC7C52">
        <w:rPr>
          <w:rtl/>
        </w:rPr>
        <w:t xml:space="preserve"> </w:t>
      </w:r>
      <w:r w:rsidRPr="00AC7C52">
        <w:rPr>
          <w:rFonts w:hint="eastAsia"/>
          <w:rtl/>
        </w:rPr>
        <w:t>אם</w:t>
      </w:r>
      <w:r w:rsidRPr="00AC7C52">
        <w:rPr>
          <w:rtl/>
        </w:rPr>
        <w:t xml:space="preserve"> </w:t>
      </w:r>
      <w:r w:rsidRPr="00AC7C52">
        <w:rPr>
          <w:rFonts w:hint="eastAsia"/>
          <w:rtl/>
        </w:rPr>
        <w:t>הם</w:t>
      </w:r>
      <w:r w:rsidRPr="00AC7C52">
        <w:rPr>
          <w:rtl/>
        </w:rPr>
        <w:t xml:space="preserve"> </w:t>
      </w:r>
      <w:r w:rsidRPr="00AC7C52">
        <w:rPr>
          <w:rFonts w:hint="eastAsia"/>
          <w:rtl/>
        </w:rPr>
        <w:t>מבצעים</w:t>
      </w:r>
      <w:r w:rsidRPr="00AC7C52">
        <w:rPr>
          <w:rtl/>
        </w:rPr>
        <w:t xml:space="preserve"> </w:t>
      </w:r>
      <w:r w:rsidRPr="00AC7C52">
        <w:rPr>
          <w:rFonts w:hint="eastAsia"/>
          <w:rtl/>
        </w:rPr>
        <w:t>משיכה</w:t>
      </w:r>
      <w:r w:rsidRPr="00AC7C52">
        <w:rPr>
          <w:rtl/>
        </w:rPr>
        <w:t xml:space="preserve"> </w:t>
      </w:r>
      <w:r w:rsidRPr="00AC7C52">
        <w:rPr>
          <w:rFonts w:hint="eastAsia"/>
          <w:rtl/>
        </w:rPr>
        <w:t>הונית</w:t>
      </w:r>
      <w:r w:rsidRPr="00AC7C52">
        <w:rPr>
          <w:rtl/>
        </w:rPr>
        <w:t xml:space="preserve"> </w:t>
      </w:r>
      <w:r w:rsidRPr="00AC7C52">
        <w:rPr>
          <w:rFonts w:hint="eastAsia"/>
          <w:rtl/>
        </w:rPr>
        <w:t>של</w:t>
      </w:r>
      <w:r w:rsidRPr="00AC7C52">
        <w:rPr>
          <w:rtl/>
        </w:rPr>
        <w:t xml:space="preserve"> </w:t>
      </w:r>
      <w:r w:rsidRPr="00AC7C52">
        <w:rPr>
          <w:rFonts w:hint="eastAsia"/>
          <w:rtl/>
        </w:rPr>
        <w:t>כספים</w:t>
      </w:r>
      <w:r w:rsidRPr="00AC7C52">
        <w:rPr>
          <w:rtl/>
        </w:rPr>
        <w:t xml:space="preserve"> </w:t>
      </w:r>
      <w:r w:rsidRPr="00AC7C52">
        <w:rPr>
          <w:rFonts w:hint="eastAsia"/>
          <w:rtl/>
        </w:rPr>
        <w:t>הצבורים</w:t>
      </w:r>
      <w:r w:rsidRPr="00AC7C52">
        <w:rPr>
          <w:rtl/>
        </w:rPr>
        <w:t xml:space="preserve"> </w:t>
      </w:r>
      <w:r w:rsidRPr="00AC7C52">
        <w:rPr>
          <w:rFonts w:hint="eastAsia"/>
          <w:rtl/>
        </w:rPr>
        <w:t>בקופת</w:t>
      </w:r>
      <w:r w:rsidRPr="00AC7C52">
        <w:rPr>
          <w:rtl/>
        </w:rPr>
        <w:t xml:space="preserve"> </w:t>
      </w:r>
      <w:r w:rsidRPr="00AC7C52">
        <w:rPr>
          <w:rFonts w:hint="eastAsia"/>
          <w:rtl/>
        </w:rPr>
        <w:t>גמל</w:t>
      </w:r>
      <w:r w:rsidRPr="00AC7C52">
        <w:rPr>
          <w:rtl/>
        </w:rPr>
        <w:t xml:space="preserve">. </w:t>
      </w:r>
      <w:r w:rsidRPr="00AC7C52">
        <w:rPr>
          <w:rFonts w:hint="eastAsia"/>
          <w:rtl/>
        </w:rPr>
        <w:t>אנשים</w:t>
      </w:r>
      <w:r w:rsidRPr="00AC7C52">
        <w:rPr>
          <w:rtl/>
        </w:rPr>
        <w:t xml:space="preserve"> </w:t>
      </w:r>
      <w:r w:rsidRPr="00AC7C52">
        <w:rPr>
          <w:rFonts w:hint="eastAsia"/>
          <w:rtl/>
        </w:rPr>
        <w:t>אלו</w:t>
      </w:r>
      <w:r w:rsidRPr="00AC7C52">
        <w:rPr>
          <w:rtl/>
        </w:rPr>
        <w:t xml:space="preserve"> </w:t>
      </w:r>
      <w:r w:rsidRPr="00AC7C52">
        <w:rPr>
          <w:rFonts w:hint="eastAsia"/>
          <w:rtl/>
        </w:rPr>
        <w:t>לרוב</w:t>
      </w:r>
      <w:r w:rsidRPr="00AC7C52">
        <w:rPr>
          <w:rtl/>
        </w:rPr>
        <w:t xml:space="preserve"> </w:t>
      </w:r>
      <w:r w:rsidRPr="00AC7C52">
        <w:rPr>
          <w:rFonts w:hint="eastAsia"/>
          <w:rtl/>
        </w:rPr>
        <w:t>אינם</w:t>
      </w:r>
      <w:r w:rsidRPr="00AC7C52">
        <w:rPr>
          <w:rtl/>
        </w:rPr>
        <w:t xml:space="preserve"> </w:t>
      </w:r>
      <w:r w:rsidRPr="00AC7C52">
        <w:rPr>
          <w:rFonts w:hint="eastAsia"/>
          <w:rtl/>
        </w:rPr>
        <w:t>עובדים</w:t>
      </w:r>
      <w:r w:rsidRPr="00AC7C52">
        <w:rPr>
          <w:rtl/>
        </w:rPr>
        <w:t xml:space="preserve">, </w:t>
      </w:r>
      <w:r w:rsidRPr="00AC7C52">
        <w:rPr>
          <w:rFonts w:hint="eastAsia"/>
          <w:rtl/>
        </w:rPr>
        <w:t>ומקורות</w:t>
      </w:r>
      <w:r w:rsidRPr="00AC7C52">
        <w:rPr>
          <w:rtl/>
        </w:rPr>
        <w:t xml:space="preserve"> </w:t>
      </w:r>
      <w:r w:rsidRPr="00AC7C52">
        <w:rPr>
          <w:rFonts w:hint="eastAsia"/>
          <w:rtl/>
        </w:rPr>
        <w:t>הכנסתם</w:t>
      </w:r>
      <w:r w:rsidRPr="00AC7C52">
        <w:rPr>
          <w:rtl/>
        </w:rPr>
        <w:t xml:space="preserve"> </w:t>
      </w:r>
      <w:r w:rsidRPr="00AC7C52">
        <w:rPr>
          <w:rFonts w:hint="eastAsia"/>
          <w:rtl/>
        </w:rPr>
        <w:t>לא</w:t>
      </w:r>
      <w:r w:rsidRPr="00AC7C52">
        <w:rPr>
          <w:rtl/>
        </w:rPr>
        <w:t xml:space="preserve"> </w:t>
      </w:r>
      <w:r w:rsidRPr="00AC7C52">
        <w:rPr>
          <w:rFonts w:hint="eastAsia"/>
          <w:rtl/>
        </w:rPr>
        <w:t>גדולה</w:t>
      </w:r>
      <w:r w:rsidRPr="00AC7C52">
        <w:rPr>
          <w:rtl/>
        </w:rPr>
        <w:t xml:space="preserve"> </w:t>
      </w:r>
      <w:r w:rsidRPr="00AC7C52">
        <w:rPr>
          <w:rFonts w:hint="eastAsia"/>
          <w:rtl/>
        </w:rPr>
        <w:t>והם</w:t>
      </w:r>
      <w:r w:rsidRPr="00AC7C52">
        <w:rPr>
          <w:rtl/>
        </w:rPr>
        <w:t xml:space="preserve"> </w:t>
      </w:r>
      <w:r w:rsidRPr="00AC7C52">
        <w:rPr>
          <w:rFonts w:hint="eastAsia"/>
          <w:rtl/>
        </w:rPr>
        <w:t>עדיין</w:t>
      </w:r>
      <w:r w:rsidRPr="00AC7C52">
        <w:rPr>
          <w:rtl/>
        </w:rPr>
        <w:t xml:space="preserve"> </w:t>
      </w:r>
      <w:r w:rsidRPr="00AC7C52">
        <w:rPr>
          <w:rFonts w:hint="eastAsia"/>
          <w:rtl/>
        </w:rPr>
        <w:t>נושאים</w:t>
      </w:r>
      <w:r w:rsidRPr="00AC7C52">
        <w:rPr>
          <w:rtl/>
        </w:rPr>
        <w:t xml:space="preserve"> </w:t>
      </w:r>
      <w:r w:rsidRPr="00AC7C52">
        <w:rPr>
          <w:rFonts w:hint="eastAsia"/>
          <w:rtl/>
        </w:rPr>
        <w:t>בנטל</w:t>
      </w:r>
      <w:r w:rsidRPr="00AC7C52">
        <w:rPr>
          <w:rtl/>
        </w:rPr>
        <w:t xml:space="preserve"> </w:t>
      </w:r>
      <w:r w:rsidRPr="00AC7C52">
        <w:rPr>
          <w:rFonts w:hint="eastAsia"/>
          <w:rtl/>
        </w:rPr>
        <w:t>הוצאות</w:t>
      </w:r>
      <w:r w:rsidRPr="00AC7C52">
        <w:rPr>
          <w:rtl/>
        </w:rPr>
        <w:t xml:space="preserve"> </w:t>
      </w:r>
      <w:r w:rsidRPr="00AC7C52">
        <w:rPr>
          <w:rFonts w:hint="eastAsia"/>
          <w:rtl/>
        </w:rPr>
        <w:t>קבועות</w:t>
      </w:r>
      <w:r w:rsidRPr="00AC7C52">
        <w:rPr>
          <w:rtl/>
        </w:rPr>
        <w:t xml:space="preserve"> </w:t>
      </w:r>
      <w:r w:rsidRPr="00AC7C52">
        <w:rPr>
          <w:rFonts w:hint="eastAsia"/>
          <w:rtl/>
        </w:rPr>
        <w:t>שעליהם</w:t>
      </w:r>
      <w:r w:rsidRPr="00AC7C52">
        <w:rPr>
          <w:rtl/>
        </w:rPr>
        <w:t xml:space="preserve"> </w:t>
      </w:r>
      <w:r w:rsidRPr="00AC7C52">
        <w:rPr>
          <w:rFonts w:hint="eastAsia"/>
          <w:rtl/>
        </w:rPr>
        <w:t>לשלם</w:t>
      </w:r>
      <w:r w:rsidRPr="00AC7C52">
        <w:rPr>
          <w:rtl/>
        </w:rPr>
        <w:t xml:space="preserve"> </w:t>
      </w:r>
      <w:r w:rsidRPr="00AC7C52">
        <w:rPr>
          <w:rFonts w:hint="eastAsia"/>
          <w:rtl/>
        </w:rPr>
        <w:t>כדי</w:t>
      </w:r>
      <w:r w:rsidRPr="00AC7C52">
        <w:rPr>
          <w:rtl/>
        </w:rPr>
        <w:t xml:space="preserve"> </w:t>
      </w:r>
      <w:r w:rsidRPr="00AC7C52">
        <w:rPr>
          <w:rFonts w:hint="eastAsia"/>
          <w:rtl/>
        </w:rPr>
        <w:t>להתקיים</w:t>
      </w:r>
      <w:r w:rsidRPr="00AC7C52">
        <w:rPr>
          <w:rtl/>
        </w:rPr>
        <w:t xml:space="preserve"> </w:t>
      </w:r>
      <w:r w:rsidRPr="00AC7C52">
        <w:rPr>
          <w:rFonts w:hint="eastAsia"/>
          <w:rtl/>
        </w:rPr>
        <w:t>בכבוד</w:t>
      </w:r>
      <w:r w:rsidRPr="00AC7C52">
        <w:rPr>
          <w:rtl/>
        </w:rPr>
        <w:t>.</w:t>
      </w:r>
    </w:p>
    <w:p w14:paraId="1834160C" w14:textId="77777777" w:rsidR="00107ABF" w:rsidRPr="00AC7C52" w:rsidRDefault="00107ABF" w:rsidP="00130591">
      <w:pPr>
        <w:pStyle w:val="Hesber"/>
        <w:rPr>
          <w:rtl/>
        </w:rPr>
      </w:pPr>
      <w:r w:rsidRPr="00AC7C52">
        <w:rPr>
          <w:rtl/>
        </w:rPr>
        <w:t xml:space="preserve"> בהצעת חוק זו מוצע לאפשר לעמית שהגיע לגיל פרישה ובקופת הגמל שלו נצבר סכום של עד </w:t>
      </w:r>
      <w:r w:rsidRPr="00AC7C52">
        <w:rPr>
          <w:rtl/>
        </w:rPr>
        <w:br/>
        <w:t xml:space="preserve">100,000 </w:t>
      </w:r>
      <w:r w:rsidRPr="00AC7C52">
        <w:rPr>
          <w:rFonts w:hint="eastAsia"/>
          <w:rtl/>
        </w:rPr>
        <w:t>שקלים</w:t>
      </w:r>
      <w:r w:rsidRPr="00AC7C52">
        <w:rPr>
          <w:rtl/>
        </w:rPr>
        <w:t xml:space="preserve"> </w:t>
      </w:r>
      <w:r w:rsidRPr="00AC7C52">
        <w:rPr>
          <w:rFonts w:hint="eastAsia"/>
          <w:rtl/>
        </w:rPr>
        <w:t>חדשים</w:t>
      </w:r>
      <w:r w:rsidRPr="00AC7C52">
        <w:rPr>
          <w:rtl/>
        </w:rPr>
        <w:t xml:space="preserve">, </w:t>
      </w:r>
      <w:r w:rsidRPr="00AC7C52">
        <w:rPr>
          <w:rFonts w:hint="eastAsia"/>
          <w:rtl/>
        </w:rPr>
        <w:t>למשוך</w:t>
      </w:r>
      <w:r w:rsidRPr="00AC7C52">
        <w:rPr>
          <w:rtl/>
        </w:rPr>
        <w:t xml:space="preserve"> </w:t>
      </w:r>
      <w:r w:rsidRPr="00AC7C52">
        <w:rPr>
          <w:rFonts w:hint="eastAsia"/>
          <w:rtl/>
        </w:rPr>
        <w:t>את</w:t>
      </w:r>
      <w:r w:rsidRPr="00AC7C52">
        <w:rPr>
          <w:rtl/>
        </w:rPr>
        <w:t xml:space="preserve"> </w:t>
      </w:r>
      <w:r w:rsidRPr="00AC7C52">
        <w:rPr>
          <w:rFonts w:hint="eastAsia"/>
          <w:rtl/>
        </w:rPr>
        <w:t>מלוא</w:t>
      </w:r>
      <w:r w:rsidRPr="00AC7C52">
        <w:rPr>
          <w:rtl/>
        </w:rPr>
        <w:t xml:space="preserve"> </w:t>
      </w:r>
      <w:r w:rsidRPr="00AC7C52">
        <w:rPr>
          <w:rFonts w:hint="eastAsia"/>
          <w:rtl/>
        </w:rPr>
        <w:t>הסכום</w:t>
      </w:r>
      <w:r w:rsidRPr="00AC7C52">
        <w:rPr>
          <w:rtl/>
        </w:rPr>
        <w:t xml:space="preserve"> </w:t>
      </w:r>
      <w:r w:rsidRPr="00AC7C52">
        <w:rPr>
          <w:rFonts w:hint="eastAsia"/>
          <w:rtl/>
        </w:rPr>
        <w:t>בפטור</w:t>
      </w:r>
      <w:r w:rsidRPr="00AC7C52">
        <w:rPr>
          <w:rtl/>
        </w:rPr>
        <w:t xml:space="preserve"> </w:t>
      </w:r>
      <w:r w:rsidRPr="00AC7C52">
        <w:rPr>
          <w:rFonts w:hint="eastAsia"/>
          <w:rtl/>
        </w:rPr>
        <w:t>ממס</w:t>
      </w:r>
      <w:r w:rsidRPr="00AC7C52">
        <w:rPr>
          <w:rtl/>
        </w:rPr>
        <w:t xml:space="preserve"> </w:t>
      </w:r>
      <w:r w:rsidRPr="00AC7C52">
        <w:rPr>
          <w:rFonts w:hint="eastAsia"/>
          <w:rtl/>
        </w:rPr>
        <w:t>נוכח</w:t>
      </w:r>
      <w:r w:rsidRPr="00AC7C52">
        <w:rPr>
          <w:rtl/>
        </w:rPr>
        <w:t xml:space="preserve"> </w:t>
      </w:r>
      <w:r w:rsidRPr="00AC7C52">
        <w:rPr>
          <w:rFonts w:hint="eastAsia"/>
          <w:rtl/>
        </w:rPr>
        <w:t>העובדה</w:t>
      </w:r>
      <w:r w:rsidRPr="00AC7C52">
        <w:rPr>
          <w:rtl/>
        </w:rPr>
        <w:t xml:space="preserve"> </w:t>
      </w:r>
      <w:r w:rsidRPr="00AC7C52">
        <w:rPr>
          <w:rFonts w:hint="eastAsia"/>
          <w:rtl/>
        </w:rPr>
        <w:t>שהקצבה</w:t>
      </w:r>
      <w:r w:rsidRPr="00AC7C52">
        <w:rPr>
          <w:rtl/>
        </w:rPr>
        <w:t xml:space="preserve"> </w:t>
      </w:r>
      <w:r w:rsidRPr="00AC7C52">
        <w:rPr>
          <w:rFonts w:hint="eastAsia"/>
          <w:rtl/>
        </w:rPr>
        <w:t>שתשתלם</w:t>
      </w:r>
      <w:r w:rsidRPr="00AC7C52">
        <w:rPr>
          <w:rtl/>
        </w:rPr>
        <w:t xml:space="preserve"> </w:t>
      </w:r>
      <w:r w:rsidRPr="00AC7C52">
        <w:rPr>
          <w:rFonts w:hint="eastAsia"/>
          <w:rtl/>
        </w:rPr>
        <w:t>לעמית</w:t>
      </w:r>
      <w:r w:rsidRPr="00AC7C52">
        <w:rPr>
          <w:rtl/>
        </w:rPr>
        <w:t xml:space="preserve"> </w:t>
      </w:r>
      <w:r w:rsidRPr="00AC7C52">
        <w:rPr>
          <w:rFonts w:hint="eastAsia"/>
          <w:rtl/>
        </w:rPr>
        <w:t>כאמור</w:t>
      </w:r>
      <w:r w:rsidRPr="00AC7C52">
        <w:rPr>
          <w:rtl/>
        </w:rPr>
        <w:t xml:space="preserve"> </w:t>
      </w:r>
      <w:r w:rsidRPr="00AC7C52">
        <w:rPr>
          <w:rFonts w:hint="eastAsia"/>
          <w:rtl/>
        </w:rPr>
        <w:t>תהיה</w:t>
      </w:r>
      <w:r w:rsidRPr="00AC7C52">
        <w:rPr>
          <w:rtl/>
        </w:rPr>
        <w:t xml:space="preserve"> </w:t>
      </w:r>
      <w:r w:rsidRPr="00AC7C52">
        <w:rPr>
          <w:rFonts w:hint="eastAsia"/>
          <w:rtl/>
        </w:rPr>
        <w:t>זעומה</w:t>
      </w:r>
      <w:r w:rsidRPr="00AC7C52">
        <w:rPr>
          <w:rtl/>
        </w:rPr>
        <w:t xml:space="preserve"> </w:t>
      </w:r>
      <w:r w:rsidRPr="00AC7C52">
        <w:rPr>
          <w:rFonts w:hint="eastAsia"/>
          <w:rtl/>
        </w:rPr>
        <w:t>לאורך</w:t>
      </w:r>
      <w:r w:rsidRPr="00AC7C52">
        <w:rPr>
          <w:rtl/>
        </w:rPr>
        <w:t xml:space="preserve"> </w:t>
      </w:r>
      <w:r w:rsidRPr="00AC7C52">
        <w:rPr>
          <w:rFonts w:hint="eastAsia"/>
          <w:rtl/>
        </w:rPr>
        <w:t>זמן</w:t>
      </w:r>
      <w:r w:rsidRPr="00AC7C52">
        <w:rPr>
          <w:rtl/>
        </w:rPr>
        <w:t xml:space="preserve"> </w:t>
      </w:r>
      <w:r w:rsidRPr="00AC7C52">
        <w:rPr>
          <w:rFonts w:hint="eastAsia"/>
          <w:rtl/>
        </w:rPr>
        <w:t>אילו</w:t>
      </w:r>
      <w:r w:rsidRPr="00AC7C52">
        <w:rPr>
          <w:rtl/>
        </w:rPr>
        <w:t xml:space="preserve"> </w:t>
      </w:r>
      <w:r w:rsidRPr="00AC7C52">
        <w:rPr>
          <w:rFonts w:hint="eastAsia"/>
          <w:rtl/>
        </w:rPr>
        <w:t>תשתלם</w:t>
      </w:r>
      <w:r w:rsidRPr="00AC7C52">
        <w:rPr>
          <w:rtl/>
        </w:rPr>
        <w:t xml:space="preserve"> </w:t>
      </w:r>
      <w:r w:rsidRPr="00AC7C52">
        <w:rPr>
          <w:rFonts w:hint="eastAsia"/>
          <w:rtl/>
        </w:rPr>
        <w:t>כקצבה</w:t>
      </w:r>
      <w:r w:rsidRPr="00AC7C52">
        <w:rPr>
          <w:rtl/>
        </w:rPr>
        <w:t>.</w:t>
      </w:r>
    </w:p>
    <w:p w14:paraId="213E7944" w14:textId="0C6506DA" w:rsidR="00107ABF" w:rsidRDefault="00107ABF" w:rsidP="00130591">
      <w:pPr>
        <w:pStyle w:val="Hesber"/>
        <w:rPr>
          <w:rtl/>
        </w:rPr>
      </w:pPr>
      <w:r w:rsidRPr="00AC7C52">
        <w:rPr>
          <w:rFonts w:hint="eastAsia"/>
          <w:rtl/>
        </w:rPr>
        <w:t>הצע</w:t>
      </w:r>
      <w:r w:rsidR="00AC7C52" w:rsidRPr="00AC7C52">
        <w:rPr>
          <w:rFonts w:hint="eastAsia"/>
          <w:rtl/>
        </w:rPr>
        <w:t>ו</w:t>
      </w:r>
      <w:r w:rsidRPr="00AC7C52">
        <w:rPr>
          <w:rFonts w:hint="eastAsia"/>
          <w:rtl/>
        </w:rPr>
        <w:t>ת</w:t>
      </w:r>
      <w:r w:rsidRPr="00AC7C52">
        <w:rPr>
          <w:rtl/>
        </w:rPr>
        <w:t xml:space="preserve"> </w:t>
      </w:r>
      <w:r w:rsidRPr="00AC7C52">
        <w:rPr>
          <w:rFonts w:hint="eastAsia"/>
          <w:rtl/>
        </w:rPr>
        <w:t>חוק</w:t>
      </w:r>
      <w:r w:rsidRPr="00AC7C52">
        <w:rPr>
          <w:rtl/>
        </w:rPr>
        <w:t xml:space="preserve"> </w:t>
      </w:r>
      <w:r w:rsidRPr="00AC7C52">
        <w:rPr>
          <w:rFonts w:hint="eastAsia"/>
          <w:rtl/>
        </w:rPr>
        <w:t>זה</w:t>
      </w:r>
      <w:r w:rsidR="00AC7C52" w:rsidRPr="00AC7C52">
        <w:rPr>
          <w:rFonts w:hint="eastAsia"/>
          <w:rtl/>
        </w:rPr>
        <w:t>ות</w:t>
      </w:r>
      <w:r w:rsidRPr="00AC7C52">
        <w:rPr>
          <w:rtl/>
        </w:rPr>
        <w:t xml:space="preserve"> הונח</w:t>
      </w:r>
      <w:r w:rsidR="00AC7C52" w:rsidRPr="00AC7C52">
        <w:rPr>
          <w:rFonts w:hint="eastAsia"/>
          <w:rtl/>
        </w:rPr>
        <w:t>ו</w:t>
      </w:r>
      <w:r w:rsidRPr="00AC7C52">
        <w:rPr>
          <w:rtl/>
        </w:rPr>
        <w:t xml:space="preserve"> על שולחן הכנסת העשרים על ידי חברת הכנסת סופה לנדבר וקבוצת חברי הכנסת (פ/2106/20), ועל שולחן הכנסת העשרים ואחת על ידי חבר הכנסת יעקב אשר</w:t>
      </w:r>
      <w:r w:rsidR="00AC7C52" w:rsidRPr="00AC7C52">
        <w:rPr>
          <w:rtl/>
        </w:rPr>
        <w:t xml:space="preserve"> וקבוצת חברי הכנסת</w:t>
      </w:r>
      <w:r w:rsidRPr="00AC7C52">
        <w:rPr>
          <w:rtl/>
        </w:rPr>
        <w:t xml:space="preserve"> (פ/74/21)</w:t>
      </w:r>
      <w:r w:rsidR="00AC7C52" w:rsidRPr="00AC7C52">
        <w:rPr>
          <w:rtl/>
        </w:rPr>
        <w:t>.</w:t>
      </w:r>
    </w:p>
    <w:p w14:paraId="197DCF10" w14:textId="77777777" w:rsidR="00102B7C" w:rsidRDefault="00102B7C" w:rsidP="00130591">
      <w:pPr>
        <w:pStyle w:val="Hesber"/>
        <w:rPr>
          <w:rtl/>
        </w:rPr>
      </w:pPr>
    </w:p>
    <w:p w14:paraId="0682466D" w14:textId="77777777" w:rsidR="00102B7C" w:rsidRPr="00D73212" w:rsidRDefault="00102B7C" w:rsidP="00102B7C">
      <w:pPr>
        <w:pStyle w:val="Hesber"/>
        <w:rPr>
          <w:color w:val="auto"/>
          <w:rtl/>
          <w:lang w:eastAsia="en-US"/>
        </w:rPr>
      </w:pPr>
      <w:r w:rsidRPr="00D73212">
        <w:rPr>
          <w:color w:val="auto"/>
          <w:rtl/>
          <w:lang w:eastAsia="en-US"/>
        </w:rPr>
        <w:t>---------------------------------</w:t>
      </w:r>
    </w:p>
    <w:p w14:paraId="4ED47580" w14:textId="77777777" w:rsidR="00102B7C" w:rsidRPr="00D73212" w:rsidRDefault="00102B7C" w:rsidP="00102B7C">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7AC884A" w14:textId="77777777" w:rsidR="00102B7C" w:rsidRPr="00D73212" w:rsidRDefault="00102B7C" w:rsidP="00102B7C">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0F56217" w14:textId="77777777" w:rsidR="00102B7C" w:rsidRPr="00317312" w:rsidRDefault="00102B7C" w:rsidP="00102B7C">
      <w:pPr>
        <w:pStyle w:val="Hesber"/>
      </w:pPr>
      <w:r>
        <w:rPr>
          <w:rFonts w:hint="cs"/>
          <w:color w:val="auto"/>
          <w:rtl/>
          <w:lang w:eastAsia="en-US"/>
        </w:rPr>
        <w:t>כ'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18.11</w:t>
      </w:r>
      <w:r w:rsidRPr="00D73212">
        <w:rPr>
          <w:color w:val="auto"/>
          <w:rtl/>
          <w:lang w:eastAsia="en-US"/>
        </w:rPr>
        <w:t>.</w:t>
      </w:r>
      <w:r>
        <w:rPr>
          <w:rFonts w:hint="cs"/>
          <w:color w:val="auto"/>
          <w:rtl/>
          <w:lang w:eastAsia="en-US"/>
        </w:rPr>
        <w:t xml:space="preserve">19  </w:t>
      </w:r>
      <w:bookmarkStart w:id="7" w:name="_GoBack"/>
      <w:bookmarkEnd w:id="7"/>
    </w:p>
    <w:sectPr w:rsidR="00102B7C" w:rsidRPr="0031731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02B7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5E370D6" w14:textId="77777777" w:rsidR="00107ABF" w:rsidRDefault="00107ABF" w:rsidP="00107ABF">
      <w:pPr>
        <w:pStyle w:val="a4"/>
      </w:pPr>
      <w:r>
        <w:rPr>
          <w:rStyle w:val="a6"/>
        </w:rPr>
        <w:footnoteRef/>
      </w:r>
      <w:r>
        <w:rPr>
          <w:rFonts w:hint="cs"/>
          <w:rtl/>
        </w:rPr>
        <w:t xml:space="preserve"> </w:t>
      </w:r>
      <w:r>
        <w:rPr>
          <w:rFonts w:hint="cs"/>
          <w:sz w:val="20"/>
          <w:rtl/>
        </w:rPr>
        <w:t>דיני מדינת ישראל, נוסח חדש 6,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2B7C"/>
    <w:rsid w:val="001052D4"/>
    <w:rsid w:val="0010644B"/>
    <w:rsid w:val="00107ABF"/>
    <w:rsid w:val="001207F8"/>
    <w:rsid w:val="00121924"/>
    <w:rsid w:val="001279A8"/>
    <w:rsid w:val="00130591"/>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C7C52"/>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893719D-131F-4E3B-894B-30C7D7D0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07AB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78E90EE-86A6-4A10-914D-55D87BAD6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1B680B-491A-425E-930E-3BE75DAB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219</Words>
  <Characters>1099</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2019-11-13T09:20:00Z</cp:lastPrinted>
  <dcterms:created xsi:type="dcterms:W3CDTF">2015-04-20T09:58:00Z</dcterms:created>
  <dcterms:modified xsi:type="dcterms:W3CDTF">2019-11-13T09:26:00Z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2081423</vt:r8>
  </property>
</Properties>
</file>