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2081407</w:t>
      </w:r>
      <w:bookmarkEnd w:id="0"/>
    </w:p>
    <w:p w14:paraId="7F6961A2" w14:textId="0D08E35D"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A" w14:textId="2103723C" w:rsidR="00E13C27" w:rsidRPr="00CF1AA2" w:rsidRDefault="008F6665" w:rsidP="003A4BEE">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מיכאל מלכיאלי</w:t>
      </w:r>
      <w:r>
        <w:br/>
      </w:r>
      <w:r>
        <w:rPr>
          <w:rFonts w:hint="cs"/>
          <w:b/>
          <w:bCs/>
          <w:rtl/>
        </w:rPr>
        <w:t xml:space="preserve"> </w:t>
      </w:r>
      <w:r>
        <w:tab/>
      </w:r>
      <w:r>
        <w:tab/>
      </w:r>
      <w:r>
        <w:tab/>
      </w:r>
      <w:r>
        <w:tab/>
      </w:r>
      <w:r>
        <w:rPr>
          <w:rFonts w:hint="cs"/>
          <w:b/>
          <w:bCs/>
          <w:rtl/>
        </w:rPr>
        <w:t>ינון אזולאי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A8A696D" w:rsidR="00E13C27" w:rsidRPr="00E06736" w:rsidRDefault="00904591" w:rsidP="009D61C5">
      <w:pPr>
        <w:pStyle w:val="David"/>
        <w:spacing w:before="0" w:line="240" w:lineRule="auto"/>
        <w:ind w:left="3544"/>
        <w:rPr>
          <w:rtl/>
        </w:rPr>
      </w:pPr>
      <w:r>
        <w:t xml:space="preserve">                                          </w:t>
      </w:r>
      <w:r w:rsidR="008F1308">
        <w:t xml:space="preserve"> </w:t>
      </w:r>
      <w:bookmarkStart w:id="6" w:name="Private_Number"/>
      <w:r w:rsidR="00BB6EA0">
        <w:rPr>
          <w:rtl/>
        </w:rPr>
        <w:tab/>
      </w:r>
      <w:r>
        <w:rPr>
          <w:rFonts w:hint="cs"/>
          <w:rtl/>
        </w:rPr>
        <w:t>פ/582/22</w:t>
      </w:r>
      <w:bookmarkEnd w:id="6"/>
    </w:p>
    <w:p w14:paraId="7F6961AD" w14:textId="1027887F" w:rsidR="00E13C27" w:rsidRDefault="00A443CF" w:rsidP="0021633A">
      <w:pPr>
        <w:pStyle w:val="HeadHatzaotHok"/>
        <w:rPr>
          <w:rtl/>
        </w:rPr>
      </w:pPr>
      <w:bookmarkStart w:id="7" w:name="LGS_Subject"/>
      <w:r>
        <w:rPr>
          <w:rFonts w:hint="cs"/>
          <w:rtl/>
        </w:rPr>
        <w:t xml:space="preserve">הצעת חוק לתיקון פקודת ביטוח רכב מנועי (פוליסה לשני כלי רכב של נהג יחיד), </w:t>
      </w:r>
      <w:proofErr w:type="spellStart"/>
      <w:r>
        <w:rPr>
          <w:rFonts w:hint="cs"/>
          <w:rtl/>
        </w:rPr>
        <w:t>התש"ף</w:t>
      </w:r>
      <w:proofErr w:type="spellEnd"/>
      <w:r>
        <w:rPr>
          <w:rFonts w:hint="cs"/>
          <w:rtl/>
        </w:rPr>
        <w:t>–2019</w:t>
      </w:r>
      <w:bookmarkStart w:id="8" w:name="_GoBack"/>
      <w:bookmarkEnd w:id="7"/>
      <w:bookmarkEnd w:id="8"/>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00BE7911" w:rsidRPr="00C34DE2" w14:paraId="4BC84E80" w14:textId="77777777" w:rsidTr="008A1061">
        <w:trPr>
          <w:cantSplit/>
          <w:trHeight w:val="60"/>
        </w:trPr>
        <w:tc>
          <w:tcPr>
            <w:tcW w:w="1871" w:type="dxa"/>
          </w:tcPr>
          <w:p w14:paraId="28671865" w14:textId="77777777" w:rsidR="00BE7911" w:rsidRPr="006821BF" w:rsidRDefault="00BE7911" w:rsidP="006821BF">
            <w:pPr>
              <w:pStyle w:val="TableBlock"/>
            </w:pPr>
            <w:r w:rsidRPr="006821BF">
              <w:rPr>
                <w:rtl/>
              </w:rPr>
              <w:t xml:space="preserve">הוספת סעיף </w:t>
            </w:r>
            <w:r w:rsidRPr="006821BF">
              <w:rPr>
                <w:rFonts w:hint="cs"/>
                <w:rtl/>
              </w:rPr>
              <w:t>2א</w:t>
            </w:r>
          </w:p>
        </w:tc>
        <w:tc>
          <w:tcPr>
            <w:tcW w:w="624" w:type="dxa"/>
          </w:tcPr>
          <w:p w14:paraId="161F9B48" w14:textId="77777777" w:rsidR="00BE7911" w:rsidRPr="006821BF" w:rsidRDefault="00BE7911" w:rsidP="006821BF">
            <w:pPr>
              <w:pStyle w:val="TableBlock"/>
            </w:pPr>
            <w:r w:rsidRPr="006821BF">
              <w:rPr>
                <w:rFonts w:hint="cs"/>
                <w:rtl/>
              </w:rPr>
              <w:t>1.</w:t>
            </w:r>
          </w:p>
        </w:tc>
        <w:tc>
          <w:tcPr>
            <w:tcW w:w="7146" w:type="dxa"/>
            <w:gridSpan w:val="5"/>
          </w:tcPr>
          <w:p w14:paraId="5594E2A9" w14:textId="4E1D192F" w:rsidR="00BE7911" w:rsidRPr="006821BF" w:rsidRDefault="00BE7911" w:rsidP="006821BF">
            <w:pPr>
              <w:pStyle w:val="TableBlock"/>
            </w:pPr>
            <w:r w:rsidRPr="006821BF">
              <w:rPr>
                <w:rFonts w:hint="cs"/>
                <w:rtl/>
              </w:rPr>
              <w:t>בפקודת ביטוח רכב מנועי [נוסח חדש]</w:t>
            </w:r>
            <w:r w:rsidRPr="006821BF">
              <w:rPr>
                <w:rtl/>
              </w:rPr>
              <w:t xml:space="preserve">, </w:t>
            </w:r>
            <w:proofErr w:type="spellStart"/>
            <w:r w:rsidRPr="006821BF">
              <w:rPr>
                <w:rFonts w:hint="cs"/>
                <w:rtl/>
              </w:rPr>
              <w:t>התש"ל</w:t>
            </w:r>
            <w:proofErr w:type="spellEnd"/>
            <w:r w:rsidRPr="006821BF">
              <w:rPr>
                <w:rFonts w:hint="eastAsia"/>
                <w:rtl/>
              </w:rPr>
              <w:t>–</w:t>
            </w:r>
            <w:r w:rsidRPr="006821BF">
              <w:rPr>
                <w:rFonts w:hint="cs"/>
                <w:rtl/>
              </w:rPr>
              <w:t>1970</w:t>
            </w:r>
            <w:r w:rsidR="006821BF">
              <w:rPr>
                <w:rStyle w:val="a5"/>
                <w:rtl/>
              </w:rPr>
              <w:footnoteReference w:id="2"/>
            </w:r>
            <w:r w:rsidRPr="006821BF">
              <w:rPr>
                <w:rtl/>
              </w:rPr>
              <w:t xml:space="preserve">, אחרי סעיף </w:t>
            </w:r>
            <w:r w:rsidRPr="006821BF">
              <w:rPr>
                <w:rFonts w:hint="cs"/>
                <w:rtl/>
              </w:rPr>
              <w:t xml:space="preserve">2 </w:t>
            </w:r>
            <w:r w:rsidRPr="006821BF">
              <w:rPr>
                <w:rtl/>
              </w:rPr>
              <w:t>יבוא:</w:t>
            </w:r>
          </w:p>
        </w:tc>
      </w:tr>
      <w:tr w:rsidR="00BE7911" w14:paraId="414B8C16" w14:textId="77777777" w:rsidTr="008A1061">
        <w:trPr>
          <w:cantSplit/>
          <w:trHeight w:val="60"/>
        </w:trPr>
        <w:tc>
          <w:tcPr>
            <w:tcW w:w="1871" w:type="dxa"/>
          </w:tcPr>
          <w:p w14:paraId="5E786DEC" w14:textId="77777777" w:rsidR="00BE7911" w:rsidRPr="006821BF" w:rsidRDefault="00BE7911" w:rsidP="006821BF">
            <w:pPr>
              <w:pStyle w:val="TableBlock"/>
            </w:pPr>
          </w:p>
        </w:tc>
        <w:tc>
          <w:tcPr>
            <w:tcW w:w="624" w:type="dxa"/>
          </w:tcPr>
          <w:p w14:paraId="4D1DE661" w14:textId="77777777" w:rsidR="00BE7911" w:rsidRPr="006821BF" w:rsidRDefault="00BE7911" w:rsidP="006821BF">
            <w:pPr>
              <w:pStyle w:val="TableBlock"/>
            </w:pPr>
          </w:p>
        </w:tc>
        <w:tc>
          <w:tcPr>
            <w:tcW w:w="1872" w:type="dxa"/>
            <w:gridSpan w:val="3"/>
          </w:tcPr>
          <w:p w14:paraId="0F1BE372" w14:textId="77777777" w:rsidR="00BE7911" w:rsidRPr="006821BF" w:rsidRDefault="00BE7911" w:rsidP="006821BF">
            <w:pPr>
              <w:pStyle w:val="TableBlock"/>
            </w:pPr>
            <w:r w:rsidRPr="006821BF">
              <w:rPr>
                <w:rFonts w:hint="cs"/>
                <w:rtl/>
              </w:rPr>
              <w:t>"פוליסה לשני כלי רכב של נהג יחיד</w:t>
            </w:r>
          </w:p>
        </w:tc>
        <w:tc>
          <w:tcPr>
            <w:tcW w:w="624" w:type="dxa"/>
          </w:tcPr>
          <w:p w14:paraId="3BF1357A" w14:textId="77777777" w:rsidR="00BE7911" w:rsidRPr="006821BF" w:rsidRDefault="00BE7911" w:rsidP="006821BF">
            <w:pPr>
              <w:pStyle w:val="TableBlock"/>
            </w:pPr>
            <w:r w:rsidRPr="006821BF">
              <w:rPr>
                <w:rFonts w:hint="cs"/>
                <w:rtl/>
              </w:rPr>
              <w:t>2א.</w:t>
            </w:r>
          </w:p>
        </w:tc>
        <w:tc>
          <w:tcPr>
            <w:tcW w:w="4650" w:type="dxa"/>
          </w:tcPr>
          <w:p w14:paraId="2F9D517A" w14:textId="77777777" w:rsidR="00BE7911" w:rsidRPr="006821BF" w:rsidRDefault="00BE7911" w:rsidP="006821BF">
            <w:pPr>
              <w:pStyle w:val="TableBlock"/>
            </w:pPr>
            <w:r w:rsidRPr="006821BF">
              <w:rPr>
                <w:rFonts w:hint="cs"/>
                <w:rtl/>
              </w:rPr>
              <w:t>(א)</w:t>
            </w:r>
            <w:r w:rsidRPr="006821BF">
              <w:rPr>
                <w:rtl/>
              </w:rPr>
              <w:tab/>
            </w:r>
            <w:r w:rsidRPr="006821BF">
              <w:rPr>
                <w:rFonts w:hint="cs"/>
                <w:rtl/>
              </w:rPr>
              <w:t xml:space="preserve">אדם המחזיק בשני כלי רכב רשאי לרכוש פוליסה אחת בעבורם אצל אותו מבטח, ובלבד שהוא הנהג היחיד בכלי הרכב האמורים. </w:t>
            </w:r>
          </w:p>
        </w:tc>
      </w:tr>
      <w:tr w:rsidR="00BE7911" w14:paraId="14BA9780" w14:textId="77777777" w:rsidTr="008A1061">
        <w:trPr>
          <w:cantSplit/>
          <w:trHeight w:val="60"/>
        </w:trPr>
        <w:tc>
          <w:tcPr>
            <w:tcW w:w="1871" w:type="dxa"/>
          </w:tcPr>
          <w:p w14:paraId="0A4A0EDF" w14:textId="77777777" w:rsidR="00BE7911" w:rsidRPr="006821BF" w:rsidRDefault="00BE7911" w:rsidP="006821BF">
            <w:pPr>
              <w:pStyle w:val="TableBlock"/>
            </w:pPr>
          </w:p>
        </w:tc>
        <w:tc>
          <w:tcPr>
            <w:tcW w:w="624" w:type="dxa"/>
          </w:tcPr>
          <w:p w14:paraId="5629438C" w14:textId="77777777" w:rsidR="00BE7911" w:rsidRPr="006821BF" w:rsidRDefault="00BE7911" w:rsidP="006821BF">
            <w:pPr>
              <w:pStyle w:val="TableBlock"/>
            </w:pPr>
          </w:p>
        </w:tc>
        <w:tc>
          <w:tcPr>
            <w:tcW w:w="624" w:type="dxa"/>
          </w:tcPr>
          <w:p w14:paraId="08113717" w14:textId="77777777" w:rsidR="00BE7911" w:rsidRPr="006821BF" w:rsidRDefault="00BE7911" w:rsidP="006821BF">
            <w:pPr>
              <w:pStyle w:val="TableBlock"/>
            </w:pPr>
          </w:p>
        </w:tc>
        <w:tc>
          <w:tcPr>
            <w:tcW w:w="624" w:type="dxa"/>
          </w:tcPr>
          <w:p w14:paraId="177B300B" w14:textId="77777777" w:rsidR="00BE7911" w:rsidRPr="006821BF" w:rsidRDefault="00BE7911" w:rsidP="006821BF">
            <w:pPr>
              <w:pStyle w:val="TableBlock"/>
            </w:pPr>
          </w:p>
        </w:tc>
        <w:tc>
          <w:tcPr>
            <w:tcW w:w="624" w:type="dxa"/>
          </w:tcPr>
          <w:p w14:paraId="6BEEE2CC" w14:textId="77777777" w:rsidR="00BE7911" w:rsidRPr="006821BF" w:rsidRDefault="00BE7911" w:rsidP="006821BF">
            <w:pPr>
              <w:pStyle w:val="TableBlock"/>
            </w:pPr>
          </w:p>
        </w:tc>
        <w:tc>
          <w:tcPr>
            <w:tcW w:w="624" w:type="dxa"/>
          </w:tcPr>
          <w:p w14:paraId="467F8CEB" w14:textId="77777777" w:rsidR="00BE7911" w:rsidRPr="006821BF" w:rsidRDefault="00BE7911" w:rsidP="006821BF">
            <w:pPr>
              <w:pStyle w:val="TableBlock"/>
            </w:pPr>
          </w:p>
        </w:tc>
        <w:tc>
          <w:tcPr>
            <w:tcW w:w="4650" w:type="dxa"/>
          </w:tcPr>
          <w:p w14:paraId="264DE0EC" w14:textId="77777777" w:rsidR="00BE7911" w:rsidRPr="006821BF" w:rsidRDefault="00BE7911" w:rsidP="006821BF">
            <w:pPr>
              <w:pStyle w:val="TableBlock"/>
            </w:pPr>
            <w:r w:rsidRPr="006821BF">
              <w:rPr>
                <w:rFonts w:hint="cs"/>
                <w:rtl/>
              </w:rPr>
              <w:t>(ב)</w:t>
            </w:r>
            <w:r w:rsidRPr="006821BF">
              <w:rPr>
                <w:rtl/>
              </w:rPr>
              <w:tab/>
            </w:r>
            <w:r w:rsidRPr="006821BF">
              <w:rPr>
                <w:rFonts w:hint="cs"/>
                <w:rtl/>
              </w:rPr>
              <w:t>ביקש אדם לרכוש פוליסה כאמור בסעיף קטן (א), לא יגבה מבטח דמי ביטוח בעד אותה פוליסה בסכום העולה על דמי הביטוח שהיו משולמים בעד הפוליסה היקרה יותר, אילו היה רוכש כל פוליסה בנפרד."</w:t>
            </w:r>
          </w:p>
        </w:tc>
      </w:tr>
    </w:tbl>
    <w:p w14:paraId="7F6961CA" w14:textId="77777777" w:rsidR="002D1EE3" w:rsidRDefault="002D1EE3" w:rsidP="002D1EE3">
      <w:pPr>
        <w:pStyle w:val="HeadDivreiHesber"/>
        <w:rPr>
          <w:rtl/>
        </w:rPr>
      </w:pPr>
      <w:r w:rsidRPr="0027450A">
        <w:rPr>
          <w:rFonts w:hint="cs"/>
          <w:rtl/>
        </w:rPr>
        <w:t>דברי הסבר</w:t>
      </w:r>
    </w:p>
    <w:p w14:paraId="4E063A13" w14:textId="65113F48" w:rsidR="00BE7911" w:rsidRPr="00BB6EA0" w:rsidRDefault="00BE7911" w:rsidP="006044F3">
      <w:pPr>
        <w:pStyle w:val="Hesber"/>
        <w:spacing w:line="276" w:lineRule="auto"/>
      </w:pPr>
      <w:r w:rsidRPr="00BB6EA0">
        <w:rPr>
          <w:rFonts w:hint="cs"/>
          <w:rtl/>
        </w:rPr>
        <w:t>על פי פקודת ביטוח רכב מנועי [נוסח חדש]</w:t>
      </w:r>
      <w:r w:rsidRPr="00BB6EA0">
        <w:rPr>
          <w:rtl/>
        </w:rPr>
        <w:t xml:space="preserve">, </w:t>
      </w:r>
      <w:proofErr w:type="spellStart"/>
      <w:r w:rsidRPr="00BB6EA0">
        <w:rPr>
          <w:rFonts w:hint="cs"/>
          <w:rtl/>
        </w:rPr>
        <w:t>התש"ל</w:t>
      </w:r>
      <w:proofErr w:type="spellEnd"/>
      <w:r w:rsidRPr="00BB6EA0">
        <w:rPr>
          <w:rFonts w:hint="eastAsia"/>
          <w:rtl/>
        </w:rPr>
        <w:t>–</w:t>
      </w:r>
      <w:r w:rsidRPr="00BB6EA0">
        <w:rPr>
          <w:rFonts w:hint="cs"/>
          <w:rtl/>
        </w:rPr>
        <w:t>1970</w:t>
      </w:r>
      <w:r w:rsidR="008375C9" w:rsidRPr="00BB6EA0">
        <w:rPr>
          <w:rFonts w:hint="cs"/>
          <w:rtl/>
        </w:rPr>
        <w:t xml:space="preserve"> (להלן </w:t>
      </w:r>
      <w:r w:rsidR="000F45BD" w:rsidRPr="00BB6EA0">
        <w:rPr>
          <w:rFonts w:hint="eastAsia"/>
          <w:rtl/>
        </w:rPr>
        <w:t>–</w:t>
      </w:r>
      <w:r w:rsidR="000F45BD" w:rsidRPr="00BB6EA0">
        <w:rPr>
          <w:rFonts w:hint="cs"/>
          <w:rtl/>
        </w:rPr>
        <w:t xml:space="preserve"> </w:t>
      </w:r>
      <w:r w:rsidR="008375C9" w:rsidRPr="00BB6EA0">
        <w:rPr>
          <w:rFonts w:hint="cs"/>
          <w:rtl/>
        </w:rPr>
        <w:t>הפקודה)</w:t>
      </w:r>
      <w:r w:rsidRPr="00BB6EA0">
        <w:rPr>
          <w:rFonts w:hint="cs"/>
          <w:rtl/>
        </w:rPr>
        <w:t>,</w:t>
      </w:r>
      <w:r w:rsidRPr="00BB6EA0">
        <w:rPr>
          <w:rtl/>
        </w:rPr>
        <w:t xml:space="preserve"> בעל רכב מחויב לרכוש ביטוח חובה, אשר עלותו נקבעת בהתאם</w:t>
      </w:r>
      <w:r w:rsidRPr="00BB6EA0">
        <w:t xml:space="preserve"> </w:t>
      </w:r>
      <w:r w:rsidRPr="00BB6EA0">
        <w:rPr>
          <w:rtl/>
        </w:rPr>
        <w:t>לפרמטרים שונים</w:t>
      </w:r>
      <w:r w:rsidRPr="00BB6EA0">
        <w:rPr>
          <w:rFonts w:hint="cs"/>
          <w:rtl/>
        </w:rPr>
        <w:t>,</w:t>
      </w:r>
      <w:r w:rsidRPr="00BB6EA0">
        <w:rPr>
          <w:rtl/>
        </w:rPr>
        <w:t xml:space="preserve"> דוגמת </w:t>
      </w:r>
      <w:r w:rsidRPr="00BB6EA0">
        <w:rPr>
          <w:rFonts w:hint="cs"/>
          <w:rtl/>
        </w:rPr>
        <w:t>סוג הרכב, מאפייניו ו</w:t>
      </w:r>
      <w:r w:rsidRPr="00BB6EA0">
        <w:rPr>
          <w:rtl/>
        </w:rPr>
        <w:t xml:space="preserve">מאפייניו של נוהג </w:t>
      </w:r>
      <w:r w:rsidRPr="00BB6EA0">
        <w:rPr>
          <w:rFonts w:hint="cs"/>
          <w:rtl/>
        </w:rPr>
        <w:t>ה</w:t>
      </w:r>
      <w:r w:rsidRPr="00BB6EA0">
        <w:rPr>
          <w:rtl/>
        </w:rPr>
        <w:t xml:space="preserve">רכב. </w:t>
      </w:r>
    </w:p>
    <w:p w14:paraId="5FEED2FA" w14:textId="77777777" w:rsidR="00BE7911" w:rsidRPr="00BB6EA0" w:rsidRDefault="00BE7911" w:rsidP="006044F3">
      <w:pPr>
        <w:pStyle w:val="Hesber"/>
        <w:spacing w:line="276" w:lineRule="auto"/>
        <w:rPr>
          <w:rtl/>
        </w:rPr>
      </w:pPr>
      <w:r w:rsidRPr="00BB6EA0">
        <w:rPr>
          <w:rtl/>
        </w:rPr>
        <w:t>ביטוח חובה</w:t>
      </w:r>
      <w:r w:rsidRPr="00BB6EA0">
        <w:t xml:space="preserve"> </w:t>
      </w:r>
      <w:r w:rsidRPr="00BB6EA0">
        <w:rPr>
          <w:rtl/>
        </w:rPr>
        <w:t>מבטח את הנוהג ברכב המבוטח</w:t>
      </w:r>
      <w:r w:rsidRPr="00BB6EA0">
        <w:rPr>
          <w:rFonts w:hint="cs"/>
          <w:rtl/>
        </w:rPr>
        <w:t xml:space="preserve">, </w:t>
      </w:r>
      <w:r w:rsidRPr="00BB6EA0">
        <w:rPr>
          <w:rtl/>
        </w:rPr>
        <w:t>את הנוסעים ואת הולכי הרגל אשר נפגעו</w:t>
      </w:r>
      <w:r w:rsidRPr="00BB6EA0">
        <w:t xml:space="preserve"> </w:t>
      </w:r>
      <w:r w:rsidRPr="00BB6EA0">
        <w:rPr>
          <w:rtl/>
        </w:rPr>
        <w:t>כתוצאה מפגיעת הרכב המבוטח</w:t>
      </w:r>
      <w:r w:rsidRPr="00BB6EA0">
        <w:rPr>
          <w:rFonts w:hint="cs"/>
          <w:rtl/>
        </w:rPr>
        <w:t>,</w:t>
      </w:r>
      <w:r w:rsidRPr="00BB6EA0">
        <w:rPr>
          <w:rtl/>
        </w:rPr>
        <w:t xml:space="preserve"> </w:t>
      </w:r>
      <w:r w:rsidRPr="00BB6EA0">
        <w:rPr>
          <w:rFonts w:hint="cs"/>
          <w:rtl/>
        </w:rPr>
        <w:t>בשל</w:t>
      </w:r>
      <w:r w:rsidRPr="00BB6EA0">
        <w:rPr>
          <w:rtl/>
        </w:rPr>
        <w:t xml:space="preserve"> נזקי גוף,</w:t>
      </w:r>
      <w:r w:rsidRPr="00BB6EA0">
        <w:t xml:space="preserve"> </w:t>
      </w:r>
      <w:r w:rsidRPr="00BB6EA0">
        <w:rPr>
          <w:rtl/>
        </w:rPr>
        <w:t>ללא קשר למצבם הכלכלי או למידת</w:t>
      </w:r>
      <w:r w:rsidRPr="00BB6EA0">
        <w:t xml:space="preserve"> </w:t>
      </w:r>
      <w:r w:rsidRPr="00BB6EA0">
        <w:rPr>
          <w:rtl/>
        </w:rPr>
        <w:t>מעורבותם</w:t>
      </w:r>
      <w:r w:rsidRPr="00BB6EA0">
        <w:t xml:space="preserve"> </w:t>
      </w:r>
      <w:r w:rsidRPr="00BB6EA0">
        <w:rPr>
          <w:rtl/>
        </w:rPr>
        <w:t xml:space="preserve">בתאונה או </w:t>
      </w:r>
      <w:r w:rsidRPr="00BB6EA0">
        <w:rPr>
          <w:rFonts w:hint="cs"/>
          <w:rtl/>
        </w:rPr>
        <w:t>ל</w:t>
      </w:r>
      <w:r w:rsidRPr="00BB6EA0">
        <w:rPr>
          <w:rtl/>
        </w:rPr>
        <w:t xml:space="preserve">אשמתם.     </w:t>
      </w:r>
    </w:p>
    <w:p w14:paraId="36355D82" w14:textId="2EFA20ED" w:rsidR="00BE7911" w:rsidRPr="00BB6EA0" w:rsidRDefault="008375C9" w:rsidP="006044F3">
      <w:pPr>
        <w:pStyle w:val="Hesber"/>
        <w:spacing w:line="276" w:lineRule="auto"/>
        <w:rPr>
          <w:rtl/>
        </w:rPr>
      </w:pPr>
      <w:r w:rsidRPr="00BB6EA0">
        <w:rPr>
          <w:rFonts w:hint="cs"/>
          <w:rtl/>
        </w:rPr>
        <w:t>בהתאם לפקודה,</w:t>
      </w:r>
      <w:r w:rsidR="00BE7911" w:rsidRPr="00BB6EA0">
        <w:rPr>
          <w:rtl/>
        </w:rPr>
        <w:t xml:space="preserve"> רכישת ביטוח חובה </w:t>
      </w:r>
      <w:r w:rsidR="00BE7911" w:rsidRPr="00BB6EA0">
        <w:rPr>
          <w:rFonts w:hint="cs"/>
          <w:rtl/>
        </w:rPr>
        <w:t>היא לגבי</w:t>
      </w:r>
      <w:r w:rsidR="00BE7911" w:rsidRPr="00BB6EA0">
        <w:rPr>
          <w:rtl/>
        </w:rPr>
        <w:t xml:space="preserve"> </w:t>
      </w:r>
      <w:r w:rsidR="00BE7911" w:rsidRPr="00BB6EA0">
        <w:rPr>
          <w:rFonts w:hint="cs"/>
          <w:rtl/>
        </w:rPr>
        <w:t>כל</w:t>
      </w:r>
      <w:r w:rsidR="00BE7911" w:rsidRPr="00BB6EA0">
        <w:rPr>
          <w:rtl/>
        </w:rPr>
        <w:t xml:space="preserve"> רכב</w:t>
      </w:r>
      <w:r w:rsidRPr="00BB6EA0">
        <w:rPr>
          <w:rFonts w:hint="cs"/>
          <w:rtl/>
        </w:rPr>
        <w:t xml:space="preserve"> בנפרד, ולפיכך אדם ה</w:t>
      </w:r>
      <w:r w:rsidR="00BE7911" w:rsidRPr="00BB6EA0">
        <w:rPr>
          <w:rtl/>
        </w:rPr>
        <w:t>מחזיק ברכב ובקטנוע או בשני כלי רכב, נדרש לרכוש פעמיים ביטוח חובה, על אף שכאשר הוא נוהג ברכב אחד</w:t>
      </w:r>
      <w:r w:rsidR="00BE7911" w:rsidRPr="00BB6EA0">
        <w:rPr>
          <w:rFonts w:hint="cs"/>
          <w:rtl/>
        </w:rPr>
        <w:t>,</w:t>
      </w:r>
      <w:r w:rsidR="00BE7911" w:rsidRPr="00BB6EA0">
        <w:rPr>
          <w:rtl/>
        </w:rPr>
        <w:t xml:space="preserve"> בהכרח כלי הרכב השני אינו בשימוש.</w:t>
      </w:r>
    </w:p>
    <w:p w14:paraId="7F6961CB" w14:textId="4E7EED41" w:rsidR="00E13C27" w:rsidRDefault="008375C9" w:rsidP="006044F3">
      <w:pPr>
        <w:pStyle w:val="Hesber"/>
        <w:spacing w:line="276" w:lineRule="auto"/>
        <w:rPr>
          <w:rtl/>
        </w:rPr>
      </w:pPr>
      <w:r w:rsidRPr="00BB6EA0">
        <w:rPr>
          <w:rFonts w:hint="cs"/>
          <w:rtl/>
        </w:rPr>
        <w:t>מטרת הצעת החוק</w:t>
      </w:r>
      <w:r w:rsidR="00BE7911" w:rsidRPr="00BB6EA0">
        <w:rPr>
          <w:rFonts w:hint="cs"/>
          <w:rtl/>
        </w:rPr>
        <w:t xml:space="preserve"> לקבוע</w:t>
      </w:r>
      <w:r w:rsidR="00BE7911" w:rsidRPr="00BB6EA0">
        <w:rPr>
          <w:rtl/>
        </w:rPr>
        <w:t xml:space="preserve"> כי ככל שהנהג </w:t>
      </w:r>
      <w:r w:rsidR="00BE7911" w:rsidRPr="00BB6EA0">
        <w:rPr>
          <w:rFonts w:hint="cs"/>
          <w:rtl/>
        </w:rPr>
        <w:t xml:space="preserve">הוא </w:t>
      </w:r>
      <w:r w:rsidR="00BE7911" w:rsidRPr="00BB6EA0">
        <w:rPr>
          <w:rtl/>
        </w:rPr>
        <w:t xml:space="preserve">נהג יחיד </w:t>
      </w:r>
      <w:r w:rsidR="00BE7911" w:rsidRPr="00BB6EA0">
        <w:rPr>
          <w:rFonts w:hint="cs"/>
          <w:rtl/>
        </w:rPr>
        <w:t>ב</w:t>
      </w:r>
      <w:r w:rsidR="00BE7911" w:rsidRPr="00BB6EA0">
        <w:rPr>
          <w:rtl/>
        </w:rPr>
        <w:t>שני כלי הרכב ושני כלי הרכב מבוטחים בחברת ביטוח אחת, די יהיה ברכישת פוליסת ביטוח חובה אחת</w:t>
      </w:r>
      <w:r w:rsidRPr="00BB6EA0">
        <w:rPr>
          <w:rFonts w:hint="cs"/>
          <w:rtl/>
        </w:rPr>
        <w:t xml:space="preserve"> שדמי הביטוח בה גבוהים מבין שתי הפוליסות</w:t>
      </w:r>
      <w:r w:rsidR="00BE7911" w:rsidRPr="00BB6EA0">
        <w:rPr>
          <w:rFonts w:hint="cs"/>
          <w:rtl/>
        </w:rPr>
        <w:t>, בעבור שני כלי הרכב</w:t>
      </w:r>
      <w:r w:rsidR="00BE7911" w:rsidRPr="003C0CFB">
        <w:rPr>
          <w:rtl/>
        </w:rPr>
        <w:t>.</w:t>
      </w:r>
    </w:p>
    <w:p w14:paraId="6AFB5E7A" w14:textId="77777777" w:rsidR="00BB6EA0" w:rsidRDefault="00BB6EA0" w:rsidP="006044F3">
      <w:pPr>
        <w:pStyle w:val="Hesber"/>
        <w:spacing w:line="276" w:lineRule="auto"/>
        <w:rPr>
          <w:rtl/>
        </w:rPr>
      </w:pPr>
    </w:p>
    <w:p w14:paraId="4AEBF629" w14:textId="77777777" w:rsidR="00BB6EA0" w:rsidRPr="00D73212" w:rsidRDefault="00BB6EA0" w:rsidP="006044F3">
      <w:pPr>
        <w:pStyle w:val="Hesber"/>
        <w:spacing w:line="276" w:lineRule="auto"/>
        <w:ind w:firstLine="0"/>
        <w:rPr>
          <w:color w:val="auto"/>
          <w:rtl/>
          <w:lang w:eastAsia="en-US"/>
        </w:rPr>
      </w:pPr>
      <w:r w:rsidRPr="00D73212">
        <w:rPr>
          <w:color w:val="auto"/>
          <w:rtl/>
          <w:lang w:eastAsia="en-US"/>
        </w:rPr>
        <w:t>---------------------------------</w:t>
      </w:r>
    </w:p>
    <w:p w14:paraId="594F5CF5" w14:textId="77777777" w:rsidR="00BB6EA0" w:rsidRPr="00D73212" w:rsidRDefault="00BB6EA0" w:rsidP="006044F3">
      <w:pPr>
        <w:pStyle w:val="Hesber"/>
        <w:spacing w:line="276" w:lineRule="auto"/>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4AE0994" w14:textId="77777777" w:rsidR="00BB6EA0" w:rsidRPr="00D73212" w:rsidRDefault="00BB6EA0" w:rsidP="006044F3">
      <w:pPr>
        <w:pStyle w:val="Hesber"/>
        <w:spacing w:line="276" w:lineRule="auto"/>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8644D08" w14:textId="4FE96681" w:rsidR="00BB6EA0" w:rsidRDefault="00BB6EA0" w:rsidP="006044F3">
      <w:pPr>
        <w:pStyle w:val="Hesber"/>
        <w:spacing w:line="276" w:lineRule="auto"/>
        <w:ind w:firstLine="0"/>
        <w:rPr>
          <w:rtl/>
        </w:rPr>
      </w:pPr>
      <w:r>
        <w:rPr>
          <w:rFonts w:hint="cs"/>
          <w:color w:val="auto"/>
          <w:rtl/>
          <w:lang w:eastAsia="en-US"/>
        </w:rPr>
        <w:t>כ'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18.11</w:t>
      </w:r>
      <w:r w:rsidRPr="00D73212">
        <w:rPr>
          <w:color w:val="auto"/>
          <w:rtl/>
          <w:lang w:eastAsia="en-US"/>
        </w:rPr>
        <w:t>.</w:t>
      </w:r>
      <w:r>
        <w:rPr>
          <w:rFonts w:hint="cs"/>
          <w:color w:val="auto"/>
          <w:rtl/>
          <w:lang w:eastAsia="en-US"/>
        </w:rPr>
        <w:t xml:space="preserve">19  </w:t>
      </w:r>
    </w:p>
    <w:sectPr w:rsidR="00BB6EA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3A4BE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6821BF">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D5C07A0" w14:textId="23657DF8" w:rsidR="006821BF" w:rsidRDefault="006821BF">
      <w:pPr>
        <w:pStyle w:val="a4"/>
        <w:rPr>
          <w:rtl/>
        </w:rPr>
      </w:pPr>
      <w:r>
        <w:rPr>
          <w:rStyle w:val="a5"/>
        </w:rPr>
        <w:footnoteRef/>
      </w:r>
      <w:r>
        <w:rPr>
          <w:rtl/>
        </w:rPr>
        <w:t xml:space="preserve"> </w:t>
      </w:r>
      <w:r w:rsidR="009D61C5">
        <w:rPr>
          <w:sz w:val="20"/>
          <w:rtl/>
        </w:rPr>
        <w:t>דיני מדינת ישראל, נוסח חדש 15, עמ' 320</w:t>
      </w:r>
      <w:r w:rsidR="009D61C5">
        <w:rPr>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F45BD"/>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A4BEE"/>
    <w:rsid w:val="003D6E38"/>
    <w:rsid w:val="003D74A0"/>
    <w:rsid w:val="004033D8"/>
    <w:rsid w:val="004073F0"/>
    <w:rsid w:val="00412A7D"/>
    <w:rsid w:val="00416B4D"/>
    <w:rsid w:val="00417CFC"/>
    <w:rsid w:val="00470867"/>
    <w:rsid w:val="004778F1"/>
    <w:rsid w:val="004A06DC"/>
    <w:rsid w:val="004B24ED"/>
    <w:rsid w:val="004B6625"/>
    <w:rsid w:val="004D2D82"/>
    <w:rsid w:val="004D3876"/>
    <w:rsid w:val="004E4552"/>
    <w:rsid w:val="004E6CDF"/>
    <w:rsid w:val="00553C9D"/>
    <w:rsid w:val="00562A66"/>
    <w:rsid w:val="005B064E"/>
    <w:rsid w:val="005D51AE"/>
    <w:rsid w:val="006044F3"/>
    <w:rsid w:val="0062674B"/>
    <w:rsid w:val="006363B2"/>
    <w:rsid w:val="00644940"/>
    <w:rsid w:val="006818A9"/>
    <w:rsid w:val="006821BF"/>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375C9"/>
    <w:rsid w:val="00843EB2"/>
    <w:rsid w:val="00865572"/>
    <w:rsid w:val="00874BBC"/>
    <w:rsid w:val="00892135"/>
    <w:rsid w:val="00895449"/>
    <w:rsid w:val="00897879"/>
    <w:rsid w:val="008A6870"/>
    <w:rsid w:val="008C2DDC"/>
    <w:rsid w:val="008C7516"/>
    <w:rsid w:val="008D5381"/>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92A78"/>
    <w:rsid w:val="009A0DB8"/>
    <w:rsid w:val="009A7257"/>
    <w:rsid w:val="009D61C5"/>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B6EA0"/>
    <w:rsid w:val="00BC45FB"/>
    <w:rsid w:val="00BE7911"/>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06F5394-A35D-49C4-BDEB-CF7D7575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9572-3B01-4F05-9728-4BEB39B0A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B7892EF7-2318-4D06-BAE6-373CE6F4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240</Words>
  <Characters>1370</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15</cp:revision>
  <cp:lastPrinted>2019-11-06T10:33:00Z</cp:lastPrinted>
  <dcterms:created xsi:type="dcterms:W3CDTF">2015-04-20T09:58:00Z</dcterms:created>
  <dcterms:modified xsi:type="dcterms:W3CDTF">2019-11-13T12:05:00Z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2081407</vt:r8>
  </property>
</Properties>
</file>