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2081396</w:t>
      </w:r>
      <w:bookmarkEnd w:id="0"/>
    </w:p>
    <w:p w14:paraId="7F6961A2" w14:textId="7AE31903" w:rsidR="00E13C27" w:rsidRPr="00DB7060" w:rsidRDefault="00E13C27" w:rsidP="00AC5F73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ושתיים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מיכאל מלכיאלי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ינון אזולאי</w:t>
      </w:r>
      <w:bookmarkEnd w:id="3"/>
    </w:p>
    <w:p w14:paraId="34DB4103" w14:textId="5715FEF5" w:rsidR="00904591" w:rsidRPr="00904591" w:rsidRDefault="002200A1" w:rsidP="00AC5F73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 w:rsidRPr="00CF1AA2">
        <w:rPr>
          <w:rFonts w:hint="cs"/>
          <w:rtl/>
        </w:rPr>
        <w:tab/>
      </w:r>
      <w:r w:rsidR="00266D86">
        <w:t>____</w:t>
      </w:r>
      <w:r w:rsidR="00E374F2">
        <w:t>__</w:t>
      </w:r>
      <w:r w:rsidR="00266D86"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37E86CF4" w:rsidR="00E13C27" w:rsidRDefault="009765CE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  <w:r>
        <w:rPr>
          <w:rFonts w:cs="David"/>
          <w:sz w:val="26"/>
          <w:szCs w:val="26"/>
          <w:rtl/>
        </w:rPr>
        <w:tab/>
      </w:r>
      <w:r>
        <w:rPr>
          <w:rFonts w:cs="David"/>
          <w:sz w:val="26"/>
          <w:szCs w:val="26"/>
          <w:rtl/>
        </w:rPr>
        <w:tab/>
      </w:r>
      <w:r>
        <w:rPr>
          <w:rFonts w:cs="David"/>
          <w:sz w:val="26"/>
          <w:szCs w:val="26"/>
          <w:rtl/>
        </w:rPr>
        <w:tab/>
      </w:r>
      <w:r>
        <w:rPr>
          <w:rFonts w:cs="David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>פ/558/22</w:t>
      </w:r>
    </w:p>
    <w:p w14:paraId="7F6961AD" w14:textId="77777777" w:rsidR="00E13C27" w:rsidRDefault="00A443CF" w:rsidP="0021633A">
      <w:pPr>
        <w:pStyle w:val="HeadHatzaotHok"/>
        <w:rPr>
          <w:rtl/>
        </w:rPr>
      </w:pPr>
      <w:bookmarkStart w:id="4" w:name="LGS_Subject"/>
      <w:r>
        <w:rPr>
          <w:rFonts w:hint="cs"/>
          <w:rtl/>
        </w:rPr>
        <w:t xml:space="preserve">הצעת חוק לשכת עורכי הדין (תיקון – ייצוג בפני בוררות המתנהלת על פי דין דתי), </w:t>
      </w:r>
      <w:proofErr w:type="spellStart"/>
      <w:r>
        <w:rPr>
          <w:rFonts w:hint="cs"/>
          <w:rtl/>
        </w:rPr>
        <w:t>התש"ף</w:t>
      </w:r>
      <w:proofErr w:type="spellEnd"/>
      <w:r>
        <w:rPr>
          <w:rFonts w:hint="cs"/>
          <w:rtl/>
        </w:rPr>
        <w:t>–2019</w:t>
      </w:r>
      <w:bookmarkEnd w:id="4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421E64" w:rsidRPr="00C82E36" w14:paraId="294E19A7" w14:textId="77777777" w:rsidTr="009765CE">
        <w:trPr>
          <w:cantSplit/>
        </w:trPr>
        <w:tc>
          <w:tcPr>
            <w:tcW w:w="1871" w:type="dxa"/>
          </w:tcPr>
          <w:p w14:paraId="691BDA93" w14:textId="77777777" w:rsidR="00421E64" w:rsidRDefault="00421E64" w:rsidP="00990806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21</w:t>
            </w:r>
          </w:p>
        </w:tc>
        <w:tc>
          <w:tcPr>
            <w:tcW w:w="624" w:type="dxa"/>
          </w:tcPr>
          <w:p w14:paraId="6C9D1D81" w14:textId="77777777" w:rsidR="00421E64" w:rsidRDefault="00421E64" w:rsidP="00990806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6281D17A" w14:textId="77777777" w:rsidR="00421E64" w:rsidRPr="00C82E36" w:rsidRDefault="00421E64" w:rsidP="00990806">
            <w:pPr>
              <w:pStyle w:val="TableBlock"/>
            </w:pPr>
            <w:r w:rsidRPr="00C82E36">
              <w:rPr>
                <w:rtl/>
              </w:rPr>
              <w:t xml:space="preserve">בחוק </w:t>
            </w:r>
            <w:r w:rsidRPr="00C82E36">
              <w:rPr>
                <w:rFonts w:hint="cs"/>
                <w:rtl/>
              </w:rPr>
              <w:t>לשכת עורכי הדין</w:t>
            </w:r>
            <w:r>
              <w:rPr>
                <w:rFonts w:hint="cs"/>
                <w:rtl/>
              </w:rPr>
              <w:t>,</w:t>
            </w:r>
            <w:r w:rsidRPr="00C82E36"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ה</w:t>
            </w:r>
            <w:r w:rsidRPr="00C82E36">
              <w:rPr>
                <w:rFonts w:hint="cs"/>
                <w:rtl/>
              </w:rPr>
              <w:t>תשכ"א</w:t>
            </w:r>
            <w:proofErr w:type="spellEnd"/>
            <w:r>
              <w:rPr>
                <w:rFonts w:hint="eastAsia"/>
                <w:rtl/>
              </w:rPr>
              <w:t>–</w:t>
            </w:r>
            <w:r w:rsidRPr="00C82E36">
              <w:rPr>
                <w:rFonts w:hint="cs"/>
                <w:rtl/>
              </w:rPr>
              <w:t>1961</w:t>
            </w:r>
            <w:r w:rsidRPr="00C82E36">
              <w:rPr>
                <w:rtl/>
              </w:rPr>
              <w:t xml:space="preserve">, </w:t>
            </w:r>
            <w:r w:rsidRPr="00C82E36">
              <w:rPr>
                <w:rFonts w:hint="cs"/>
                <w:rtl/>
              </w:rPr>
              <w:t>בסעיף 21(2)</w:t>
            </w:r>
            <w:r>
              <w:rPr>
                <w:rFonts w:hint="cs"/>
                <w:rtl/>
              </w:rPr>
              <w:t>,</w:t>
            </w:r>
            <w:r w:rsidRPr="00C82E3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אחרי</w:t>
            </w:r>
            <w:r w:rsidRPr="00C82E36">
              <w:rPr>
                <w:rFonts w:hint="cs"/>
                <w:rtl/>
              </w:rPr>
              <w:t xml:space="preserve"> "בתי דין דתיים</w:t>
            </w:r>
            <w:r>
              <w:rPr>
                <w:rFonts w:hint="cs"/>
                <w:rtl/>
              </w:rPr>
              <w:t>"</w:t>
            </w:r>
            <w:r w:rsidRPr="00C82E36">
              <w:rPr>
                <w:rFonts w:hint="cs"/>
                <w:rtl/>
              </w:rPr>
              <w:t xml:space="preserve"> יבוא "לפני בוררות </w:t>
            </w:r>
            <w:r>
              <w:rPr>
                <w:rFonts w:hint="cs"/>
                <w:rtl/>
              </w:rPr>
              <w:t>המתנהלת על פי הדין הדתי".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25781A84" w14:textId="77777777" w:rsidR="00421E64" w:rsidRPr="006F6A9E" w:rsidRDefault="00421E64" w:rsidP="009765CE">
      <w:pPr>
        <w:pStyle w:val="Hesber"/>
        <w:spacing w:line="276" w:lineRule="auto"/>
      </w:pPr>
      <w:r w:rsidRPr="006F6A9E">
        <w:rPr>
          <w:rtl/>
        </w:rPr>
        <w:t>בסעיף 20 לחוק לשכת עורכי הדין</w:t>
      </w:r>
      <w:r w:rsidRPr="006F6A9E">
        <w:rPr>
          <w:rFonts w:hint="cs"/>
          <w:rtl/>
        </w:rPr>
        <w:t>,</w:t>
      </w:r>
      <w:r w:rsidRPr="006F6A9E">
        <w:rPr>
          <w:rtl/>
        </w:rPr>
        <w:t xml:space="preserve"> </w:t>
      </w:r>
      <w:proofErr w:type="spellStart"/>
      <w:r w:rsidRPr="006F6A9E">
        <w:rPr>
          <w:rtl/>
        </w:rPr>
        <w:t>התשכ"א</w:t>
      </w:r>
      <w:proofErr w:type="spellEnd"/>
      <w:r w:rsidRPr="006F6A9E">
        <w:rPr>
          <w:rFonts w:hint="cs"/>
          <w:rtl/>
        </w:rPr>
        <w:t>–</w:t>
      </w:r>
      <w:r w:rsidRPr="006F6A9E">
        <w:rPr>
          <w:rtl/>
        </w:rPr>
        <w:t>1961</w:t>
      </w:r>
      <w:r w:rsidRPr="006F6A9E">
        <w:rPr>
          <w:rFonts w:hint="cs"/>
          <w:rtl/>
        </w:rPr>
        <w:t xml:space="preserve">, </w:t>
      </w:r>
      <w:r w:rsidRPr="006F6A9E">
        <w:rPr>
          <w:rtl/>
        </w:rPr>
        <w:t>נאסר על אדם שאיננו עורך דין לייצג</w:t>
      </w:r>
      <w:r w:rsidRPr="006F6A9E">
        <w:rPr>
          <w:rFonts w:hint="cs"/>
          <w:rtl/>
        </w:rPr>
        <w:t>,</w:t>
      </w:r>
      <w:r w:rsidRPr="006F6A9E">
        <w:rPr>
          <w:rtl/>
        </w:rPr>
        <w:t xml:space="preserve"> לטעון ולעשות פעולות אחרות, דרך עיסוק או בתמורה אף שלא בדרך עיסוק, לפני בתי משפט</w:t>
      </w:r>
      <w:r w:rsidRPr="006F6A9E">
        <w:rPr>
          <w:rFonts w:hint="cs"/>
          <w:rtl/>
        </w:rPr>
        <w:t>,</w:t>
      </w:r>
      <w:r w:rsidRPr="006F6A9E">
        <w:rPr>
          <w:rtl/>
        </w:rPr>
        <w:t xml:space="preserve"> בתי דין</w:t>
      </w:r>
      <w:r w:rsidRPr="006F6A9E">
        <w:rPr>
          <w:rFonts w:hint="cs"/>
          <w:rtl/>
        </w:rPr>
        <w:t>,</w:t>
      </w:r>
      <w:r w:rsidRPr="006F6A9E">
        <w:rPr>
          <w:rtl/>
        </w:rPr>
        <w:t xml:space="preserve"> בוררים וגופים או אנשים בעלי סמכות שיפוטית או מעין שיפוטית, למעט החריגים המנויים בחוק.</w:t>
      </w:r>
    </w:p>
    <w:p w14:paraId="0B9DF7C6" w14:textId="77777777" w:rsidR="00421E64" w:rsidRPr="006F6A9E" w:rsidRDefault="00421E64" w:rsidP="009765CE">
      <w:pPr>
        <w:pStyle w:val="Hesber"/>
        <w:spacing w:line="276" w:lineRule="auto"/>
        <w:rPr>
          <w:rtl/>
        </w:rPr>
      </w:pPr>
      <w:r w:rsidRPr="006F6A9E">
        <w:rPr>
          <w:rtl/>
        </w:rPr>
        <w:t>אחד החריגים בסעיף 21(2) לחוק הו</w:t>
      </w:r>
      <w:r w:rsidRPr="006F6A9E">
        <w:rPr>
          <w:rFonts w:hint="cs"/>
          <w:rtl/>
        </w:rPr>
        <w:t>א</w:t>
      </w:r>
      <w:r w:rsidRPr="006F6A9E">
        <w:rPr>
          <w:rtl/>
        </w:rPr>
        <w:t xml:space="preserve"> ייצוג בפני בתי דין דתיים.</w:t>
      </w:r>
      <w:r w:rsidRPr="006F6A9E">
        <w:rPr>
          <w:rFonts w:hint="cs"/>
          <w:rtl/>
        </w:rPr>
        <w:t xml:space="preserve"> </w:t>
      </w:r>
      <w:r w:rsidRPr="006F6A9E">
        <w:rPr>
          <w:rtl/>
        </w:rPr>
        <w:t xml:space="preserve">ואכן, על פי סעיף 1 לתקנות הטוענים הרבניים, </w:t>
      </w:r>
      <w:proofErr w:type="spellStart"/>
      <w:r w:rsidRPr="006F6A9E">
        <w:rPr>
          <w:rtl/>
        </w:rPr>
        <w:t>התשס"א</w:t>
      </w:r>
      <w:proofErr w:type="spellEnd"/>
      <w:r w:rsidRPr="006F6A9E">
        <w:rPr>
          <w:rFonts w:hint="cs"/>
          <w:rtl/>
        </w:rPr>
        <w:t>–</w:t>
      </w:r>
      <w:r w:rsidRPr="006F6A9E">
        <w:rPr>
          <w:rtl/>
        </w:rPr>
        <w:t>2001</w:t>
      </w:r>
      <w:r w:rsidRPr="006F6A9E">
        <w:rPr>
          <w:rFonts w:hint="cs"/>
          <w:rtl/>
        </w:rPr>
        <w:t>,</w:t>
      </w:r>
      <w:r w:rsidRPr="006F6A9E">
        <w:rPr>
          <w:rtl/>
        </w:rPr>
        <w:t xml:space="preserve"> ועל פי סעיף 7 לתקנות הטוענים </w:t>
      </w:r>
      <w:proofErr w:type="spellStart"/>
      <w:r w:rsidRPr="006F6A9E">
        <w:rPr>
          <w:rtl/>
        </w:rPr>
        <w:t>השרעיים</w:t>
      </w:r>
      <w:proofErr w:type="spellEnd"/>
      <w:r w:rsidRPr="006F6A9E">
        <w:rPr>
          <w:rtl/>
        </w:rPr>
        <w:t xml:space="preserve">, </w:t>
      </w:r>
      <w:proofErr w:type="spellStart"/>
      <w:r w:rsidRPr="006F6A9E">
        <w:rPr>
          <w:rtl/>
        </w:rPr>
        <w:t>התשכ"ג</w:t>
      </w:r>
      <w:proofErr w:type="spellEnd"/>
      <w:r w:rsidRPr="006F6A9E">
        <w:rPr>
          <w:rFonts w:hint="cs"/>
          <w:rtl/>
        </w:rPr>
        <w:t>–</w:t>
      </w:r>
      <w:r w:rsidRPr="006F6A9E">
        <w:rPr>
          <w:rtl/>
        </w:rPr>
        <w:t>1963</w:t>
      </w:r>
      <w:r w:rsidRPr="006F6A9E">
        <w:rPr>
          <w:rFonts w:hint="cs"/>
          <w:rtl/>
        </w:rPr>
        <w:t>,</w:t>
      </w:r>
      <w:r w:rsidRPr="006F6A9E">
        <w:rPr>
          <w:rtl/>
        </w:rPr>
        <w:t xml:space="preserve"> רשאים טוענים רבניים וטוענים שרעיים</w:t>
      </w:r>
      <w:r w:rsidRPr="006F6A9E">
        <w:rPr>
          <w:rFonts w:hint="cs"/>
          <w:rtl/>
        </w:rPr>
        <w:t>,</w:t>
      </w:r>
      <w:r w:rsidRPr="006F6A9E">
        <w:rPr>
          <w:rtl/>
        </w:rPr>
        <w:t xml:space="preserve"> כמשמעותם בחוק</w:t>
      </w:r>
      <w:r w:rsidRPr="006F6A9E">
        <w:rPr>
          <w:rFonts w:hint="cs"/>
          <w:rtl/>
        </w:rPr>
        <w:t>,</w:t>
      </w:r>
      <w:r w:rsidRPr="006F6A9E">
        <w:rPr>
          <w:rtl/>
        </w:rPr>
        <w:t xml:space="preserve"> לייצג בפני בית הדין הרבני או </w:t>
      </w:r>
      <w:proofErr w:type="spellStart"/>
      <w:r w:rsidRPr="006F6A9E">
        <w:rPr>
          <w:rtl/>
        </w:rPr>
        <w:t>השרעי</w:t>
      </w:r>
      <w:proofErr w:type="spellEnd"/>
      <w:r w:rsidRPr="006F6A9E">
        <w:rPr>
          <w:rtl/>
        </w:rPr>
        <w:t xml:space="preserve"> בהתאמה.</w:t>
      </w:r>
    </w:p>
    <w:p w14:paraId="463714C9" w14:textId="77777777" w:rsidR="00421E64" w:rsidRPr="006F6A9E" w:rsidRDefault="00421E64" w:rsidP="009765CE">
      <w:pPr>
        <w:pStyle w:val="Hesber"/>
        <w:spacing w:line="276" w:lineRule="auto"/>
        <w:rPr>
          <w:rtl/>
        </w:rPr>
      </w:pPr>
      <w:r w:rsidRPr="006F6A9E">
        <w:rPr>
          <w:rtl/>
        </w:rPr>
        <w:t>דא עקא, האוכלוסייה היהודית הדתית והאוכלוסייה המוסלמית מנהל</w:t>
      </w:r>
      <w:r w:rsidRPr="006F6A9E">
        <w:rPr>
          <w:rFonts w:hint="cs"/>
          <w:rtl/>
        </w:rPr>
        <w:t>ות</w:t>
      </w:r>
      <w:r w:rsidRPr="006F6A9E">
        <w:rPr>
          <w:rtl/>
        </w:rPr>
        <w:t xml:space="preserve"> חלק נכבד מהסכסוכים ביניהם במסגרת ערכאות פרטיות המשמשות כבוררים. כך למשל בציבור היהודי דתי, מקובל שבכל קהילה קיים בית דין לממונות אשר למעשה אינו מוסמך בחוק כלשהו, </w:t>
      </w:r>
      <w:r w:rsidRPr="006F6A9E">
        <w:rPr>
          <w:rFonts w:hint="cs"/>
          <w:rtl/>
        </w:rPr>
        <w:t>ו</w:t>
      </w:r>
      <w:r w:rsidRPr="006F6A9E">
        <w:rPr>
          <w:rtl/>
        </w:rPr>
        <w:t>סמכותו ניתנת לו על ידי הצדדים ובהתאם לחוק הבוררות (קיימים בתי דין לממונות השייכים למועצות הדתיות ומתקצבים על ידי משרד הדתות, אך סמכותם היא מכוח בוררות ולא כערכאה שיפוטית</w:t>
      </w:r>
      <w:r w:rsidRPr="006F6A9E">
        <w:rPr>
          <w:rFonts w:hint="cs"/>
          <w:rtl/>
        </w:rPr>
        <w:t>)</w:t>
      </w:r>
      <w:r w:rsidRPr="006F6A9E">
        <w:rPr>
          <w:rtl/>
        </w:rPr>
        <w:t>.</w:t>
      </w:r>
    </w:p>
    <w:p w14:paraId="4A254327" w14:textId="77777777" w:rsidR="00421E64" w:rsidRPr="006F6A9E" w:rsidRDefault="00421E64" w:rsidP="009765CE">
      <w:pPr>
        <w:pStyle w:val="Hesber"/>
        <w:spacing w:line="276" w:lineRule="auto"/>
        <w:rPr>
          <w:rtl/>
        </w:rPr>
      </w:pPr>
      <w:r w:rsidRPr="006F6A9E">
        <w:rPr>
          <w:rtl/>
        </w:rPr>
        <w:t xml:space="preserve">כאמור לעיל, הייצוג המותר הוא אך ורק בפני בית הדין המוסמך בחוק, קרי, בית הדין הרבני או בית הדין </w:t>
      </w:r>
      <w:proofErr w:type="spellStart"/>
      <w:r w:rsidRPr="006F6A9E">
        <w:rPr>
          <w:rtl/>
        </w:rPr>
        <w:t>השרעי</w:t>
      </w:r>
      <w:proofErr w:type="spellEnd"/>
      <w:r w:rsidRPr="006F6A9E">
        <w:rPr>
          <w:rtl/>
        </w:rPr>
        <w:t>. לעומת זאת חוק לשכת עורכי הדין אוסר על מי שאינו עו</w:t>
      </w:r>
      <w:r w:rsidRPr="006F6A9E">
        <w:rPr>
          <w:rFonts w:hint="cs"/>
          <w:rtl/>
        </w:rPr>
        <w:t>רך דין</w:t>
      </w:r>
      <w:r w:rsidRPr="006F6A9E">
        <w:rPr>
          <w:rtl/>
        </w:rPr>
        <w:t xml:space="preserve"> לייצג בפני בוררים.</w:t>
      </w:r>
    </w:p>
    <w:p w14:paraId="128E0ABC" w14:textId="77777777" w:rsidR="00421E64" w:rsidRPr="006F6A9E" w:rsidRDefault="00421E64" w:rsidP="009765CE">
      <w:pPr>
        <w:pStyle w:val="Hesber"/>
        <w:spacing w:line="276" w:lineRule="auto"/>
        <w:rPr>
          <w:rtl/>
        </w:rPr>
      </w:pPr>
      <w:r w:rsidRPr="006F6A9E">
        <w:rPr>
          <w:rtl/>
        </w:rPr>
        <w:t xml:space="preserve">אומנם טוענים רבניים מייצגים בבתי הדין לממונות כדבר שבשגרה, אך הדבר מהווה עבירה על החוק </w:t>
      </w:r>
      <w:r w:rsidRPr="006F6A9E">
        <w:rPr>
          <w:rFonts w:hint="cs"/>
          <w:rtl/>
        </w:rPr>
        <w:t>ו</w:t>
      </w:r>
      <w:r w:rsidRPr="006F6A9E">
        <w:rPr>
          <w:rtl/>
        </w:rPr>
        <w:t>אינו מוסדר כיום. יצוין כי איש המקצוע המתאים ביותר לייצג בפני בית הדין לממונות הוא דווקא הטוען הרבני ולא עורך הדין</w:t>
      </w:r>
      <w:r w:rsidRPr="006F6A9E">
        <w:rPr>
          <w:rFonts w:hint="cs"/>
          <w:rtl/>
        </w:rPr>
        <w:t xml:space="preserve">, </w:t>
      </w:r>
      <w:r w:rsidRPr="006F6A9E">
        <w:rPr>
          <w:rtl/>
        </w:rPr>
        <w:t xml:space="preserve">משום שבתי דין אלו דנים על פי הדין הדתי ולא על פי הדין הישראלי בהכרח. </w:t>
      </w:r>
    </w:p>
    <w:p w14:paraId="7F6961CB" w14:textId="48CB7495" w:rsidR="00E13C27" w:rsidRPr="006F6A9E" w:rsidRDefault="00421E64" w:rsidP="009765CE">
      <w:pPr>
        <w:pStyle w:val="Hesber"/>
        <w:spacing w:line="276" w:lineRule="auto"/>
        <w:rPr>
          <w:rtl/>
        </w:rPr>
      </w:pPr>
      <w:r w:rsidRPr="006F6A9E">
        <w:rPr>
          <w:rtl/>
        </w:rPr>
        <w:t xml:space="preserve">מוצע להסדיר את הפרקטיקה הנוהגת ממילא ולאפשר לטוען הרבני </w:t>
      </w:r>
      <w:proofErr w:type="spellStart"/>
      <w:r w:rsidRPr="006F6A9E">
        <w:rPr>
          <w:rtl/>
        </w:rPr>
        <w:t>והשרעי</w:t>
      </w:r>
      <w:proofErr w:type="spellEnd"/>
      <w:r w:rsidRPr="006F6A9E">
        <w:rPr>
          <w:rtl/>
        </w:rPr>
        <w:t xml:space="preserve"> לעשות עבודתם נאמנה ולהמשיך לייצג בבתי הדין לממונות בלא לעבור על החוק ולעבור עבירה מפאת חוסר ידיעה או </w:t>
      </w:r>
      <w:r w:rsidRPr="006F6A9E">
        <w:rPr>
          <w:rFonts w:hint="cs"/>
          <w:rtl/>
        </w:rPr>
        <w:t>נוהג שגוי שהשתרש בתום לב.</w:t>
      </w:r>
    </w:p>
    <w:p w14:paraId="40445710" w14:textId="7EAD825B" w:rsidR="006F0A53" w:rsidRDefault="006F6A9E" w:rsidP="009765CE">
      <w:pPr>
        <w:pStyle w:val="Hesber"/>
        <w:spacing w:line="276" w:lineRule="auto"/>
        <w:rPr>
          <w:rtl/>
        </w:rPr>
      </w:pPr>
      <w:r w:rsidRPr="006F6A9E">
        <w:rPr>
          <w:rFonts w:hint="cs"/>
          <w:rtl/>
        </w:rPr>
        <w:t xml:space="preserve">הצעת חוק זהה הונחה על שולחן הכנסת העשרים על ידי חבר הכנסת מיכאל </w:t>
      </w:r>
      <w:proofErr w:type="spellStart"/>
      <w:r w:rsidRPr="006F6A9E">
        <w:rPr>
          <w:rFonts w:hint="cs"/>
          <w:rtl/>
        </w:rPr>
        <w:t>מלכיאלי</w:t>
      </w:r>
      <w:proofErr w:type="spellEnd"/>
      <w:r w:rsidRPr="006F6A9E">
        <w:rPr>
          <w:rFonts w:hint="cs"/>
          <w:rtl/>
        </w:rPr>
        <w:t xml:space="preserve"> וקבוצת חברי הכנסת (פ/5445/20).</w:t>
      </w:r>
    </w:p>
    <w:p w14:paraId="72415524" w14:textId="77777777" w:rsidR="009765CE" w:rsidRDefault="009765CE" w:rsidP="009765CE">
      <w:pPr>
        <w:pStyle w:val="Hesber"/>
        <w:spacing w:line="276" w:lineRule="auto"/>
        <w:rPr>
          <w:rtl/>
        </w:rPr>
      </w:pPr>
    </w:p>
    <w:p w14:paraId="4F6C45D5" w14:textId="77777777" w:rsidR="009765CE" w:rsidRDefault="009765CE" w:rsidP="009765CE">
      <w:pPr>
        <w:pStyle w:val="Hesber"/>
        <w:spacing w:line="276" w:lineRule="auto"/>
        <w:rPr>
          <w:rtl/>
        </w:rPr>
      </w:pPr>
      <w:bookmarkStart w:id="5" w:name="_GoBack"/>
      <w:bookmarkEnd w:id="5"/>
    </w:p>
    <w:p w14:paraId="4B998EF6" w14:textId="77777777" w:rsidR="009765CE" w:rsidRPr="00D73212" w:rsidRDefault="009765CE" w:rsidP="009765CE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5D0E5F56" w14:textId="77777777" w:rsidR="009765CE" w:rsidRPr="00D73212" w:rsidRDefault="009765CE" w:rsidP="009765CE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0B6C5CA2" w14:textId="77777777" w:rsidR="009765CE" w:rsidRPr="00D73212" w:rsidRDefault="009765CE" w:rsidP="009765CE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62C57154" w14:textId="572A6607" w:rsidR="009765CE" w:rsidRPr="006F6A9E" w:rsidRDefault="009765CE" w:rsidP="009765CE">
      <w:pPr>
        <w:pStyle w:val="Hesber"/>
        <w:rPr>
          <w:rtl/>
        </w:rPr>
      </w:pPr>
      <w:r>
        <w:rPr>
          <w:rFonts w:hint="cs"/>
          <w:color w:val="auto"/>
          <w:rtl/>
          <w:lang w:eastAsia="en-US"/>
        </w:rPr>
        <w:t>כ' בחשוון</w:t>
      </w:r>
      <w:r w:rsidRPr="00D73212">
        <w:rPr>
          <w:color w:val="auto"/>
          <w:rtl/>
          <w:lang w:eastAsia="en-US"/>
        </w:rPr>
        <w:t xml:space="preserve"> </w:t>
      </w:r>
      <w:proofErr w:type="spellStart"/>
      <w:r>
        <w:rPr>
          <w:rFonts w:hint="cs"/>
          <w:color w:val="auto"/>
          <w:rtl/>
          <w:lang w:eastAsia="en-US"/>
        </w:rPr>
        <w:t>התש"ף</w:t>
      </w:r>
      <w:proofErr w:type="spellEnd"/>
      <w:r>
        <w:rPr>
          <w:rFonts w:hint="cs"/>
          <w:color w:val="auto"/>
          <w:rtl/>
          <w:lang w:eastAsia="en-US"/>
        </w:rPr>
        <w:t xml:space="preserve">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18.11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19  </w:t>
      </w:r>
    </w:p>
    <w:sectPr w:rsidR="009765CE" w:rsidRPr="006F6A9E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9765CE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21E64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6F0A53"/>
    <w:rsid w:val="006F6A9E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765CE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5F73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C096D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50DBB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2FB254E3-386B-4741-8A90-4D42773A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50981437779E428456932B2A638612" ma:contentTypeVersion="" ma:contentTypeDescription="צור מסמך חדש." ma:contentTypeScope="" ma:versionID="2df30a1b375d11bf545563b3a0868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3DC6B3-4089-42D4-80DA-10E44942F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3F8AA7-10CD-481F-B8B7-93AB7736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11</cp:revision>
  <cp:lastPrinted>2019-11-04T15:55:00Z</cp:lastPrinted>
  <dcterms:created xsi:type="dcterms:W3CDTF">2015-04-20T09:58:00Z</dcterms:created>
  <dcterms:modified xsi:type="dcterms:W3CDTF">2019-11-13T10:09:00Z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0x0101003A50981437779E428456932B2A638612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2081396</vt:r8>
  </property>
</Properties>
</file>