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F6961A1" w14:textId="77777777" w:rsidR="002C2E29" w:rsidRPr="00E635A2" w:rsidRDefault="004033D8" w:rsidP="00E635A2">
      <w:pPr>
        <w:jc w:val="right"/>
        <w:rPr>
          <w:b/>
          <w:bCs/>
          <w:sz w:val="20"/>
          <w:szCs w:val="20"/>
        </w:rPr>
      </w:pPr>
      <w:r w:rsidRPr="00E635A2">
        <w:rPr>
          <w:rFonts w:hint="cs"/>
          <w:sz w:val="20"/>
          <w:szCs w:val="20"/>
          <w:rtl/>
        </w:rPr>
        <w:t xml:space="preserve">מספר פנימי: </w:t>
      </w:r>
      <w:bookmarkStart w:id="0" w:name="LGS_Internal_ID"/>
      <w:r>
        <w:rPr>
          <w:rFonts w:hint="cs"/>
          <w:sz w:val="20"/>
          <w:szCs w:val="20"/>
          <w:rtl/>
        </w:rPr>
        <w:t>2081779</w:t>
      </w:r>
      <w:bookmarkEnd w:id="0"/>
    </w:p>
    <w:p w14:paraId="7F6961A2" w14:textId="7FB26483" w:rsidR="00E13C27" w:rsidRPr="00DB7060" w:rsidRDefault="00E13C27" w:rsidP="00A443CF">
      <w:pPr>
        <w:pStyle w:val="HeadHatzaotHok"/>
        <w:rPr>
          <w:sz w:val="28"/>
          <w:szCs w:val="28"/>
          <w:rtl/>
        </w:rPr>
      </w:pPr>
      <w:bookmarkStart w:id="1" w:name="LGS_Knesset_Num"/>
      <w:r>
        <w:rPr>
          <w:rFonts w:hint="cs"/>
          <w:sz w:val="28"/>
          <w:szCs w:val="28"/>
          <w:rtl/>
        </w:rPr>
        <w:t>הכנסת העשרים ושתיים</w:t>
      </w:r>
      <w:bookmarkEnd w:id="1"/>
    </w:p>
    <w:p w14:paraId="7F6961A3" w14:textId="77777777" w:rsidR="00E13C27" w:rsidRPr="00F67051" w:rsidRDefault="00E13C27" w:rsidP="00E13C27">
      <w:pPr>
        <w:rPr>
          <w:b/>
          <w:bCs/>
          <w:sz w:val="26"/>
          <w:szCs w:val="26"/>
          <w:rtl/>
        </w:rPr>
      </w:pPr>
    </w:p>
    <w:p w14:paraId="7F6961A6" w14:textId="77777777" w:rsidR="00E13C27" w:rsidRDefault="008F6665" w:rsidP="00930EFE">
      <w:pPr>
        <w:pStyle w:val="David"/>
        <w:ind w:left="3544"/>
        <w:rPr>
          <w:b/>
          <w:bCs/>
          <w:rtl/>
        </w:rPr>
      </w:pPr>
      <w:bookmarkStart w:id="2" w:name="LGS_Initiators_List"/>
      <w:r>
        <w:rPr>
          <w:b/>
          <w:bCs/>
          <w:rtl/>
        </w:rPr>
        <w:t>יוזם:</w:t>
      </w:r>
      <w:r>
        <w:tab/>
      </w:r>
      <w:r>
        <w:rPr>
          <w:b/>
          <w:bCs/>
          <w:rtl/>
        </w:rPr>
        <w:t xml:space="preserve">      חבר הכנסת</w:t>
      </w:r>
      <w:bookmarkEnd w:id="2"/>
      <w:r w:rsidR="00B35784" w:rsidRPr="00F67051">
        <w:rPr>
          <w:b/>
          <w:bCs/>
        </w:rPr>
        <w:tab/>
      </w:r>
      <w:bookmarkStart w:id="3" w:name="LGS_PM_Names"/>
      <w:r>
        <w:rPr>
          <w:rFonts w:hint="cs"/>
          <w:b/>
          <w:bCs/>
          <w:rtl/>
        </w:rPr>
        <w:t>מיכאל מרדכי ביטון</w:t>
      </w:r>
      <w:bookmarkEnd w:id="3"/>
    </w:p>
    <w:p w14:paraId="34DB4103" w14:textId="77777777" w:rsidR="00904591" w:rsidRPr="00904591" w:rsidRDefault="00266D86" w:rsidP="0036422C">
      <w:pPr>
        <w:pStyle w:val="David"/>
        <w:ind w:left="3544"/>
        <w:rPr>
          <w:sz w:val="4"/>
          <w:szCs w:val="4"/>
          <w:rtl/>
        </w:rPr>
      </w:pPr>
      <w:r>
        <w:t>____</w:t>
      </w:r>
      <w:r w:rsidR="00E374F2">
        <w:t>__</w:t>
      </w:r>
      <w:r>
        <w:t>________________________________________</w:t>
      </w:r>
      <w:r w:rsidR="00E06736" w:rsidRPr="00E06736">
        <w:tab/>
      </w:r>
      <w:r w:rsidR="00E13C27" w:rsidRPr="00E06736">
        <w:rPr>
          <w:rFonts w:hint="cs"/>
          <w:rtl/>
        </w:rPr>
        <w:tab/>
      </w:r>
      <w:r w:rsidR="00E13C27" w:rsidRPr="00E06736">
        <w:rPr>
          <w:rFonts w:hint="cs"/>
          <w:rtl/>
        </w:rPr>
        <w:tab/>
      </w:r>
      <w:r w:rsidR="00E13C27" w:rsidRPr="00E06736">
        <w:rPr>
          <w:rFonts w:hint="cs"/>
          <w:rtl/>
        </w:rPr>
        <w:tab/>
      </w:r>
      <w:r w:rsidR="00904591">
        <w:t xml:space="preserve">           </w:t>
      </w:r>
    </w:p>
    <w:p w14:paraId="7F6961AB" w14:textId="4D775827" w:rsidR="00E13C27" w:rsidRPr="00E06736" w:rsidRDefault="00904591" w:rsidP="00F42C16">
      <w:pPr>
        <w:pStyle w:val="David"/>
        <w:spacing w:line="240" w:lineRule="auto"/>
        <w:ind w:left="6424" w:firstLine="56"/>
        <w:rPr>
          <w:rtl/>
        </w:rPr>
      </w:pPr>
      <w:bookmarkStart w:id="4" w:name="Private_Number"/>
      <w:r>
        <w:rPr>
          <w:rFonts w:hint="cs"/>
          <w:rtl/>
        </w:rPr>
        <w:t>פ/392/22</w:t>
      </w:r>
      <w:bookmarkEnd w:id="4"/>
    </w:p>
    <w:p w14:paraId="7F6961AD" w14:textId="77777777" w:rsidR="00E13C27" w:rsidRPr="00F67051" w:rsidRDefault="00A443CF" w:rsidP="0021633A">
      <w:pPr>
        <w:pStyle w:val="HeadHatzaotHok"/>
        <w:rPr>
          <w:rtl/>
        </w:rPr>
      </w:pPr>
      <w:bookmarkStart w:id="5" w:name="LGS_Subject"/>
      <w:r>
        <w:rPr>
          <w:rFonts w:hint="cs"/>
          <w:rtl/>
        </w:rPr>
        <w:t xml:space="preserve">הצעת חוק הבחירות לכנסת (תיקון – שלילת הזכות לשכר ביום הבחירות ממי שאינו מצביע), </w:t>
      </w:r>
      <w:proofErr w:type="spellStart"/>
      <w:r>
        <w:rPr>
          <w:rFonts w:hint="cs"/>
          <w:rtl/>
        </w:rPr>
        <w:t>התש"ף</w:t>
      </w:r>
      <w:proofErr w:type="spellEnd"/>
      <w:r>
        <w:rPr>
          <w:rFonts w:hint="cs"/>
          <w:rtl/>
        </w:rPr>
        <w:t>–2019</w:t>
      </w:r>
      <w:bookmarkEnd w:id="5"/>
    </w:p>
    <w:tbl>
      <w:tblPr>
        <w:bidiVisual/>
        <w:tblW w:w="9638" w:type="dxa"/>
        <w:tblLayout w:type="fixed"/>
        <w:tblCellMar>
          <w:top w:w="57" w:type="dxa"/>
          <w:left w:w="0" w:type="dxa"/>
          <w:bottom w:w="57" w:type="dxa"/>
          <w:right w:w="0" w:type="dxa"/>
        </w:tblCellMar>
        <w:tblLook w:val="01E0" w:firstRow="1" w:lastRow="1" w:firstColumn="1" w:lastColumn="1" w:noHBand="0" w:noVBand="0"/>
      </w:tblPr>
      <w:tblGrid>
        <w:gridCol w:w="1871"/>
        <w:gridCol w:w="624"/>
        <w:gridCol w:w="1871"/>
        <w:gridCol w:w="624"/>
        <w:gridCol w:w="4648"/>
      </w:tblGrid>
      <w:tr w:rsidR="007630DE" w:rsidRPr="0053014A" w14:paraId="66CF49E7" w14:textId="77777777" w:rsidTr="00F370C1">
        <w:trPr>
          <w:cantSplit/>
        </w:trPr>
        <w:tc>
          <w:tcPr>
            <w:tcW w:w="1871" w:type="dxa"/>
          </w:tcPr>
          <w:p w14:paraId="54E6CE64" w14:textId="77777777" w:rsidR="007630DE" w:rsidRPr="0053014A" w:rsidRDefault="007630DE" w:rsidP="007630DE">
            <w:pPr>
              <w:pStyle w:val="TableSideHeading"/>
              <w:keepLines w:val="0"/>
              <w:rPr>
                <w:rtl/>
              </w:rPr>
            </w:pPr>
            <w:r>
              <w:rPr>
                <w:rFonts w:hint="cs"/>
                <w:rtl/>
              </w:rPr>
              <w:t>הוספת סעיף 74ב</w:t>
            </w:r>
          </w:p>
        </w:tc>
        <w:tc>
          <w:tcPr>
            <w:tcW w:w="624" w:type="dxa"/>
          </w:tcPr>
          <w:p w14:paraId="3588B2D6" w14:textId="77777777" w:rsidR="007630DE" w:rsidRPr="0053014A" w:rsidRDefault="007630DE" w:rsidP="007630DE">
            <w:pPr>
              <w:pStyle w:val="TableText"/>
              <w:keepLines w:val="0"/>
            </w:pPr>
            <w:r w:rsidRPr="0053014A">
              <w:rPr>
                <w:rFonts w:hint="cs"/>
                <w:rtl/>
              </w:rPr>
              <w:t>1.</w:t>
            </w:r>
          </w:p>
        </w:tc>
        <w:tc>
          <w:tcPr>
            <w:tcW w:w="7143" w:type="dxa"/>
            <w:gridSpan w:val="3"/>
          </w:tcPr>
          <w:p w14:paraId="584193C8" w14:textId="7442956C" w:rsidR="007630DE" w:rsidRPr="00F370C1" w:rsidRDefault="007630DE" w:rsidP="00F370C1">
            <w:pPr>
              <w:pStyle w:val="TableBlock"/>
              <w:rPr>
                <w:b/>
                <w:bCs/>
              </w:rPr>
            </w:pPr>
            <w:r w:rsidRPr="007630DE">
              <w:rPr>
                <w:rFonts w:hint="cs"/>
                <w:rtl/>
              </w:rPr>
              <w:t xml:space="preserve">בחוק הבחירות לכנסת [נוסח משולב], </w:t>
            </w:r>
            <w:proofErr w:type="spellStart"/>
            <w:r w:rsidRPr="007630DE">
              <w:rPr>
                <w:rFonts w:hint="cs"/>
                <w:rtl/>
              </w:rPr>
              <w:t>התשכ"ט</w:t>
            </w:r>
            <w:proofErr w:type="spellEnd"/>
            <w:r w:rsidRPr="007630DE">
              <w:rPr>
                <w:rFonts w:hint="eastAsia"/>
                <w:rtl/>
              </w:rPr>
              <w:t>–</w:t>
            </w:r>
            <w:r w:rsidRPr="007630DE">
              <w:rPr>
                <w:rFonts w:hint="cs"/>
                <w:rtl/>
              </w:rPr>
              <w:t>1969</w:t>
            </w:r>
            <w:r w:rsidRPr="00F370C1">
              <w:rPr>
                <w:rStyle w:val="a6"/>
                <w:rFonts w:ascii="David" w:hAnsi="David"/>
                <w:sz w:val="26"/>
                <w:rtl/>
              </w:rPr>
              <w:footnoteReference w:id="2"/>
            </w:r>
            <w:r w:rsidR="00F370C1">
              <w:rPr>
                <w:rFonts w:hint="cs"/>
                <w:rtl/>
              </w:rPr>
              <w:t xml:space="preserve"> </w:t>
            </w:r>
            <w:r w:rsidRPr="007630DE">
              <w:rPr>
                <w:rFonts w:hint="cs"/>
                <w:rtl/>
              </w:rPr>
              <w:t xml:space="preserve">(להלן </w:t>
            </w:r>
            <w:r w:rsidRPr="007630DE">
              <w:rPr>
                <w:rtl/>
              </w:rPr>
              <w:t>–</w:t>
            </w:r>
            <w:r w:rsidR="00F370C1">
              <w:rPr>
                <w:rFonts w:hint="cs"/>
                <w:b/>
                <w:bCs/>
                <w:rtl/>
              </w:rPr>
              <w:t xml:space="preserve"> </w:t>
            </w:r>
            <w:r w:rsidR="00F370C1" w:rsidRPr="00F370C1">
              <w:rPr>
                <w:rFonts w:hint="cs"/>
                <w:rtl/>
              </w:rPr>
              <w:t>החוק</w:t>
            </w:r>
            <w:r w:rsidR="00F370C1">
              <w:rPr>
                <w:rFonts w:hint="cs"/>
                <w:b/>
                <w:bCs/>
                <w:rtl/>
              </w:rPr>
              <w:t xml:space="preserve"> </w:t>
            </w:r>
            <w:r w:rsidRPr="007630DE">
              <w:rPr>
                <w:rFonts w:hint="cs"/>
                <w:rtl/>
              </w:rPr>
              <w:t>העיקרי), אחרי סעיף 74א יבוא</w:t>
            </w:r>
            <w:r w:rsidRPr="00F370C1">
              <w:rPr>
                <w:rFonts w:hint="cs"/>
                <w:rtl/>
              </w:rPr>
              <w:t>:</w:t>
            </w:r>
          </w:p>
        </w:tc>
      </w:tr>
      <w:tr w:rsidR="007630DE" w14:paraId="7282378C" w14:textId="77777777" w:rsidTr="00F370C1">
        <w:tblPrEx>
          <w:tblLook w:val="0000" w:firstRow="0" w:lastRow="0" w:firstColumn="0" w:lastColumn="0" w:noHBand="0" w:noVBand="0"/>
        </w:tblPrEx>
        <w:trPr>
          <w:cantSplit/>
        </w:trPr>
        <w:tc>
          <w:tcPr>
            <w:tcW w:w="1871" w:type="dxa"/>
          </w:tcPr>
          <w:p w14:paraId="3953127D" w14:textId="77777777" w:rsidR="007630DE" w:rsidRDefault="007630DE" w:rsidP="00245B1E">
            <w:pPr>
              <w:pStyle w:val="TableSideHeading"/>
              <w:rPr>
                <w:rtl/>
              </w:rPr>
            </w:pPr>
          </w:p>
        </w:tc>
        <w:tc>
          <w:tcPr>
            <w:tcW w:w="624" w:type="dxa"/>
          </w:tcPr>
          <w:p w14:paraId="42F90AA5" w14:textId="77777777" w:rsidR="007630DE" w:rsidRPr="0053014A" w:rsidRDefault="007630DE" w:rsidP="00245B1E">
            <w:pPr>
              <w:pStyle w:val="TableText"/>
              <w:rPr>
                <w:rtl/>
              </w:rPr>
            </w:pPr>
          </w:p>
        </w:tc>
        <w:tc>
          <w:tcPr>
            <w:tcW w:w="1871" w:type="dxa"/>
          </w:tcPr>
          <w:p w14:paraId="671A2F7C" w14:textId="77777777" w:rsidR="007630DE" w:rsidRDefault="007630DE" w:rsidP="007630DE">
            <w:pPr>
              <w:pStyle w:val="TableInnerSideHeading"/>
              <w:rPr>
                <w:rtl/>
              </w:rPr>
            </w:pPr>
            <w:r>
              <w:rPr>
                <w:rFonts w:hint="cs"/>
                <w:rtl/>
              </w:rPr>
              <w:t>"אישור על הצבעה</w:t>
            </w:r>
          </w:p>
        </w:tc>
        <w:tc>
          <w:tcPr>
            <w:tcW w:w="624" w:type="dxa"/>
          </w:tcPr>
          <w:p w14:paraId="729C9630" w14:textId="77777777" w:rsidR="007630DE" w:rsidRDefault="007630DE" w:rsidP="007630DE">
            <w:pPr>
              <w:pStyle w:val="TableText"/>
              <w:rPr>
                <w:rtl/>
              </w:rPr>
            </w:pPr>
            <w:r>
              <w:rPr>
                <w:rFonts w:hint="cs"/>
                <w:rtl/>
              </w:rPr>
              <w:t>74ב.</w:t>
            </w:r>
          </w:p>
        </w:tc>
        <w:tc>
          <w:tcPr>
            <w:tcW w:w="4648" w:type="dxa"/>
          </w:tcPr>
          <w:p w14:paraId="7C3AB016" w14:textId="77777777" w:rsidR="007630DE" w:rsidRDefault="007630DE" w:rsidP="00F370C1">
            <w:pPr>
              <w:pStyle w:val="TableBlock"/>
              <w:rPr>
                <w:rtl/>
              </w:rPr>
            </w:pPr>
            <w:r>
              <w:rPr>
                <w:rFonts w:hint="cs"/>
                <w:rtl/>
              </w:rPr>
              <w:t>בוחר שהצביע, תמסור לידיו ועדת הקלפי אישור על הצבעתו; האישור שיימסר כאמור בסעיף זה ישמש ראיה מספקת לשם הוכחת הצבעה לצורך סעיף 136."</w:t>
            </w:r>
          </w:p>
        </w:tc>
      </w:tr>
      <w:tr w:rsidR="007630DE" w14:paraId="28BE22BC" w14:textId="77777777" w:rsidTr="00F370C1">
        <w:tblPrEx>
          <w:tblLook w:val="0000" w:firstRow="0" w:lastRow="0" w:firstColumn="0" w:lastColumn="0" w:noHBand="0" w:noVBand="0"/>
        </w:tblPrEx>
        <w:trPr>
          <w:cantSplit/>
        </w:trPr>
        <w:tc>
          <w:tcPr>
            <w:tcW w:w="1871" w:type="dxa"/>
          </w:tcPr>
          <w:p w14:paraId="0899E3EF" w14:textId="77777777" w:rsidR="007630DE" w:rsidRDefault="007630DE" w:rsidP="00245B1E">
            <w:pPr>
              <w:pStyle w:val="TableSideHeading"/>
              <w:rPr>
                <w:rtl/>
              </w:rPr>
            </w:pPr>
            <w:r>
              <w:rPr>
                <w:rFonts w:hint="cs"/>
                <w:rtl/>
              </w:rPr>
              <w:t>תיקון סעיף 136</w:t>
            </w:r>
          </w:p>
        </w:tc>
        <w:tc>
          <w:tcPr>
            <w:tcW w:w="624" w:type="dxa"/>
          </w:tcPr>
          <w:p w14:paraId="12C9F4DC" w14:textId="77777777" w:rsidR="007630DE" w:rsidRPr="0053014A" w:rsidRDefault="007630DE" w:rsidP="00245B1E">
            <w:pPr>
              <w:pStyle w:val="TableText"/>
              <w:rPr>
                <w:rtl/>
              </w:rPr>
            </w:pPr>
            <w:r>
              <w:rPr>
                <w:rFonts w:hint="cs"/>
                <w:rtl/>
              </w:rPr>
              <w:t>2.</w:t>
            </w:r>
          </w:p>
        </w:tc>
        <w:tc>
          <w:tcPr>
            <w:tcW w:w="7143" w:type="dxa"/>
            <w:gridSpan w:val="3"/>
          </w:tcPr>
          <w:p w14:paraId="68C355C4" w14:textId="77777777" w:rsidR="007630DE" w:rsidRDefault="007630DE" w:rsidP="00F370C1">
            <w:pPr>
              <w:pStyle w:val="TableBlock"/>
              <w:rPr>
                <w:rtl/>
              </w:rPr>
            </w:pPr>
            <w:r>
              <w:rPr>
                <w:rFonts w:hint="cs"/>
                <w:rtl/>
              </w:rPr>
              <w:t>בסעיף 136 לחוק העיקרי, בסופו יבוא "ובלבד שאותו עובד הצביע בבחירות".</w:t>
            </w:r>
          </w:p>
        </w:tc>
      </w:tr>
    </w:tbl>
    <w:p w14:paraId="7F6961CA" w14:textId="77777777" w:rsidR="002D1EE3" w:rsidRDefault="002D1EE3" w:rsidP="006B7976">
      <w:pPr>
        <w:pStyle w:val="HeadDivreiHesber"/>
        <w:rPr>
          <w:rtl/>
        </w:rPr>
      </w:pPr>
      <w:r w:rsidRPr="006B7976">
        <w:rPr>
          <w:rFonts w:hint="cs"/>
          <w:rtl/>
        </w:rPr>
        <w:t>דברי</w:t>
      </w:r>
      <w:r w:rsidRPr="0027450A">
        <w:rPr>
          <w:rFonts w:hint="cs"/>
          <w:rtl/>
        </w:rPr>
        <w:t xml:space="preserve"> הסבר</w:t>
      </w:r>
    </w:p>
    <w:p w14:paraId="62C3439D" w14:textId="6A88602C" w:rsidR="007630DE" w:rsidRPr="006B7976" w:rsidRDefault="007630DE" w:rsidP="00260FC8">
      <w:pPr>
        <w:pStyle w:val="Hesber"/>
        <w:spacing w:line="276" w:lineRule="auto"/>
        <w:rPr>
          <w:rtl/>
        </w:rPr>
      </w:pPr>
      <w:r w:rsidRPr="006B7976">
        <w:rPr>
          <w:rtl/>
        </w:rPr>
        <w:t xml:space="preserve">כל אזרח אשר הגיע לגיל 18 מקבל את זכות ההצבעה. זכות ההצבעה מאפשרת לאזרח להצביע לבחירות </w:t>
      </w:r>
      <w:r w:rsidR="006B7976">
        <w:rPr>
          <w:rFonts w:hint="cs"/>
          <w:rtl/>
        </w:rPr>
        <w:t>ל</w:t>
      </w:r>
      <w:r w:rsidRPr="006B7976">
        <w:rPr>
          <w:rtl/>
        </w:rPr>
        <w:t>כנסת ולקבוע</w:t>
      </w:r>
      <w:r w:rsidR="006B7976">
        <w:rPr>
          <w:rFonts w:hint="cs"/>
          <w:rtl/>
        </w:rPr>
        <w:t xml:space="preserve"> את</w:t>
      </w:r>
      <w:r w:rsidRPr="006B7976">
        <w:rPr>
          <w:rtl/>
        </w:rPr>
        <w:t xml:space="preserve"> הרכב הכנסת. יום הבחירות הוא יום חופש ויום חג לדמוקרטיה ואף נקבע בסעיף 10 לחוק-יסוד: הכנסת כי יום הבחירות לכנסת הוא יום שבתון.</w:t>
      </w:r>
    </w:p>
    <w:p w14:paraId="7805C3A3" w14:textId="77777777" w:rsidR="007630DE" w:rsidRPr="006B7976" w:rsidRDefault="007630DE" w:rsidP="00260FC8">
      <w:pPr>
        <w:pStyle w:val="Hesber"/>
        <w:spacing w:line="276" w:lineRule="auto"/>
        <w:rPr>
          <w:rtl/>
        </w:rPr>
      </w:pPr>
      <w:r w:rsidRPr="006B7976">
        <w:rPr>
          <w:rtl/>
        </w:rPr>
        <w:t>בפועל, בשנים האחרונות אחוז המצביעים נמוך מאוד ורבים אינם ממ</w:t>
      </w:r>
      <w:r w:rsidRPr="006B7976">
        <w:rPr>
          <w:rFonts w:hint="cs"/>
          <w:rtl/>
        </w:rPr>
        <w:t>מ</w:t>
      </w:r>
      <w:r w:rsidRPr="006B7976">
        <w:rPr>
          <w:rtl/>
        </w:rPr>
        <w:t xml:space="preserve">שים את זכותם ואינם מגיעים כלל לקלפי להצביע. אזרחים רבים הפכו את יום הבחירות ליום חופש ומנוחה. </w:t>
      </w:r>
      <w:r w:rsidRPr="006B7976">
        <w:rPr>
          <w:rFonts w:hint="cs"/>
          <w:rtl/>
        </w:rPr>
        <w:t>ההצעה אינה מעודדת הצבעה</w:t>
      </w:r>
      <w:r w:rsidRPr="006B7976">
        <w:rPr>
          <w:rtl/>
        </w:rPr>
        <w:t xml:space="preserve"> למפלגה כזאת או אחרת אלא </w:t>
      </w:r>
      <w:r w:rsidRPr="006B7976">
        <w:rPr>
          <w:rFonts w:hint="cs"/>
          <w:rtl/>
        </w:rPr>
        <w:t>את העלאת</w:t>
      </w:r>
      <w:r w:rsidRPr="006B7976">
        <w:rPr>
          <w:rtl/>
        </w:rPr>
        <w:t xml:space="preserve"> אחוז המצביעים </w:t>
      </w:r>
      <w:r w:rsidRPr="006B7976">
        <w:rPr>
          <w:rFonts w:hint="cs"/>
          <w:rtl/>
        </w:rPr>
        <w:t>כדי</w:t>
      </w:r>
      <w:r w:rsidRPr="006B7976">
        <w:rPr>
          <w:rtl/>
        </w:rPr>
        <w:t xml:space="preserve"> ליצור שיתוף פעולה גדול יותר של הציבור בהשפעה על הרכב הכנסת ובכך על המשך סדר היום הציבורי.</w:t>
      </w:r>
    </w:p>
    <w:p w14:paraId="102F29BF" w14:textId="77777777" w:rsidR="007630DE" w:rsidRPr="006B7976" w:rsidRDefault="007630DE" w:rsidP="00260FC8">
      <w:pPr>
        <w:pStyle w:val="Hesber"/>
        <w:spacing w:line="276" w:lineRule="auto"/>
        <w:rPr>
          <w:rtl/>
        </w:rPr>
      </w:pPr>
      <w:r w:rsidRPr="006B7976">
        <w:rPr>
          <w:rtl/>
        </w:rPr>
        <w:t>מכיוון שיום השבתון ניתן על חשבון המעביד, מוצע כי מי שאינו מצביע בבחירות, לא ייהנה משכר עבור אותו יום. בדרך זו יתומרץ חלק גדול מהאוכלוסייה לנצל את יום השבתון למטרתו הנכונה ולהצביע בבחירות.</w:t>
      </w:r>
    </w:p>
    <w:p w14:paraId="7C613CA8" w14:textId="2ED76128" w:rsidR="007630DE" w:rsidRDefault="007630DE" w:rsidP="00260FC8">
      <w:pPr>
        <w:pStyle w:val="Hesber"/>
        <w:spacing w:line="276" w:lineRule="auto"/>
        <w:rPr>
          <w:rtl/>
        </w:rPr>
      </w:pPr>
      <w:r w:rsidRPr="006B7976">
        <w:rPr>
          <w:rtl/>
        </w:rPr>
        <w:t>הצעות חוק דומות בעיקרן הונחו על שולחן הכנסת השש-עשרה על ידי חבר הכנסת חמי דורון וקבוצת חברי הכנסת (פ</w:t>
      </w:r>
      <w:r w:rsidR="006B7976">
        <w:rPr>
          <w:rFonts w:hint="cs"/>
          <w:rtl/>
        </w:rPr>
        <w:t>/3122</w:t>
      </w:r>
      <w:r w:rsidR="00704569">
        <w:rPr>
          <w:rtl/>
        </w:rPr>
        <w:t xml:space="preserve">), </w:t>
      </w:r>
      <w:r w:rsidRPr="006B7976">
        <w:rPr>
          <w:rtl/>
        </w:rPr>
        <w:t>על שולחן הכנסת השבע-עשרה על ידי חבר הכנסת יואל חסון (פ/455/17) ו</w:t>
      </w:r>
      <w:r w:rsidRPr="006B7976">
        <w:rPr>
          <w:rFonts w:hint="cs"/>
          <w:rtl/>
        </w:rPr>
        <w:t xml:space="preserve">על ידי </w:t>
      </w:r>
      <w:r w:rsidRPr="006B7976">
        <w:rPr>
          <w:rtl/>
        </w:rPr>
        <w:t>חב</w:t>
      </w:r>
      <w:r w:rsidR="00704569">
        <w:rPr>
          <w:rtl/>
        </w:rPr>
        <w:t>רת הכנסת אורית נוקד (פ/1856/17)</w:t>
      </w:r>
      <w:r w:rsidR="00704569">
        <w:rPr>
          <w:rFonts w:hint="cs"/>
          <w:rtl/>
        </w:rPr>
        <w:t>, ועל שולחן הכנסת העשרים על ידי חבר הכנסת סאלח סעד וקבוצת חברי הכנסת (פ/5093/20).</w:t>
      </w:r>
    </w:p>
    <w:p w14:paraId="19DBEEF0" w14:textId="63077DFF" w:rsidR="00704569" w:rsidRDefault="00704569" w:rsidP="00260FC8">
      <w:pPr>
        <w:pStyle w:val="Hesber"/>
        <w:spacing w:line="276" w:lineRule="auto"/>
        <w:rPr>
          <w:rtl/>
        </w:rPr>
      </w:pPr>
      <w:r>
        <w:rPr>
          <w:rFonts w:hint="cs"/>
          <w:rtl/>
        </w:rPr>
        <w:t>הצעת חוק זהה הונחה על שולחן הכנסת העשרים על ידי חבר הכנסת עמיר פרץ (פ/1006/20).</w:t>
      </w:r>
    </w:p>
    <w:p w14:paraId="067A90AC" w14:textId="77777777" w:rsidR="00231229" w:rsidRPr="00D73212" w:rsidRDefault="00231229" w:rsidP="00260FC8">
      <w:pPr>
        <w:pStyle w:val="Hesber"/>
        <w:spacing w:line="276" w:lineRule="auto"/>
        <w:rPr>
          <w:rtl/>
        </w:rPr>
      </w:pPr>
      <w:r w:rsidRPr="00D73212">
        <w:rPr>
          <w:rtl/>
        </w:rPr>
        <w:t>---------------------------------</w:t>
      </w:r>
    </w:p>
    <w:p w14:paraId="270CC52B" w14:textId="77777777" w:rsidR="00231229" w:rsidRPr="00D73212" w:rsidRDefault="00231229" w:rsidP="00260FC8">
      <w:pPr>
        <w:pStyle w:val="Hesber"/>
        <w:spacing w:line="276" w:lineRule="auto"/>
        <w:rPr>
          <w:rtl/>
        </w:rPr>
      </w:pPr>
      <w:r w:rsidRPr="00D73212">
        <w:rPr>
          <w:rFonts w:hint="cs"/>
          <w:rtl/>
        </w:rPr>
        <w:t>הוגשה</w:t>
      </w:r>
      <w:r w:rsidRPr="00D73212">
        <w:rPr>
          <w:rtl/>
        </w:rPr>
        <w:t xml:space="preserve"> </w:t>
      </w:r>
      <w:r w:rsidRPr="00D73212">
        <w:rPr>
          <w:rFonts w:hint="cs"/>
          <w:rtl/>
        </w:rPr>
        <w:t>ליו</w:t>
      </w:r>
      <w:r w:rsidRPr="00D73212">
        <w:rPr>
          <w:rtl/>
        </w:rPr>
        <w:t>"</w:t>
      </w:r>
      <w:r w:rsidRPr="00D73212">
        <w:rPr>
          <w:rFonts w:hint="cs"/>
          <w:rtl/>
        </w:rPr>
        <w:t>ר</w:t>
      </w:r>
      <w:r w:rsidRPr="00D73212">
        <w:rPr>
          <w:rtl/>
        </w:rPr>
        <w:t xml:space="preserve"> </w:t>
      </w:r>
      <w:r w:rsidRPr="00D73212">
        <w:rPr>
          <w:rFonts w:hint="cs"/>
          <w:rtl/>
        </w:rPr>
        <w:t>הכנסת</w:t>
      </w:r>
      <w:r w:rsidRPr="00D73212">
        <w:rPr>
          <w:rtl/>
        </w:rPr>
        <w:t xml:space="preserve"> </w:t>
      </w:r>
      <w:r w:rsidRPr="00D73212">
        <w:rPr>
          <w:rFonts w:hint="cs"/>
          <w:rtl/>
        </w:rPr>
        <w:t>והסגנים</w:t>
      </w:r>
    </w:p>
    <w:p w14:paraId="2FF4BC51" w14:textId="77777777" w:rsidR="00231229" w:rsidRPr="00D73212" w:rsidRDefault="00231229" w:rsidP="00260FC8">
      <w:pPr>
        <w:pStyle w:val="Hesber"/>
        <w:spacing w:line="276" w:lineRule="auto"/>
        <w:rPr>
          <w:rtl/>
        </w:rPr>
      </w:pPr>
      <w:r w:rsidRPr="00D73212">
        <w:rPr>
          <w:rFonts w:hint="cs"/>
          <w:rtl/>
        </w:rPr>
        <w:t>והונחה</w:t>
      </w:r>
      <w:r w:rsidRPr="00D73212">
        <w:rPr>
          <w:rtl/>
        </w:rPr>
        <w:t xml:space="preserve"> </w:t>
      </w:r>
      <w:r w:rsidRPr="00D73212">
        <w:rPr>
          <w:rFonts w:hint="cs"/>
          <w:rtl/>
        </w:rPr>
        <w:t>על</w:t>
      </w:r>
      <w:r w:rsidRPr="00D73212">
        <w:rPr>
          <w:rtl/>
        </w:rPr>
        <w:t xml:space="preserve"> </w:t>
      </w:r>
      <w:r w:rsidRPr="00D73212">
        <w:rPr>
          <w:rFonts w:hint="cs"/>
          <w:rtl/>
        </w:rPr>
        <w:t>שולחן</w:t>
      </w:r>
      <w:r w:rsidRPr="00D73212">
        <w:rPr>
          <w:rtl/>
        </w:rPr>
        <w:t xml:space="preserve"> </w:t>
      </w:r>
      <w:r w:rsidRPr="00D73212">
        <w:rPr>
          <w:rFonts w:hint="cs"/>
          <w:rtl/>
        </w:rPr>
        <w:t>הכנסת</w:t>
      </w:r>
      <w:r w:rsidRPr="00D73212">
        <w:rPr>
          <w:rtl/>
        </w:rPr>
        <w:t xml:space="preserve"> </w:t>
      </w:r>
      <w:r w:rsidRPr="00D73212">
        <w:rPr>
          <w:rFonts w:hint="cs"/>
          <w:rtl/>
        </w:rPr>
        <w:t>ביום</w:t>
      </w:r>
    </w:p>
    <w:p w14:paraId="5AE94405" w14:textId="77777777" w:rsidR="00231229" w:rsidRPr="00317312" w:rsidRDefault="00231229" w:rsidP="00260FC8">
      <w:pPr>
        <w:pStyle w:val="Hesber"/>
        <w:spacing w:line="276" w:lineRule="auto"/>
      </w:pPr>
      <w:r>
        <w:rPr>
          <w:rFonts w:hint="cs"/>
          <w:rtl/>
        </w:rPr>
        <w:t>י"ג בחשוון</w:t>
      </w:r>
      <w:r w:rsidRPr="00D73212">
        <w:rPr>
          <w:rtl/>
        </w:rPr>
        <w:t xml:space="preserve"> </w:t>
      </w:r>
      <w:proofErr w:type="spellStart"/>
      <w:r>
        <w:rPr>
          <w:rFonts w:hint="cs"/>
          <w:rtl/>
        </w:rPr>
        <w:t>התש"ף</w:t>
      </w:r>
      <w:proofErr w:type="spellEnd"/>
      <w:r>
        <w:rPr>
          <w:rFonts w:hint="cs"/>
          <w:rtl/>
        </w:rPr>
        <w:t xml:space="preserve"> </w:t>
      </w:r>
      <w:r w:rsidRPr="00D73212">
        <w:rPr>
          <w:rtl/>
        </w:rPr>
        <w:t>–</w:t>
      </w:r>
      <w:r>
        <w:rPr>
          <w:rFonts w:hint="cs"/>
          <w:rtl/>
        </w:rPr>
        <w:t xml:space="preserve"> 11.11</w:t>
      </w:r>
      <w:r w:rsidRPr="00D73212">
        <w:rPr>
          <w:rtl/>
        </w:rPr>
        <w:t>.</w:t>
      </w:r>
      <w:r>
        <w:rPr>
          <w:rFonts w:hint="cs"/>
          <w:rtl/>
        </w:rPr>
        <w:t xml:space="preserve">19  </w:t>
      </w:r>
      <w:bookmarkStart w:id="6" w:name="_GoBack"/>
      <w:bookmarkEnd w:id="6"/>
    </w:p>
    <w:sectPr w:rsidR="00231229" w:rsidRPr="00317312" w:rsidSect="00260FC8">
      <w:footerReference w:type="even" r:id="rId11"/>
      <w:footerReference w:type="default" r:id="rId12"/>
      <w:pgSz w:w="11907" w:h="16840" w:code="9"/>
      <w:pgMar w:top="1701" w:right="1134" w:bottom="1276" w:left="1134" w:header="680" w:footer="680" w:gutter="0"/>
      <w:cols w:space="720"/>
      <w:noEndnote/>
      <w:titlePg/>
      <w:bidi/>
      <w:rtlGutter/>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A26B4C1" w14:textId="77777777" w:rsidR="00D142D3" w:rsidRDefault="00D142D3">
      <w:r>
        <w:separator/>
      </w:r>
    </w:p>
  </w:endnote>
  <w:endnote w:type="continuationSeparator" w:id="0">
    <w:p w14:paraId="0E546755" w14:textId="77777777" w:rsidR="00D142D3" w:rsidRDefault="00D142D3">
      <w:r>
        <w:continuationSeparator/>
      </w:r>
    </w:p>
  </w:endnote>
  <w:endnote w:type="continuationNotice" w:id="1">
    <w:p w14:paraId="24369900" w14:textId="77777777" w:rsidR="00D142D3" w:rsidRDefault="00D142D3">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avid">
    <w:panose1 w:val="020E0502060401010101"/>
    <w:charset w:val="00"/>
    <w:family w:val="swiss"/>
    <w:pitch w:val="variable"/>
    <w:sig w:usb0="00000803" w:usb1="00000000" w:usb2="00000000" w:usb3="00000000" w:csb0="00000021" w:csb1="00000000"/>
  </w:font>
  <w:font w:name="MS Mincho">
    <w:altName w:val="MS Gothic"/>
    <w:panose1 w:val="02020609040205080304"/>
    <w:charset w:val="80"/>
    <w:family w:val="roman"/>
    <w:notTrueType/>
    <w:pitch w:val="fixed"/>
    <w:sig w:usb0="00000000" w:usb1="08070000" w:usb2="00000010" w:usb3="00000000" w:csb0="00020000"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F6961D5" w14:textId="77777777" w:rsidR="002C3041" w:rsidRDefault="002C3041" w:rsidP="001207F8">
    <w:pPr>
      <w:pStyle w:val="a9"/>
      <w:framePr w:wrap="around" w:vAnchor="text" w:hAnchor="text" w:xAlign="center" w:y="1"/>
      <w:rPr>
        <w:rStyle w:val="ab"/>
      </w:rPr>
    </w:pPr>
    <w:r>
      <w:rPr>
        <w:rStyle w:val="ab"/>
        <w:rtl/>
      </w:rPr>
      <w:fldChar w:fldCharType="begin"/>
    </w:r>
    <w:r>
      <w:rPr>
        <w:rStyle w:val="ab"/>
      </w:rPr>
      <w:instrText xml:space="preserve">PAGE  </w:instrText>
    </w:r>
    <w:r>
      <w:rPr>
        <w:rStyle w:val="ab"/>
        <w:rtl/>
      </w:rPr>
      <w:fldChar w:fldCharType="end"/>
    </w:r>
  </w:p>
  <w:p w14:paraId="7F6961D6" w14:textId="77777777" w:rsidR="002C3041" w:rsidRDefault="002C3041">
    <w:pPr>
      <w:pStyle w:val="a9"/>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F6961D7" w14:textId="77777777" w:rsidR="002C3041" w:rsidRDefault="002C3041" w:rsidP="001207F8">
    <w:pPr>
      <w:pStyle w:val="a9"/>
      <w:framePr w:wrap="around" w:vAnchor="text" w:hAnchor="text" w:xAlign="center" w:y="1"/>
      <w:rPr>
        <w:rStyle w:val="ab"/>
      </w:rPr>
    </w:pPr>
    <w:r>
      <w:rPr>
        <w:rStyle w:val="ab"/>
        <w:rtl/>
      </w:rPr>
      <w:fldChar w:fldCharType="begin"/>
    </w:r>
    <w:r>
      <w:rPr>
        <w:rStyle w:val="ab"/>
      </w:rPr>
      <w:instrText xml:space="preserve">PAGE  </w:instrText>
    </w:r>
    <w:r>
      <w:rPr>
        <w:rStyle w:val="ab"/>
        <w:rtl/>
      </w:rPr>
      <w:fldChar w:fldCharType="separate"/>
    </w:r>
    <w:r w:rsidR="00260FC8">
      <w:rPr>
        <w:rStyle w:val="ab"/>
        <w:noProof/>
        <w:rtl/>
      </w:rPr>
      <w:t>2</w:t>
    </w:r>
    <w:r>
      <w:rPr>
        <w:rStyle w:val="ab"/>
        <w:rtl/>
      </w:rPr>
      <w:fldChar w:fldCharType="end"/>
    </w:r>
  </w:p>
  <w:p w14:paraId="7F6961D8" w14:textId="77777777" w:rsidR="002C3041" w:rsidRDefault="002C3041">
    <w:pPr>
      <w:pStyle w:val="a9"/>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98674C0" w14:textId="77777777" w:rsidR="00D142D3" w:rsidRDefault="00D142D3" w:rsidP="00F370C1">
      <w:pPr>
        <w:ind w:left="0"/>
      </w:pPr>
      <w:r>
        <w:separator/>
      </w:r>
    </w:p>
  </w:footnote>
  <w:footnote w:type="continuationSeparator" w:id="0">
    <w:p w14:paraId="401CF485" w14:textId="77777777" w:rsidR="00D142D3" w:rsidRDefault="00D142D3">
      <w:r>
        <w:continuationSeparator/>
      </w:r>
    </w:p>
  </w:footnote>
  <w:footnote w:type="continuationNotice" w:id="1">
    <w:p w14:paraId="173A6451" w14:textId="77777777" w:rsidR="00D142D3" w:rsidRDefault="00D142D3"/>
  </w:footnote>
  <w:footnote w:id="2">
    <w:p w14:paraId="21475AAB" w14:textId="77777777" w:rsidR="007630DE" w:rsidRDefault="007630DE" w:rsidP="007630DE">
      <w:pPr>
        <w:pStyle w:val="a4"/>
        <w:rPr>
          <w:rtl/>
        </w:rPr>
      </w:pPr>
      <w:r>
        <w:rPr>
          <w:rStyle w:val="a6"/>
        </w:rPr>
        <w:footnoteRef/>
      </w:r>
      <w:r>
        <w:rPr>
          <w:rtl/>
        </w:rPr>
        <w:t xml:space="preserve"> </w:t>
      </w:r>
      <w:r>
        <w:rPr>
          <w:rFonts w:hint="cs"/>
          <w:rtl/>
        </w:rPr>
        <w:t xml:space="preserve">ס"ח </w:t>
      </w:r>
      <w:proofErr w:type="spellStart"/>
      <w:r>
        <w:rPr>
          <w:rFonts w:hint="cs"/>
          <w:rtl/>
        </w:rPr>
        <w:t>התשכ"ט</w:t>
      </w:r>
      <w:proofErr w:type="spellEnd"/>
      <w:r>
        <w:rPr>
          <w:rFonts w:hint="cs"/>
          <w:rtl/>
        </w:rPr>
        <w:t>, עמ' 103.</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A494355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8A2EB9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A2E00DC2"/>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FD24BF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E916852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5CA2E0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AEA33E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58CFFC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4F38A53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5B8527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7972A86"/>
    <w:multiLevelType w:val="hybridMultilevel"/>
    <w:tmpl w:val="0D5028AE"/>
    <w:lvl w:ilvl="0" w:tplc="FB92B186">
      <w:start w:val="1"/>
      <w:numFmt w:val="decimal"/>
      <w:lvlText w:val="%1."/>
      <w:lvlJc w:val="left"/>
      <w:pPr>
        <w:ind w:left="700" w:hanging="360"/>
      </w:pPr>
      <w:rPr>
        <w:rFonts w:hint="default"/>
      </w:rPr>
    </w:lvl>
    <w:lvl w:ilvl="1" w:tplc="04090019" w:tentative="1">
      <w:start w:val="1"/>
      <w:numFmt w:val="lowerLetter"/>
      <w:lvlText w:val="%2."/>
      <w:lvlJc w:val="left"/>
      <w:pPr>
        <w:ind w:left="1420" w:hanging="360"/>
      </w:pPr>
    </w:lvl>
    <w:lvl w:ilvl="2" w:tplc="0409001B" w:tentative="1">
      <w:start w:val="1"/>
      <w:numFmt w:val="lowerRoman"/>
      <w:lvlText w:val="%3."/>
      <w:lvlJc w:val="right"/>
      <w:pPr>
        <w:ind w:left="2140" w:hanging="180"/>
      </w:pPr>
    </w:lvl>
    <w:lvl w:ilvl="3" w:tplc="0409000F" w:tentative="1">
      <w:start w:val="1"/>
      <w:numFmt w:val="decimal"/>
      <w:lvlText w:val="%4."/>
      <w:lvlJc w:val="left"/>
      <w:pPr>
        <w:ind w:left="2860" w:hanging="360"/>
      </w:pPr>
    </w:lvl>
    <w:lvl w:ilvl="4" w:tplc="04090019" w:tentative="1">
      <w:start w:val="1"/>
      <w:numFmt w:val="lowerLetter"/>
      <w:lvlText w:val="%5."/>
      <w:lvlJc w:val="left"/>
      <w:pPr>
        <w:ind w:left="3580" w:hanging="360"/>
      </w:pPr>
    </w:lvl>
    <w:lvl w:ilvl="5" w:tplc="0409001B" w:tentative="1">
      <w:start w:val="1"/>
      <w:numFmt w:val="lowerRoman"/>
      <w:lvlText w:val="%6."/>
      <w:lvlJc w:val="right"/>
      <w:pPr>
        <w:ind w:left="4300" w:hanging="180"/>
      </w:pPr>
    </w:lvl>
    <w:lvl w:ilvl="6" w:tplc="0409000F" w:tentative="1">
      <w:start w:val="1"/>
      <w:numFmt w:val="decimal"/>
      <w:lvlText w:val="%7."/>
      <w:lvlJc w:val="left"/>
      <w:pPr>
        <w:ind w:left="5020" w:hanging="360"/>
      </w:pPr>
    </w:lvl>
    <w:lvl w:ilvl="7" w:tplc="04090019" w:tentative="1">
      <w:start w:val="1"/>
      <w:numFmt w:val="lowerLetter"/>
      <w:lvlText w:val="%8."/>
      <w:lvlJc w:val="left"/>
      <w:pPr>
        <w:ind w:left="5740" w:hanging="360"/>
      </w:pPr>
    </w:lvl>
    <w:lvl w:ilvl="8" w:tplc="0409001B" w:tentative="1">
      <w:start w:val="1"/>
      <w:numFmt w:val="lowerRoman"/>
      <w:lvlText w:val="%9."/>
      <w:lvlJc w:val="right"/>
      <w:pPr>
        <w:ind w:left="6460" w:hanging="180"/>
      </w:pPr>
    </w:lvl>
  </w:abstractNum>
  <w:abstractNum w:abstractNumId="11" w15:restartNumberingAfterBreak="0">
    <w:nsid w:val="1CDD78F3"/>
    <w:multiLevelType w:val="hybridMultilevel"/>
    <w:tmpl w:val="9E4C4E42"/>
    <w:lvl w:ilvl="0" w:tplc="861C87C0">
      <w:start w:val="1"/>
      <w:numFmt w:val="decimal"/>
      <w:lvlText w:val="(%1)"/>
      <w:lvlJc w:val="left"/>
      <w:pPr>
        <w:tabs>
          <w:tab w:val="num" w:pos="624"/>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1FB0598A"/>
    <w:multiLevelType w:val="hybridMultilevel"/>
    <w:tmpl w:val="746CCEE6"/>
    <w:lvl w:ilvl="0" w:tplc="040D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55A2B35"/>
    <w:multiLevelType w:val="hybridMultilevel"/>
    <w:tmpl w:val="F61ADD04"/>
    <w:lvl w:ilvl="0" w:tplc="EFC26F30">
      <w:start w:val="1"/>
      <w:numFmt w:val="hebrew1"/>
      <w:pStyle w:val="4"/>
      <w:suff w:val="space"/>
      <w:lvlText w:val="%1."/>
      <w:lvlJc w:val="left"/>
      <w:pPr>
        <w:ind w:left="0" w:firstLine="0"/>
      </w:pPr>
      <w:rPr>
        <w:rFonts w:hint="default"/>
      </w:rPr>
    </w:lvl>
    <w:lvl w:ilvl="1" w:tplc="D3D4E8B2">
      <w:start w:val="1"/>
      <w:numFmt w:val="decimal"/>
      <w:lvlText w:val="(%2)"/>
      <w:lvlJc w:val="left"/>
      <w:pPr>
        <w:tabs>
          <w:tab w:val="num" w:pos="624"/>
        </w:tabs>
        <w:ind w:left="0" w:firstLine="0"/>
      </w:pPr>
      <w:rPr>
        <w:rFonts w:hint="default"/>
      </w:rPr>
    </w:lvl>
    <w:lvl w:ilvl="2" w:tplc="5D2AB1E4">
      <w:start w:val="1"/>
      <w:numFmt w:val="hebrew1"/>
      <w:lvlText w:val="(%3)"/>
      <w:lvlJc w:val="left"/>
      <w:pPr>
        <w:tabs>
          <w:tab w:val="num" w:pos="624"/>
        </w:tabs>
        <w:ind w:left="0" w:firstLine="0"/>
      </w:pPr>
      <w:rPr>
        <w:rFonts w:hint="default"/>
      </w:rPr>
    </w:lvl>
    <w:lvl w:ilvl="3" w:tplc="1F820BA4">
      <w:start w:val="1"/>
      <w:numFmt w:val="hebrew1"/>
      <w:lvlRestart w:val="0"/>
      <w:lvlText w:val="(%4)"/>
      <w:lvlJc w:val="left"/>
      <w:pPr>
        <w:tabs>
          <w:tab w:val="num" w:pos="624"/>
        </w:tabs>
        <w:ind w:left="0" w:firstLine="0"/>
      </w:pPr>
      <w:rPr>
        <w:rFonts w:hint="default"/>
      </w:rPr>
    </w:lvl>
    <w:lvl w:ilvl="4" w:tplc="62C6E096">
      <w:start w:val="1"/>
      <w:numFmt w:val="decimal"/>
      <w:lvlRestart w:val="0"/>
      <w:lvlText w:val="(%5)"/>
      <w:lvlJc w:val="left"/>
      <w:pPr>
        <w:tabs>
          <w:tab w:val="num" w:pos="3864"/>
        </w:tabs>
        <w:ind w:left="3240" w:firstLine="0"/>
      </w:pPr>
      <w:rPr>
        <w:rFonts w:hint="default"/>
      </w:r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5B3B28B0"/>
    <w:multiLevelType w:val="hybridMultilevel"/>
    <w:tmpl w:val="41ACEA96"/>
    <w:lvl w:ilvl="0" w:tplc="06A8C010">
      <w:start w:val="1"/>
      <w:numFmt w:val="decimal"/>
      <w:pStyle w:val="TOC3"/>
      <w:lvlText w:val="%1."/>
      <w:lvlJc w:val="left"/>
      <w:pPr>
        <w:ind w:left="1287" w:hanging="360"/>
      </w:pPr>
      <w:rPr>
        <w:rFonts w:cs="David" w:hint="default"/>
        <w:bCs w:val="0"/>
        <w:iCs w:val="0"/>
        <w:szCs w:val="24"/>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5" w15:restartNumberingAfterBreak="0">
    <w:nsid w:val="753C544D"/>
    <w:multiLevelType w:val="hybridMultilevel"/>
    <w:tmpl w:val="C7443990"/>
    <w:lvl w:ilvl="0" w:tplc="0409000F">
      <w:start w:val="1"/>
      <w:numFmt w:val="decimal"/>
      <w:lvlText w:val="%1."/>
      <w:lvlJc w:val="left"/>
      <w:pPr>
        <w:tabs>
          <w:tab w:val="num" w:pos="0"/>
        </w:tabs>
        <w:ind w:left="0" w:firstLine="0"/>
      </w:pPr>
      <w:rPr>
        <w:rFonts w:hint="default"/>
      </w:rPr>
    </w:lvl>
    <w:lvl w:ilvl="1" w:tplc="D3D4E8B2">
      <w:start w:val="1"/>
      <w:numFmt w:val="decimal"/>
      <w:lvlText w:val="(%2)"/>
      <w:lvlJc w:val="left"/>
      <w:pPr>
        <w:tabs>
          <w:tab w:val="num" w:pos="624"/>
        </w:tabs>
        <w:ind w:left="0" w:firstLine="0"/>
      </w:pPr>
      <w:rPr>
        <w:rFonts w:hint="default"/>
      </w:rPr>
    </w:lvl>
    <w:lvl w:ilvl="2" w:tplc="5D2AB1E4">
      <w:start w:val="1"/>
      <w:numFmt w:val="hebrew1"/>
      <w:lvlText w:val="(%3)"/>
      <w:lvlJc w:val="left"/>
      <w:pPr>
        <w:tabs>
          <w:tab w:val="num" w:pos="624"/>
        </w:tabs>
        <w:ind w:left="0" w:firstLine="0"/>
      </w:pPr>
      <w:rPr>
        <w:rFonts w:hint="default"/>
      </w:rPr>
    </w:lvl>
    <w:lvl w:ilvl="3" w:tplc="1F820BA4">
      <w:start w:val="1"/>
      <w:numFmt w:val="hebrew1"/>
      <w:lvlRestart w:val="0"/>
      <w:lvlText w:val="(%4)"/>
      <w:lvlJc w:val="left"/>
      <w:pPr>
        <w:tabs>
          <w:tab w:val="num" w:pos="624"/>
        </w:tabs>
        <w:ind w:left="0" w:firstLine="0"/>
      </w:pPr>
      <w:rPr>
        <w:rFonts w:hint="default"/>
      </w:rPr>
    </w:lvl>
    <w:lvl w:ilvl="4" w:tplc="62C6E096">
      <w:start w:val="1"/>
      <w:numFmt w:val="decimal"/>
      <w:lvlRestart w:val="0"/>
      <w:lvlText w:val="(%5)"/>
      <w:lvlJc w:val="left"/>
      <w:pPr>
        <w:tabs>
          <w:tab w:val="num" w:pos="3864"/>
        </w:tabs>
        <w:ind w:left="3240" w:firstLine="0"/>
      </w:pPr>
      <w:rPr>
        <w:rFonts w:hint="default"/>
      </w:r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75C858E4"/>
    <w:multiLevelType w:val="hybridMultilevel"/>
    <w:tmpl w:val="882C6ED4"/>
    <w:lvl w:ilvl="0" w:tplc="4112A21E">
      <w:start w:val="1"/>
      <w:numFmt w:val="hebrew1"/>
      <w:lvlRestart w:val="0"/>
      <w:lvlText w:val="(%1)"/>
      <w:lvlJc w:val="left"/>
      <w:pPr>
        <w:tabs>
          <w:tab w:val="num" w:pos="624"/>
        </w:tabs>
        <w:ind w:left="0" w:firstLine="0"/>
      </w:pPr>
      <w:rPr>
        <w:rFonts w:hint="default"/>
      </w:rPr>
    </w:lvl>
    <w:lvl w:ilvl="1" w:tplc="49082BE6">
      <w:start w:val="1"/>
      <w:numFmt w:val="decimal"/>
      <w:lvlRestart w:val="0"/>
      <w:lvlText w:val="(%2)"/>
      <w:lvlJc w:val="left"/>
      <w:pPr>
        <w:tabs>
          <w:tab w:val="num" w:pos="1704"/>
        </w:tabs>
        <w:ind w:left="1080" w:firstLine="0"/>
      </w:pPr>
      <w:rPr>
        <w:rFonts w:hint="default"/>
      </w:rPr>
    </w:lvl>
    <w:lvl w:ilvl="2" w:tplc="48C06176">
      <w:start w:val="1"/>
      <w:numFmt w:val="decimal"/>
      <w:lvlRestart w:val="0"/>
      <w:lvlText w:val="(%3)"/>
      <w:lvlJc w:val="left"/>
      <w:pPr>
        <w:tabs>
          <w:tab w:val="num" w:pos="2604"/>
        </w:tabs>
        <w:ind w:left="1980" w:firstLine="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2"/>
  </w:num>
  <w:num w:numId="12">
    <w:abstractNumId w:val="15"/>
  </w:num>
  <w:num w:numId="13">
    <w:abstractNumId w:val="11"/>
  </w:num>
  <w:num w:numId="14">
    <w:abstractNumId w:val="16"/>
  </w:num>
  <w:num w:numId="15">
    <w:abstractNumId w:val="13"/>
  </w:num>
  <w:num w:numId="16">
    <w:abstractNumId w:val="13"/>
    <w:lvlOverride w:ilvl="0">
      <w:startOverride w:val="1"/>
    </w:lvlOverride>
  </w:num>
  <w:num w:numId="17">
    <w:abstractNumId w:val="10"/>
  </w:num>
  <w:num w:numId="1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bordersDoNotSurroundHeader/>
  <w:bordersDoNotSurroundFooter/>
  <w:proofState w:spelling="clean" w:grammar="clean"/>
  <w:stylePaneFormatFilter w:val="0002" w:allStyles="0" w:customStyles="1"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doNotHyphenateCaps/>
  <w:drawingGridHorizontalSpacing w:val="120"/>
  <w:drawingGridVerticalSpacing w:val="120"/>
  <w:displayHorizontalDrawingGridEvery w:val="0"/>
  <w:displayVerticalDrawingGridEvery w:val="3"/>
  <w:doNotUseMarginsForDrawingGridOrigin/>
  <w:characterSpacingControl w:val="compressPunctuation"/>
  <w:footnotePr>
    <w:footnote w:id="-1"/>
    <w:footnote w:id="0"/>
    <w:footnote w:id="1"/>
  </w:footnotePr>
  <w:endnotePr>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OriginalName" w:val="tmp482240lsCopyOriginal.docx"/>
    <w:docVar w:name="StartMode" w:val="2"/>
  </w:docVars>
  <w:rsids>
    <w:rsidRoot w:val="00DB7060"/>
    <w:rsid w:val="0000131B"/>
    <w:rsid w:val="00015B27"/>
    <w:rsid w:val="00063A3E"/>
    <w:rsid w:val="00072CAC"/>
    <w:rsid w:val="0007681A"/>
    <w:rsid w:val="000A542E"/>
    <w:rsid w:val="00102B6B"/>
    <w:rsid w:val="001052D4"/>
    <w:rsid w:val="0010644B"/>
    <w:rsid w:val="001207F8"/>
    <w:rsid w:val="00121924"/>
    <w:rsid w:val="001279A8"/>
    <w:rsid w:val="0014195F"/>
    <w:rsid w:val="00152609"/>
    <w:rsid w:val="00153E1B"/>
    <w:rsid w:val="001A0623"/>
    <w:rsid w:val="001C23B0"/>
    <w:rsid w:val="001D7AAF"/>
    <w:rsid w:val="00203A7F"/>
    <w:rsid w:val="0021633A"/>
    <w:rsid w:val="002200A1"/>
    <w:rsid w:val="00231229"/>
    <w:rsid w:val="002362BF"/>
    <w:rsid w:val="00241B97"/>
    <w:rsid w:val="002425D1"/>
    <w:rsid w:val="00246756"/>
    <w:rsid w:val="00251E58"/>
    <w:rsid w:val="00254605"/>
    <w:rsid w:val="00260FC8"/>
    <w:rsid w:val="00266D86"/>
    <w:rsid w:val="002728B4"/>
    <w:rsid w:val="0027600C"/>
    <w:rsid w:val="00292712"/>
    <w:rsid w:val="002A487D"/>
    <w:rsid w:val="002C2E29"/>
    <w:rsid w:val="002C3041"/>
    <w:rsid w:val="002D1EE3"/>
    <w:rsid w:val="002F1D80"/>
    <w:rsid w:val="003232A2"/>
    <w:rsid w:val="00325C14"/>
    <w:rsid w:val="0036422C"/>
    <w:rsid w:val="003710F6"/>
    <w:rsid w:val="00386E88"/>
    <w:rsid w:val="00396585"/>
    <w:rsid w:val="003D6E38"/>
    <w:rsid w:val="003D74A0"/>
    <w:rsid w:val="004033D8"/>
    <w:rsid w:val="004073F0"/>
    <w:rsid w:val="00412A7D"/>
    <w:rsid w:val="00416B4D"/>
    <w:rsid w:val="00417CFC"/>
    <w:rsid w:val="004A06DC"/>
    <w:rsid w:val="004B24ED"/>
    <w:rsid w:val="004B6625"/>
    <w:rsid w:val="004D2D82"/>
    <w:rsid w:val="004D3876"/>
    <w:rsid w:val="004E4552"/>
    <w:rsid w:val="004E6CDF"/>
    <w:rsid w:val="00553C9D"/>
    <w:rsid w:val="00562A66"/>
    <w:rsid w:val="005B064E"/>
    <w:rsid w:val="005D51AE"/>
    <w:rsid w:val="0062674B"/>
    <w:rsid w:val="006363B2"/>
    <w:rsid w:val="00644940"/>
    <w:rsid w:val="006818A9"/>
    <w:rsid w:val="006A2D81"/>
    <w:rsid w:val="006B7976"/>
    <w:rsid w:val="006C1D0D"/>
    <w:rsid w:val="00704569"/>
    <w:rsid w:val="0070601E"/>
    <w:rsid w:val="00712C72"/>
    <w:rsid w:val="00735FE9"/>
    <w:rsid w:val="007630DE"/>
    <w:rsid w:val="00763CAA"/>
    <w:rsid w:val="00765F66"/>
    <w:rsid w:val="0078664F"/>
    <w:rsid w:val="007A27CE"/>
    <w:rsid w:val="007C3FA6"/>
    <w:rsid w:val="007D585A"/>
    <w:rsid w:val="007D5A12"/>
    <w:rsid w:val="007E59F9"/>
    <w:rsid w:val="00810BCD"/>
    <w:rsid w:val="00812C98"/>
    <w:rsid w:val="00814D92"/>
    <w:rsid w:val="0083181D"/>
    <w:rsid w:val="00843EB2"/>
    <w:rsid w:val="00865572"/>
    <w:rsid w:val="00874BBC"/>
    <w:rsid w:val="00892135"/>
    <w:rsid w:val="00895449"/>
    <w:rsid w:val="00897879"/>
    <w:rsid w:val="008A6870"/>
    <w:rsid w:val="008C2DDC"/>
    <w:rsid w:val="008C7516"/>
    <w:rsid w:val="008E6EC7"/>
    <w:rsid w:val="008F0D63"/>
    <w:rsid w:val="008F1308"/>
    <w:rsid w:val="008F2C35"/>
    <w:rsid w:val="008F6665"/>
    <w:rsid w:val="00904591"/>
    <w:rsid w:val="00905E5F"/>
    <w:rsid w:val="0091204F"/>
    <w:rsid w:val="009203DB"/>
    <w:rsid w:val="00923CD4"/>
    <w:rsid w:val="00930EFE"/>
    <w:rsid w:val="00943386"/>
    <w:rsid w:val="009456B6"/>
    <w:rsid w:val="00957589"/>
    <w:rsid w:val="00966D06"/>
    <w:rsid w:val="00982412"/>
    <w:rsid w:val="00983A8D"/>
    <w:rsid w:val="009A0DB8"/>
    <w:rsid w:val="009A7257"/>
    <w:rsid w:val="009D6E0A"/>
    <w:rsid w:val="009E1E33"/>
    <w:rsid w:val="00A14672"/>
    <w:rsid w:val="00A26BD6"/>
    <w:rsid w:val="00A443CF"/>
    <w:rsid w:val="00A6611D"/>
    <w:rsid w:val="00A82CB7"/>
    <w:rsid w:val="00A942C1"/>
    <w:rsid w:val="00AA2F03"/>
    <w:rsid w:val="00AC36F7"/>
    <w:rsid w:val="00AC63A4"/>
    <w:rsid w:val="00AD239E"/>
    <w:rsid w:val="00B10265"/>
    <w:rsid w:val="00B16A99"/>
    <w:rsid w:val="00B21211"/>
    <w:rsid w:val="00B35784"/>
    <w:rsid w:val="00B733A7"/>
    <w:rsid w:val="00B75C91"/>
    <w:rsid w:val="00B975AD"/>
    <w:rsid w:val="00BC45FB"/>
    <w:rsid w:val="00BF148D"/>
    <w:rsid w:val="00C23B1A"/>
    <w:rsid w:val="00C310EB"/>
    <w:rsid w:val="00C9176A"/>
    <w:rsid w:val="00CF1AA2"/>
    <w:rsid w:val="00D142D3"/>
    <w:rsid w:val="00D17774"/>
    <w:rsid w:val="00D63620"/>
    <w:rsid w:val="00D8410D"/>
    <w:rsid w:val="00D867D7"/>
    <w:rsid w:val="00DB7060"/>
    <w:rsid w:val="00DE3153"/>
    <w:rsid w:val="00E06736"/>
    <w:rsid w:val="00E13C27"/>
    <w:rsid w:val="00E33BBD"/>
    <w:rsid w:val="00E374F2"/>
    <w:rsid w:val="00E45103"/>
    <w:rsid w:val="00E55A60"/>
    <w:rsid w:val="00E62778"/>
    <w:rsid w:val="00E635A2"/>
    <w:rsid w:val="00E63D38"/>
    <w:rsid w:val="00E665B9"/>
    <w:rsid w:val="00EA01E6"/>
    <w:rsid w:val="00EA3DE8"/>
    <w:rsid w:val="00EA758F"/>
    <w:rsid w:val="00ED4A6F"/>
    <w:rsid w:val="00EF3A3A"/>
    <w:rsid w:val="00F370C1"/>
    <w:rsid w:val="00F42C16"/>
    <w:rsid w:val="00F628D6"/>
    <w:rsid w:val="00F67051"/>
    <w:rsid w:val="00F86A1E"/>
    <w:rsid w:val="00FA5E88"/>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f" fillcolor="white">
      <v:fill color="white" on="f"/>
    </o:shapedefaults>
    <o:shapelayout v:ext="edit">
      <o:idmap v:ext="edit" data="1"/>
    </o:shapelayout>
  </w:shapeDefaults>
  <w:doNotEmbedSmartTags/>
  <w:decimalSymbol w:val="."/>
  <w:listSeparator w:val=","/>
  <w14:docId w14:val="7F6961A1"/>
  <w15:docId w15:val="{2ED50097-869F-4D44-AFDD-416A1F6407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MS Mincho" w:hAnsi="Times New Roman" w:cs="Times New Roman"/>
        <w:lang w:val="en-US" w:eastAsia="en-US" w:bidi="he-IL"/>
      </w:rPr>
    </w:rPrDefault>
    <w:pPrDefault/>
  </w:docDefaults>
  <w:latentStyles w:defLockedState="0" w:defUIPriority="0" w:defSemiHidden="0" w:defUnhideWhenUsed="0" w:defQFormat="0" w:count="371">
    <w:lsdException w:name="Normal" w:qFormat="1"/>
    <w:lsdException w:name="heading 1" w:uiPriority="9" w:qFormat="1"/>
    <w:lsdException w:name="heading 2" w:semiHidden="1"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qFormat="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370C1"/>
    <w:pPr>
      <w:widowControl w:val="0"/>
      <w:bidi/>
      <w:spacing w:line="360" w:lineRule="auto"/>
      <w:ind w:left="340"/>
      <w:contextualSpacing/>
      <w:jc w:val="both"/>
    </w:pPr>
    <w:rPr>
      <w:rFonts w:ascii="David" w:eastAsiaTheme="minorHAnsi" w:hAnsi="David" w:cs="David"/>
      <w:sz w:val="24"/>
      <w:szCs w:val="24"/>
    </w:rPr>
  </w:style>
  <w:style w:type="paragraph" w:styleId="1">
    <w:name w:val="heading 1"/>
    <w:basedOn w:val="a"/>
    <w:next w:val="a"/>
    <w:link w:val="10"/>
    <w:uiPriority w:val="9"/>
    <w:qFormat/>
    <w:rsid w:val="00F370C1"/>
    <w:pPr>
      <w:keepNext/>
      <w:keepLines/>
      <w:spacing w:before="240"/>
      <w:jc w:val="center"/>
      <w:outlineLvl w:val="0"/>
    </w:pPr>
    <w:rPr>
      <w:rFonts w:asciiTheme="majorHAnsi" w:eastAsiaTheme="majorEastAsia" w:hAnsiTheme="majorHAnsi"/>
      <w:bCs/>
      <w:sz w:val="32"/>
      <w:szCs w:val="36"/>
    </w:rPr>
  </w:style>
  <w:style w:type="paragraph" w:styleId="2">
    <w:name w:val="heading 2"/>
    <w:basedOn w:val="a"/>
    <w:next w:val="a"/>
    <w:link w:val="20"/>
    <w:unhideWhenUsed/>
    <w:qFormat/>
    <w:rsid w:val="00F370C1"/>
    <w:pPr>
      <w:ind w:left="0"/>
      <w:jc w:val="left"/>
      <w:outlineLvl w:val="1"/>
    </w:pPr>
    <w:rPr>
      <w:rFonts w:asciiTheme="majorHAnsi" w:eastAsiaTheme="majorEastAsia" w:hAnsiTheme="majorHAnsi"/>
      <w:bCs/>
      <w:sz w:val="26"/>
      <w:szCs w:val="36"/>
      <w:u w:val="single"/>
    </w:rPr>
  </w:style>
  <w:style w:type="paragraph" w:styleId="3">
    <w:name w:val="heading 3"/>
    <w:basedOn w:val="a"/>
    <w:next w:val="a"/>
    <w:link w:val="30"/>
    <w:unhideWhenUsed/>
    <w:qFormat/>
    <w:rsid w:val="00F370C1"/>
    <w:pPr>
      <w:spacing w:before="40"/>
      <w:ind w:left="0"/>
      <w:jc w:val="left"/>
      <w:outlineLvl w:val="2"/>
    </w:pPr>
    <w:rPr>
      <w:rFonts w:asciiTheme="majorHAnsi" w:eastAsiaTheme="majorEastAsia" w:hAnsiTheme="majorHAnsi"/>
      <w:szCs w:val="28"/>
      <w:u w:val="double"/>
    </w:rPr>
  </w:style>
  <w:style w:type="paragraph" w:styleId="4">
    <w:name w:val="heading 4"/>
    <w:basedOn w:val="a"/>
    <w:next w:val="a"/>
    <w:link w:val="40"/>
    <w:uiPriority w:val="9"/>
    <w:unhideWhenUsed/>
    <w:qFormat/>
    <w:rsid w:val="00F370C1"/>
    <w:pPr>
      <w:numPr>
        <w:numId w:val="18"/>
      </w:numPr>
      <w:spacing w:before="40" w:after="120"/>
      <w:outlineLvl w:val="3"/>
    </w:pPr>
    <w:rPr>
      <w:b/>
      <w:bCs/>
      <w:color w:val="000000" w:themeColor="text1"/>
      <w:szCs w:val="28"/>
    </w:rPr>
  </w:style>
  <w:style w:type="paragraph" w:styleId="5">
    <w:name w:val="heading 5"/>
    <w:basedOn w:val="a"/>
    <w:next w:val="a"/>
    <w:link w:val="50"/>
    <w:uiPriority w:val="9"/>
    <w:unhideWhenUsed/>
    <w:qFormat/>
    <w:rsid w:val="00F370C1"/>
    <w:pPr>
      <w:spacing w:line="259" w:lineRule="auto"/>
      <w:outlineLvl w:val="4"/>
    </w:pPr>
    <w:rPr>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Noparagraphstyle">
    <w:name w:val="[No paragraph style]"/>
    <w:rsid w:val="00943386"/>
    <w:pPr>
      <w:widowControl w:val="0"/>
      <w:autoSpaceDE w:val="0"/>
      <w:autoSpaceDN w:val="0"/>
      <w:bidi/>
      <w:adjustRightInd w:val="0"/>
      <w:snapToGrid w:val="0"/>
      <w:spacing w:line="360" w:lineRule="auto"/>
      <w:textAlignment w:val="center"/>
    </w:pPr>
    <w:rPr>
      <w:rFonts w:ascii="Arial" w:eastAsia="Arial Unicode MS" w:hAnsi="Arial" w:cs="David"/>
      <w:snapToGrid w:val="0"/>
      <w:color w:val="000000"/>
      <w:szCs w:val="26"/>
      <w:lang w:eastAsia="ja-JP"/>
    </w:rPr>
  </w:style>
  <w:style w:type="paragraph" w:customStyle="1" w:styleId="Cover1-Reshumot">
    <w:name w:val="Cover 1-Reshumot"/>
    <w:basedOn w:val="a"/>
    <w:rsid w:val="00F370C1"/>
    <w:pPr>
      <w:tabs>
        <w:tab w:val="left" w:pos="1191"/>
        <w:tab w:val="left" w:pos="1587"/>
      </w:tabs>
      <w:snapToGrid w:val="0"/>
      <w:spacing w:before="240" w:after="240" w:line="480" w:lineRule="auto"/>
      <w:jc w:val="center"/>
    </w:pPr>
    <w:rPr>
      <w:rFonts w:ascii="Arial" w:eastAsia="Arial Unicode MS" w:hAnsi="Arial"/>
      <w:snapToGrid w:val="0"/>
      <w:sz w:val="20"/>
      <w:szCs w:val="26"/>
    </w:rPr>
  </w:style>
  <w:style w:type="paragraph" w:customStyle="1" w:styleId="Cover2-HatzaotHok">
    <w:name w:val="Cover 2-HatzaotHok"/>
    <w:basedOn w:val="Cover1-Reshumot"/>
    <w:rsid w:val="00F370C1"/>
    <w:rPr>
      <w:sz w:val="36"/>
      <w:szCs w:val="52"/>
    </w:rPr>
  </w:style>
  <w:style w:type="paragraph" w:customStyle="1" w:styleId="Cover3-Haknesset">
    <w:name w:val="Cover 3-Haknesset"/>
    <w:basedOn w:val="Cover1-Reshumot"/>
    <w:rsid w:val="00F370C1"/>
    <w:rPr>
      <w:b/>
      <w:bCs/>
      <w:spacing w:val="60"/>
    </w:rPr>
  </w:style>
  <w:style w:type="paragraph" w:customStyle="1" w:styleId="Cover4-Date">
    <w:name w:val="Cover 4-Date"/>
    <w:basedOn w:val="a"/>
    <w:rsid w:val="00F370C1"/>
    <w:pPr>
      <w:pBdr>
        <w:bottom w:val="single" w:sz="4" w:space="0" w:color="auto"/>
      </w:pBdr>
      <w:tabs>
        <w:tab w:val="center" w:pos="4820"/>
        <w:tab w:val="right" w:pos="9639"/>
      </w:tabs>
      <w:snapToGrid w:val="0"/>
      <w:spacing w:before="240" w:after="240"/>
      <w:jc w:val="left"/>
    </w:pPr>
    <w:rPr>
      <w:rFonts w:ascii="Arial" w:eastAsia="Arial Unicode MS" w:hAnsi="Arial"/>
      <w:snapToGrid w:val="0"/>
      <w:sz w:val="20"/>
      <w:szCs w:val="26"/>
    </w:rPr>
  </w:style>
  <w:style w:type="paragraph" w:customStyle="1" w:styleId="TOC">
    <w:name w:val="TOC"/>
    <w:basedOn w:val="Noparagraphstyle"/>
    <w:rsid w:val="00943386"/>
    <w:pPr>
      <w:tabs>
        <w:tab w:val="left" w:leader="dot" w:pos="8789"/>
      </w:tabs>
      <w:spacing w:before="120"/>
      <w:ind w:left="284" w:right="284"/>
    </w:pPr>
  </w:style>
  <w:style w:type="paragraph" w:customStyle="1" w:styleId="TOCpg">
    <w:name w:val="TOC pg"/>
    <w:basedOn w:val="TOC"/>
    <w:rsid w:val="00943386"/>
    <w:pPr>
      <w:spacing w:after="120"/>
      <w:ind w:right="567"/>
      <w:jc w:val="right"/>
    </w:pPr>
  </w:style>
  <w:style w:type="paragraph" w:customStyle="1" w:styleId="HeadMitparsemetBaze">
    <w:name w:val="Head MitparsemetBaze"/>
    <w:basedOn w:val="a"/>
    <w:rsid w:val="00F370C1"/>
    <w:pPr>
      <w:keepNext/>
      <w:keepLines/>
      <w:pageBreakBefore/>
      <w:snapToGrid w:val="0"/>
      <w:spacing w:before="480"/>
    </w:pPr>
    <w:rPr>
      <w:rFonts w:ascii="Arial" w:eastAsia="Arial Unicode MS" w:hAnsi="Arial"/>
      <w:b/>
      <w:bCs/>
      <w:snapToGrid w:val="0"/>
      <w:sz w:val="20"/>
      <w:szCs w:val="26"/>
    </w:rPr>
  </w:style>
  <w:style w:type="paragraph" w:customStyle="1" w:styleId="HeadHatzaotHok">
    <w:name w:val="Head HatzaotHok"/>
    <w:basedOn w:val="a"/>
    <w:rsid w:val="00F370C1"/>
    <w:pPr>
      <w:keepNext/>
      <w:keepLines/>
      <w:snapToGrid w:val="0"/>
      <w:spacing w:before="240"/>
      <w:jc w:val="center"/>
      <w:outlineLvl w:val="0"/>
    </w:pPr>
    <w:rPr>
      <w:rFonts w:ascii="Arial" w:eastAsia="Arial Unicode MS" w:hAnsi="Arial"/>
      <w:b/>
      <w:bCs/>
      <w:snapToGrid w:val="0"/>
      <w:sz w:val="20"/>
      <w:szCs w:val="26"/>
    </w:rPr>
  </w:style>
  <w:style w:type="paragraph" w:customStyle="1" w:styleId="HeadHatzaotHok4Futer">
    <w:name w:val="Head HatzaotHok4Futer"/>
    <w:basedOn w:val="HeadHatzaotHok"/>
    <w:rsid w:val="00F370C1"/>
    <w:pPr>
      <w:spacing w:before="120" w:after="120"/>
    </w:pPr>
    <w:rPr>
      <w:color w:val="FF0000"/>
      <w:w w:val="80"/>
    </w:rPr>
  </w:style>
  <w:style w:type="paragraph" w:styleId="a3">
    <w:name w:val="endnote text"/>
    <w:basedOn w:val="a"/>
    <w:semiHidden/>
    <w:rsid w:val="00F370C1"/>
    <w:pPr>
      <w:ind w:left="227" w:hanging="227"/>
    </w:pPr>
    <w:rPr>
      <w:sz w:val="14"/>
      <w:szCs w:val="22"/>
    </w:rPr>
  </w:style>
  <w:style w:type="paragraph" w:customStyle="1" w:styleId="TableText">
    <w:name w:val="Table Text"/>
    <w:basedOn w:val="a"/>
    <w:rsid w:val="00F370C1"/>
    <w:pPr>
      <w:keepLines/>
      <w:tabs>
        <w:tab w:val="left" w:pos="624"/>
        <w:tab w:val="left" w:pos="1247"/>
      </w:tabs>
      <w:snapToGrid w:val="0"/>
      <w:ind w:left="0"/>
      <w:jc w:val="left"/>
    </w:pPr>
    <w:rPr>
      <w:rFonts w:ascii="Arial" w:eastAsia="Arial Unicode MS" w:hAnsi="Arial"/>
      <w:snapToGrid w:val="0"/>
      <w:sz w:val="20"/>
      <w:szCs w:val="26"/>
    </w:rPr>
  </w:style>
  <w:style w:type="paragraph" w:customStyle="1" w:styleId="TableSideHeading">
    <w:name w:val="Table SideHeading"/>
    <w:basedOn w:val="TableText"/>
    <w:rsid w:val="00F370C1"/>
    <w:pPr>
      <w:outlineLvl w:val="2"/>
    </w:pPr>
  </w:style>
  <w:style w:type="paragraph" w:customStyle="1" w:styleId="TableBlock">
    <w:name w:val="Table Block"/>
    <w:basedOn w:val="TableText"/>
    <w:rsid w:val="00F370C1"/>
    <w:pPr>
      <w:jc w:val="both"/>
    </w:pPr>
  </w:style>
  <w:style w:type="paragraph" w:customStyle="1" w:styleId="TableHead">
    <w:name w:val="Table Head"/>
    <w:basedOn w:val="TableText"/>
    <w:rsid w:val="00F370C1"/>
    <w:pPr>
      <w:jc w:val="center"/>
      <w:outlineLvl w:val="1"/>
    </w:pPr>
    <w:rPr>
      <w:b/>
      <w:bCs/>
    </w:rPr>
  </w:style>
  <w:style w:type="paragraph" w:customStyle="1" w:styleId="TableText2">
    <w:name w:val="Table Text2"/>
    <w:basedOn w:val="TableText"/>
    <w:rsid w:val="00943386"/>
  </w:style>
  <w:style w:type="paragraph" w:customStyle="1" w:styleId="TableInnerSideHeading">
    <w:name w:val="Table InnerSideHeading"/>
    <w:basedOn w:val="TableSideHeading"/>
    <w:rsid w:val="00F370C1"/>
    <w:pPr>
      <w:outlineLvl w:val="9"/>
    </w:pPr>
  </w:style>
  <w:style w:type="paragraph" w:customStyle="1" w:styleId="Hesber">
    <w:name w:val="Hesber"/>
    <w:basedOn w:val="a"/>
    <w:rsid w:val="00F370C1"/>
    <w:pPr>
      <w:snapToGrid w:val="0"/>
      <w:ind w:left="0" w:firstLine="340"/>
    </w:pPr>
    <w:rPr>
      <w:rFonts w:ascii="Arial" w:eastAsia="Arial Unicode MS" w:hAnsi="Arial"/>
      <w:snapToGrid w:val="0"/>
      <w:sz w:val="20"/>
      <w:szCs w:val="26"/>
    </w:rPr>
  </w:style>
  <w:style w:type="paragraph" w:styleId="a4">
    <w:name w:val="footnote text"/>
    <w:basedOn w:val="a"/>
    <w:link w:val="a5"/>
    <w:autoRedefine/>
    <w:rsid w:val="00F370C1"/>
    <w:pPr>
      <w:snapToGrid w:val="0"/>
      <w:spacing w:line="240" w:lineRule="auto"/>
      <w:ind w:left="0"/>
      <w:jc w:val="left"/>
    </w:pPr>
    <w:rPr>
      <w:rFonts w:ascii="Arial" w:eastAsia="Arial Unicode MS" w:hAnsi="Arial"/>
      <w:snapToGrid w:val="0"/>
      <w:sz w:val="14"/>
      <w:szCs w:val="20"/>
    </w:rPr>
  </w:style>
  <w:style w:type="character" w:styleId="a6">
    <w:name w:val="footnote reference"/>
    <w:aliases w:val="Footnote Reference"/>
    <w:basedOn w:val="a0"/>
    <w:rsid w:val="00F370C1"/>
    <w:rPr>
      <w:vertAlign w:val="superscript"/>
    </w:rPr>
  </w:style>
  <w:style w:type="paragraph" w:customStyle="1" w:styleId="HesberHeading">
    <w:name w:val="Hesber Heading"/>
    <w:basedOn w:val="Hesber"/>
    <w:rsid w:val="00F370C1"/>
    <w:pPr>
      <w:tabs>
        <w:tab w:val="left" w:pos="624"/>
        <w:tab w:val="left" w:pos="1247"/>
      </w:tabs>
    </w:pPr>
    <w:rPr>
      <w:b/>
      <w:bCs/>
    </w:rPr>
  </w:style>
  <w:style w:type="paragraph" w:customStyle="1" w:styleId="HesberWriters">
    <w:name w:val="Hesber Writers"/>
    <w:basedOn w:val="Hesber"/>
    <w:rsid w:val="00F370C1"/>
    <w:pPr>
      <w:spacing w:before="120" w:after="120"/>
      <w:ind w:left="1418"/>
      <w:jc w:val="right"/>
    </w:pPr>
    <w:rPr>
      <w:b/>
      <w:bCs/>
    </w:rPr>
  </w:style>
  <w:style w:type="paragraph" w:customStyle="1" w:styleId="Hesber1st">
    <w:name w:val="Hesber 1st"/>
    <w:basedOn w:val="Hesber"/>
    <w:rsid w:val="00F370C1"/>
    <w:pPr>
      <w:tabs>
        <w:tab w:val="left" w:pos="680"/>
        <w:tab w:val="left" w:pos="1020"/>
      </w:tabs>
      <w:ind w:firstLine="0"/>
    </w:pPr>
  </w:style>
  <w:style w:type="character" w:styleId="a7">
    <w:name w:val="endnote reference"/>
    <w:basedOn w:val="a0"/>
    <w:semiHidden/>
    <w:rsid w:val="00F370C1"/>
    <w:rPr>
      <w:vertAlign w:val="superscript"/>
    </w:rPr>
  </w:style>
  <w:style w:type="paragraph" w:customStyle="1" w:styleId="TableBlockOutdent">
    <w:name w:val="Table BlockOutdent"/>
    <w:basedOn w:val="TableBlock"/>
    <w:rsid w:val="00F370C1"/>
    <w:pPr>
      <w:ind w:left="624" w:hanging="624"/>
    </w:pPr>
  </w:style>
  <w:style w:type="paragraph" w:styleId="a8">
    <w:name w:val="header"/>
    <w:basedOn w:val="a"/>
    <w:rsid w:val="00F370C1"/>
    <w:pPr>
      <w:tabs>
        <w:tab w:val="center" w:pos="4153"/>
        <w:tab w:val="right" w:pos="8306"/>
      </w:tabs>
    </w:pPr>
  </w:style>
  <w:style w:type="paragraph" w:styleId="a9">
    <w:name w:val="footer"/>
    <w:basedOn w:val="a"/>
    <w:rsid w:val="00F370C1"/>
    <w:pPr>
      <w:tabs>
        <w:tab w:val="center" w:pos="4153"/>
        <w:tab w:val="right" w:pos="8306"/>
      </w:tabs>
    </w:pPr>
  </w:style>
  <w:style w:type="paragraph" w:customStyle="1" w:styleId="HeadDivreiHesber">
    <w:name w:val="Head DivreiHesber"/>
    <w:basedOn w:val="a"/>
    <w:rsid w:val="00F370C1"/>
    <w:pPr>
      <w:snapToGrid w:val="0"/>
      <w:spacing w:before="360" w:after="120"/>
      <w:jc w:val="center"/>
      <w:outlineLvl w:val="1"/>
    </w:pPr>
    <w:rPr>
      <w:rFonts w:ascii="Arial" w:eastAsia="Arial Unicode MS" w:hAnsi="Arial"/>
      <w:b/>
      <w:snapToGrid w:val="0"/>
      <w:spacing w:val="40"/>
      <w:sz w:val="20"/>
      <w:szCs w:val="26"/>
    </w:rPr>
  </w:style>
  <w:style w:type="paragraph" w:customStyle="1" w:styleId="Ragil">
    <w:name w:val="Ragil"/>
    <w:basedOn w:val="a"/>
    <w:rsid w:val="00F370C1"/>
    <w:pPr>
      <w:snapToGrid w:val="0"/>
      <w:jc w:val="left"/>
    </w:pPr>
    <w:rPr>
      <w:rFonts w:ascii="Arial" w:eastAsia="Arial Unicode MS" w:hAnsi="Arial"/>
      <w:snapToGrid w:val="0"/>
      <w:sz w:val="20"/>
      <w:szCs w:val="26"/>
    </w:rPr>
  </w:style>
  <w:style w:type="paragraph" w:styleId="aa">
    <w:name w:val="Title"/>
    <w:basedOn w:val="a"/>
    <w:qFormat/>
    <w:rsid w:val="00943386"/>
    <w:pPr>
      <w:jc w:val="center"/>
    </w:pPr>
    <w:rPr>
      <w:b/>
      <w:bCs/>
      <w:sz w:val="28"/>
      <w:szCs w:val="28"/>
      <w:u w:val="single"/>
    </w:rPr>
  </w:style>
  <w:style w:type="character" w:styleId="ab">
    <w:name w:val="page number"/>
    <w:basedOn w:val="a0"/>
    <w:rsid w:val="00F370C1"/>
  </w:style>
  <w:style w:type="paragraph" w:customStyle="1" w:styleId="David">
    <w:name w:val="רגיל + (עברית ושפות אחרות) David"/>
    <w:aliases w:val="‏13 נק',מודגש,אחרי:  6 נק'"/>
    <w:basedOn w:val="a"/>
    <w:rsid w:val="001207F8"/>
    <w:pPr>
      <w:jc w:val="left"/>
    </w:pPr>
    <w:rPr>
      <w:sz w:val="26"/>
      <w:szCs w:val="26"/>
    </w:rPr>
  </w:style>
  <w:style w:type="paragraph" w:styleId="ac">
    <w:name w:val="Balloon Text"/>
    <w:basedOn w:val="a"/>
    <w:link w:val="ad"/>
    <w:semiHidden/>
    <w:unhideWhenUsed/>
    <w:rsid w:val="00325C14"/>
    <w:pPr>
      <w:spacing w:line="240" w:lineRule="auto"/>
    </w:pPr>
    <w:rPr>
      <w:rFonts w:ascii="Tahoma" w:hAnsi="Tahoma" w:cs="Tahoma"/>
      <w:sz w:val="16"/>
      <w:szCs w:val="16"/>
    </w:rPr>
  </w:style>
  <w:style w:type="character" w:customStyle="1" w:styleId="ad">
    <w:name w:val="טקסט בלונים תו"/>
    <w:basedOn w:val="a0"/>
    <w:link w:val="ac"/>
    <w:semiHidden/>
    <w:rsid w:val="00325C14"/>
    <w:rPr>
      <w:rFonts w:ascii="Tahoma" w:hAnsi="Tahoma" w:cs="Tahoma"/>
      <w:color w:val="000000"/>
      <w:spacing w:val="1"/>
      <w:sz w:val="16"/>
      <w:szCs w:val="16"/>
      <w:lang w:eastAsia="ja-JP"/>
    </w:rPr>
  </w:style>
  <w:style w:type="character" w:customStyle="1" w:styleId="a5">
    <w:name w:val="טקסט הערת שוליים תו"/>
    <w:basedOn w:val="a0"/>
    <w:link w:val="a4"/>
    <w:rsid w:val="007630DE"/>
    <w:rPr>
      <w:rFonts w:ascii="Arial" w:eastAsia="Arial Unicode MS" w:hAnsi="Arial" w:cs="David"/>
      <w:snapToGrid w:val="0"/>
      <w:sz w:val="14"/>
    </w:rPr>
  </w:style>
  <w:style w:type="character" w:customStyle="1" w:styleId="10">
    <w:name w:val="כותרת 1 תו"/>
    <w:basedOn w:val="a0"/>
    <w:link w:val="1"/>
    <w:uiPriority w:val="9"/>
    <w:rsid w:val="00F370C1"/>
    <w:rPr>
      <w:rFonts w:asciiTheme="majorHAnsi" w:eastAsiaTheme="majorEastAsia" w:hAnsiTheme="majorHAnsi" w:cs="David"/>
      <w:bCs/>
      <w:sz w:val="32"/>
      <w:szCs w:val="36"/>
    </w:rPr>
  </w:style>
  <w:style w:type="character" w:customStyle="1" w:styleId="20">
    <w:name w:val="כותרת 2 תו"/>
    <w:basedOn w:val="a0"/>
    <w:link w:val="2"/>
    <w:rsid w:val="00F370C1"/>
    <w:rPr>
      <w:rFonts w:asciiTheme="majorHAnsi" w:eastAsiaTheme="majorEastAsia" w:hAnsiTheme="majorHAnsi" w:cs="David"/>
      <w:bCs/>
      <w:sz w:val="26"/>
      <w:szCs w:val="36"/>
      <w:u w:val="single"/>
    </w:rPr>
  </w:style>
  <w:style w:type="character" w:customStyle="1" w:styleId="30">
    <w:name w:val="כותרת 3 תו"/>
    <w:basedOn w:val="a0"/>
    <w:link w:val="3"/>
    <w:rsid w:val="00F370C1"/>
    <w:rPr>
      <w:rFonts w:asciiTheme="majorHAnsi" w:eastAsiaTheme="majorEastAsia" w:hAnsiTheme="majorHAnsi" w:cs="David"/>
      <w:sz w:val="24"/>
      <w:szCs w:val="28"/>
      <w:u w:val="double"/>
    </w:rPr>
  </w:style>
  <w:style w:type="character" w:customStyle="1" w:styleId="40">
    <w:name w:val="כותרת 4 תו"/>
    <w:basedOn w:val="a0"/>
    <w:link w:val="4"/>
    <w:uiPriority w:val="9"/>
    <w:rsid w:val="00F370C1"/>
    <w:rPr>
      <w:rFonts w:ascii="David" w:eastAsiaTheme="minorHAnsi" w:hAnsi="David" w:cs="David"/>
      <w:b/>
      <w:bCs/>
      <w:color w:val="000000" w:themeColor="text1"/>
      <w:sz w:val="24"/>
      <w:szCs w:val="28"/>
    </w:rPr>
  </w:style>
  <w:style w:type="character" w:customStyle="1" w:styleId="50">
    <w:name w:val="כותרת 5 תו"/>
    <w:basedOn w:val="a0"/>
    <w:link w:val="5"/>
    <w:uiPriority w:val="9"/>
    <w:rsid w:val="00F370C1"/>
    <w:rPr>
      <w:rFonts w:ascii="David" w:eastAsiaTheme="minorHAnsi" w:hAnsi="David" w:cs="David"/>
      <w:color w:val="000000" w:themeColor="text1"/>
      <w:sz w:val="24"/>
      <w:szCs w:val="24"/>
    </w:rPr>
  </w:style>
  <w:style w:type="paragraph" w:styleId="ae">
    <w:name w:val="TOC Heading"/>
    <w:basedOn w:val="1"/>
    <w:next w:val="a"/>
    <w:uiPriority w:val="39"/>
    <w:unhideWhenUsed/>
    <w:qFormat/>
    <w:rsid w:val="00F370C1"/>
    <w:pPr>
      <w:widowControl/>
      <w:spacing w:before="120" w:after="120"/>
      <w:outlineLvl w:val="9"/>
    </w:pPr>
    <w:rPr>
      <w:rtl/>
      <w:cs/>
    </w:rPr>
  </w:style>
  <w:style w:type="paragraph" w:styleId="TOC1">
    <w:name w:val="toc 1"/>
    <w:basedOn w:val="a"/>
    <w:next w:val="a"/>
    <w:autoRedefine/>
    <w:uiPriority w:val="39"/>
    <w:unhideWhenUsed/>
    <w:rsid w:val="00F370C1"/>
    <w:pPr>
      <w:tabs>
        <w:tab w:val="right" w:leader="dot" w:pos="9629"/>
      </w:tabs>
      <w:spacing w:after="100"/>
    </w:pPr>
    <w:rPr>
      <w:bCs/>
      <w:szCs w:val="22"/>
    </w:rPr>
  </w:style>
  <w:style w:type="paragraph" w:styleId="TOC2">
    <w:name w:val="toc 2"/>
    <w:basedOn w:val="a"/>
    <w:next w:val="a"/>
    <w:uiPriority w:val="39"/>
    <w:unhideWhenUsed/>
    <w:rsid w:val="00F370C1"/>
    <w:pPr>
      <w:tabs>
        <w:tab w:val="right" w:leader="dot" w:pos="9628"/>
      </w:tabs>
      <w:spacing w:after="100"/>
    </w:pPr>
    <w:rPr>
      <w:szCs w:val="22"/>
    </w:rPr>
  </w:style>
  <w:style w:type="character" w:styleId="Hyperlink">
    <w:name w:val="Hyperlink"/>
    <w:basedOn w:val="a0"/>
    <w:uiPriority w:val="99"/>
    <w:unhideWhenUsed/>
    <w:rsid w:val="00F370C1"/>
    <w:rPr>
      <w:color w:val="0000FF" w:themeColor="hyperlink"/>
      <w:u w:val="single"/>
    </w:rPr>
  </w:style>
  <w:style w:type="paragraph" w:styleId="TOC3">
    <w:name w:val="toc 3"/>
    <w:basedOn w:val="a"/>
    <w:next w:val="a"/>
    <w:uiPriority w:val="39"/>
    <w:unhideWhenUsed/>
    <w:rsid w:val="00F370C1"/>
    <w:pPr>
      <w:numPr>
        <w:numId w:val="21"/>
      </w:numPr>
      <w:tabs>
        <w:tab w:val="right" w:leader="dot" w:pos="9629"/>
      </w:tabs>
      <w:spacing w:after="100"/>
      <w:ind w:left="811" w:hanging="357"/>
    </w:pPr>
    <w:rPr>
      <w:szCs w:val="22"/>
    </w:rPr>
  </w:style>
  <w:style w:type="paragraph" w:styleId="TOC4">
    <w:name w:val="toc 4"/>
    <w:basedOn w:val="a"/>
    <w:next w:val="a"/>
    <w:autoRedefine/>
    <w:unhideWhenUsed/>
    <w:qFormat/>
    <w:rsid w:val="00F370C1"/>
    <w:pPr>
      <w:tabs>
        <w:tab w:val="right" w:leader="dot" w:pos="9628"/>
      </w:tabs>
      <w:spacing w:after="100"/>
      <w:ind w:left="567"/>
    </w:pPr>
    <w:rPr>
      <w:rFonts w:asciiTheme="minorHAnsi" w:eastAsiaTheme="minorEastAsia" w:hAnsiTheme="minorHAnsi"/>
      <w:noProof/>
      <w:sz w:val="22"/>
      <w:szCs w:val="22"/>
    </w:rPr>
  </w:style>
  <w:style w:type="paragraph" w:styleId="TOC5">
    <w:name w:val="toc 5"/>
    <w:basedOn w:val="a"/>
    <w:next w:val="a"/>
    <w:semiHidden/>
    <w:unhideWhenUsed/>
    <w:rsid w:val="00F370C1"/>
    <w:pPr>
      <w:tabs>
        <w:tab w:val="right" w:leader="dot" w:pos="9628"/>
      </w:tabs>
      <w:spacing w:after="100"/>
      <w:ind w:left="567"/>
    </w:pPr>
    <w:rPr>
      <w:szCs w:val="22"/>
    </w:rPr>
  </w:style>
  <w:style w:type="paragraph" w:styleId="TOC6">
    <w:name w:val="toc 6"/>
    <w:basedOn w:val="a"/>
    <w:next w:val="a"/>
    <w:autoRedefine/>
    <w:semiHidden/>
    <w:unhideWhenUsed/>
    <w:rsid w:val="00F370C1"/>
    <w:pPr>
      <w:spacing w:after="100"/>
      <w:ind w:left="850"/>
    </w:pPr>
  </w:style>
  <w:style w:type="paragraph" w:styleId="TOC7">
    <w:name w:val="toc 7"/>
    <w:basedOn w:val="a"/>
    <w:next w:val="a"/>
    <w:autoRedefine/>
    <w:semiHidden/>
    <w:unhideWhenUsed/>
    <w:rsid w:val="00F370C1"/>
    <w:pPr>
      <w:spacing w:after="100"/>
      <w:ind w:left="1020"/>
    </w:pPr>
  </w:style>
  <w:style w:type="paragraph" w:styleId="TOC8">
    <w:name w:val="toc 8"/>
    <w:basedOn w:val="a"/>
    <w:next w:val="a"/>
    <w:autoRedefine/>
    <w:semiHidden/>
    <w:unhideWhenUsed/>
    <w:rsid w:val="00F370C1"/>
    <w:pPr>
      <w:spacing w:after="100"/>
      <w:ind w:left="1190"/>
    </w:pPr>
  </w:style>
  <w:style w:type="paragraph" w:styleId="TOC9">
    <w:name w:val="toc 9"/>
    <w:basedOn w:val="a"/>
    <w:next w:val="a"/>
    <w:autoRedefine/>
    <w:semiHidden/>
    <w:unhideWhenUsed/>
    <w:rsid w:val="00F370C1"/>
    <w:pPr>
      <w:spacing w:after="100"/>
      <w:ind w:left="1360"/>
    </w:pPr>
  </w:style>
  <w:style w:type="paragraph" w:customStyle="1" w:styleId="TableHead2">
    <w:name w:val="Table Head2"/>
    <w:basedOn w:val="TableHead"/>
    <w:qFormat/>
    <w:rsid w:val="00F370C1"/>
    <w:pPr>
      <w:outlineLvl w:val="9"/>
    </w:pPr>
  </w:style>
  <w:style w:type="paragraph" w:customStyle="1" w:styleId="TableSideHeading2">
    <w:name w:val="Table SideHeading2"/>
    <w:basedOn w:val="TableSideHeading"/>
    <w:autoRedefine/>
    <w:qFormat/>
    <w:rsid w:val="00F370C1"/>
    <w:pPr>
      <w:keepLines w:val="0"/>
      <w:outlineLvl w:val="9"/>
    </w:pPr>
  </w:style>
  <w:style w:type="paragraph" w:customStyle="1" w:styleId="0">
    <w:name w:val="סגנון שורה ראשונה:  0  ס''מ"/>
    <w:basedOn w:val="2"/>
    <w:rsid w:val="00F370C1"/>
    <w:rPr>
      <w:rFonts w:eastAsia="Times New Roman"/>
    </w:rPr>
  </w:style>
  <w:style w:type="paragraph" w:styleId="af">
    <w:name w:val="List Paragraph"/>
    <w:basedOn w:val="a"/>
    <w:uiPriority w:val="34"/>
    <w:qFormat/>
    <w:rsid w:val="00F370C1"/>
    <w:pPr>
      <w:widowControl/>
      <w:spacing w:line="259" w:lineRule="auto"/>
    </w:pPr>
    <w:rPr>
      <w:rFonts w:asciiTheme="minorHAnsi" w:hAnsiTheme="minorHAnsi"/>
      <w:sz w:val="22"/>
    </w:rPr>
  </w:style>
  <w:style w:type="table" w:styleId="af0">
    <w:name w:val="Table Grid"/>
    <w:basedOn w:val="a1"/>
    <w:rsid w:val="00F370C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1">
    <w:name w:val="Plain Table 1"/>
    <w:basedOn w:val="a1"/>
    <w:uiPriority w:val="41"/>
    <w:rsid w:val="00F370C1"/>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12">
    <w:name w:val="Grid Table 1 Light"/>
    <w:basedOn w:val="a1"/>
    <w:uiPriority w:val="46"/>
    <w:rsid w:val="00F370C1"/>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af1">
    <w:name w:val="טבלת חקיקה"/>
    <w:basedOn w:val="a1"/>
    <w:uiPriority w:val="99"/>
    <w:rsid w:val="00F370C1"/>
    <w:pPr>
      <w:jc w:val="center"/>
    </w:pPr>
    <w:rPr>
      <w:rFonts w:cstheme="minorBidi"/>
    </w:rPr>
    <w:tblPr/>
    <w:tcPr>
      <w:tcMar>
        <w:left w:w="0" w:type="dxa"/>
        <w:right w:w="0" w:type="dxa"/>
      </w:tcMar>
      <w:vAlign w:val="center"/>
    </w:tcPr>
    <w:tblStylePr w:type="firstRow">
      <w:pPr>
        <w:jc w:val="center"/>
      </w:pPr>
      <w:rPr>
        <w:rFonts w:cs="David"/>
        <w:bCs/>
        <w:szCs w:val="24"/>
      </w:rPr>
      <w:tblPr/>
      <w:tcPr>
        <w:tcBorders>
          <w:top w:val="nil"/>
          <w:left w:val="nil"/>
          <w:bottom w:val="nil"/>
          <w:right w:val="nil"/>
          <w:insideH w:val="nil"/>
          <w:insideV w:val="nil"/>
          <w:tl2br w:val="nil"/>
          <w:tr2bl w:val="nil"/>
        </w:tcBorders>
        <w:shd w:val="pct10" w:color="auto" w:fill="auto"/>
      </w:tcPr>
    </w:tblStylePr>
    <w:tblStylePr w:type="firstCol">
      <w:tblPr/>
      <w:tcPr>
        <w:noWrap/>
      </w:tcPr>
    </w:tblStylePr>
    <w:tblStylePr w:type="lastCol">
      <w:pPr>
        <w:jc w:val="center"/>
      </w:pPr>
      <w:tblPr/>
      <w:tcPr>
        <w:noWrap/>
      </w:tcPr>
    </w:tblStylePr>
  </w:style>
  <w:style w:type="table" w:customStyle="1" w:styleId="13">
    <w:name w:val="סגנון1"/>
    <w:basedOn w:val="a1"/>
    <w:uiPriority w:val="99"/>
    <w:rsid w:val="00F370C1"/>
    <w:tblPr/>
    <w:tblStylePr w:type="firstCol">
      <w:pPr>
        <w:keepNext w:val="0"/>
        <w:keepLines/>
        <w:pageBreakBefore w:val="0"/>
        <w:widowControl w:val="0"/>
        <w:suppressLineNumbers w:val="0"/>
        <w:suppressAutoHyphens w:val="0"/>
        <w:wordWrap/>
      </w:p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805151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מסמך" ma:contentTypeID="0x0101003A50981437779E428456932B2A638612" ma:contentTypeVersion="" ma:contentTypeDescription="צור מסמך חדש." ma:contentTypeScope="" ma:versionID="2df30a1b375d11bf545563b3a0868245">
  <xsd:schema xmlns:xsd="http://www.w3.org/2001/XMLSchema" xmlns:xs="http://www.w3.org/2001/XMLSchema" xmlns:p="http://schemas.microsoft.com/office/2006/metadata/properties" targetNamespace="http://schemas.microsoft.com/office/2006/metadata/properties" ma:root="true" ma:fieldsID="095a2728251a2ce93c0626b1f2c5b5f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סוג תוכן"/>
        <xsd:element ref="dc:title" minOccurs="0" maxOccurs="1" ma:index="4" ma:displayName="כותרת"/>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7885B59-CD57-4F5B-848B-A5479CF0FC6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88F4AFE3-9455-419C-8851-785A55F44517}">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www.w3.org/XML/1998/namespace"/>
    <ds:schemaRef ds:uri="http://purl.org/dc/dcmitype/"/>
  </ds:schemaRefs>
</ds:datastoreItem>
</file>

<file path=customXml/itemProps3.xml><?xml version="1.0" encoding="utf-8"?>
<ds:datastoreItem xmlns:ds="http://schemas.openxmlformats.org/officeDocument/2006/customXml" ds:itemID="{53CDC32B-DD97-493E-9196-3EF77D6F9C7D}">
  <ds:schemaRefs>
    <ds:schemaRef ds:uri="http://schemas.microsoft.com/sharepoint/v3/contenttype/forms"/>
  </ds:schemaRefs>
</ds:datastoreItem>
</file>

<file path=customXml/itemProps4.xml><?xml version="1.0" encoding="utf-8"?>
<ds:datastoreItem xmlns:ds="http://schemas.openxmlformats.org/officeDocument/2006/customXml" ds:itemID="{F9EEEBE5-6552-4C98-B93E-8A412AD9AA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52</TotalTime>
  <Pages>1</Pages>
  <Words>272</Words>
  <Characters>1556</Characters>
  <Application>Microsoft Office Word</Application>
  <DocSecurity>0</DocSecurity>
  <Lines>12</Lines>
  <Paragraphs>3</Paragraphs>
  <ScaleCrop>false</ScaleCrop>
  <HeadingPairs>
    <vt:vector size="4" baseType="variant">
      <vt:variant>
        <vt:lpstr>שם</vt:lpstr>
      </vt:variant>
      <vt:variant>
        <vt:i4>1</vt:i4>
      </vt:variant>
      <vt:variant>
        <vt:lpstr>Title</vt:lpstr>
      </vt:variant>
      <vt:variant>
        <vt:i4>1</vt:i4>
      </vt:variant>
    </vt:vector>
  </HeadingPairs>
  <TitlesOfParts>
    <vt:vector size="2" baseType="lpstr">
      <vt:lpstr>רשומות</vt:lpstr>
      <vt:lpstr>רשומות</vt:lpstr>
    </vt:vector>
  </TitlesOfParts>
  <Company>Knesset</Company>
  <LinksUpToDate>false</LinksUpToDate>
  <CharactersWithSpaces>1825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רשומות</dc:title>
  <dc:creator>מיקה צור</dc:creator>
  <cp:lastModifiedBy>אילת וולברג</cp:lastModifiedBy>
  <cp:revision>8</cp:revision>
  <cp:lastPrinted>2013-07-04T08:25:00Z</cp:lastPrinted>
  <dcterms:created xsi:type="dcterms:W3CDTF">2015-04-20T09:58:00Z</dcterms:created>
  <dcterms:modified xsi:type="dcterms:W3CDTF">2019-11-06T13:31:00Z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0x0101003A50981437779E428456932B2A638612</vt:lpwstr>
  </property>
  <property fmtid="{D5CDD505-2E9C-101B-9397-08002B2CF9AE}" pid="3" name="_dlc_DocIdItemGuid">
    <vt:lpwstr>8badafff-95aa-4718-b074-a2d35988ffa8</vt:lpwstr>
  </property>
  <property fmtid="{D5CDD505-2E9C-101B-9397-08002B2CF9AE}" pid="4" name="SanhedrinDocumentType">
    <vt:r8>10</vt:r8>
  </property>
  <property fmtid="{D5CDD505-2E9C-101B-9397-08002B2CF9AE}" pid="5" name="SanhedrinItemID">
    <vt:r8>2081779</vt:r8>
  </property>
</Properties>
</file>