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309D1" w14:textId="77777777" w:rsidR="00DE5789" w:rsidRDefault="00DE5789" w:rsidP="00DE5789">
      <w:pPr>
        <w:jc w:val="right"/>
        <w:rPr>
          <w:rFonts w:cs="David"/>
          <w:b/>
          <w:bCs/>
          <w:sz w:val="20"/>
          <w:szCs w:val="20"/>
        </w:rPr>
      </w:pPr>
      <w:r>
        <w:rPr>
          <w:rFonts w:cs="David" w:hint="cs"/>
          <w:sz w:val="20"/>
          <w:szCs w:val="20"/>
          <w:rtl/>
        </w:rPr>
        <w:t xml:space="preserve">מספר פנימי: </w:t>
      </w:r>
      <w:bookmarkStart w:id="0" w:name="LGS_Internal_ID"/>
      <w:r>
        <w:rPr>
          <w:rFonts w:cs="David" w:hint="cs"/>
          <w:sz w:val="20"/>
          <w:szCs w:val="20"/>
          <w:rtl/>
        </w:rPr>
        <w:t>2081293</w:t>
      </w:r>
      <w:bookmarkEnd w:id="0"/>
    </w:p>
    <w:p w14:paraId="04AC7C02" w14:textId="77777777" w:rsidR="00DE5789" w:rsidRDefault="00DE5789" w:rsidP="00DE5789">
      <w:pPr>
        <w:pStyle w:val="HeadHatzaotHok"/>
        <w:rPr>
          <w:sz w:val="28"/>
          <w:szCs w:val="28"/>
        </w:rPr>
      </w:pPr>
      <w:bookmarkStart w:id="1" w:name="LGS_Knesset_Num"/>
      <w:r>
        <w:rPr>
          <w:rFonts w:hint="cs"/>
          <w:sz w:val="28"/>
          <w:szCs w:val="28"/>
          <w:rtl/>
        </w:rPr>
        <w:t>הכנסת העשרים ושתיים</w:t>
      </w:r>
      <w:bookmarkEnd w:id="1"/>
    </w:p>
    <w:p w14:paraId="681E0D79" w14:textId="77777777" w:rsidR="00DE5789" w:rsidRDefault="00DE5789" w:rsidP="00DE5789">
      <w:pPr>
        <w:rPr>
          <w:rFonts w:cs="David"/>
          <w:b/>
          <w:bCs/>
          <w:sz w:val="26"/>
          <w:szCs w:val="26"/>
          <w:rtl/>
        </w:rPr>
      </w:pPr>
    </w:p>
    <w:p w14:paraId="63F7D65D" w14:textId="77777777" w:rsidR="00DE5789" w:rsidRDefault="00DE5789" w:rsidP="00DE5789">
      <w:pPr>
        <w:pStyle w:val="David"/>
        <w:spacing w:line="360" w:lineRule="auto"/>
        <w:ind w:left="3544"/>
        <w:rPr>
          <w:b/>
          <w:bCs/>
          <w:rtl/>
        </w:rPr>
      </w:pPr>
      <w:bookmarkStart w:id="2" w:name="LGS_Initiators_List"/>
      <w:r>
        <w:rPr>
          <w:rFonts w:hint="cs"/>
          <w:b/>
          <w:bCs/>
          <w:rtl/>
        </w:rPr>
        <w:t>יוזמים:      חברי הכנסת</w:t>
      </w:r>
      <w:bookmarkEnd w:id="2"/>
      <w:r>
        <w:rPr>
          <w:b/>
          <w:bCs/>
        </w:rPr>
        <w:tab/>
      </w:r>
      <w:bookmarkStart w:id="3" w:name="LGS_PM_Names"/>
      <w:r>
        <w:rPr>
          <w:rFonts w:hint="cs"/>
          <w:b/>
          <w:bCs/>
          <w:rtl/>
        </w:rPr>
        <w:t>עפר שלח</w:t>
      </w:r>
      <w:r>
        <w:br/>
      </w:r>
      <w:r>
        <w:rPr>
          <w:rFonts w:hint="cs"/>
          <w:b/>
          <w:bCs/>
          <w:rtl/>
        </w:rPr>
        <w:t xml:space="preserve"> </w:t>
      </w:r>
      <w:r>
        <w:tab/>
      </w:r>
      <w:r>
        <w:tab/>
      </w:r>
      <w:r>
        <w:tab/>
      </w:r>
      <w:r>
        <w:tab/>
      </w:r>
      <w:r>
        <w:rPr>
          <w:rFonts w:hint="cs"/>
          <w:b/>
          <w:bCs/>
          <w:rtl/>
        </w:rPr>
        <w:t>אסף זמיר</w:t>
      </w:r>
      <w:bookmarkEnd w:id="3"/>
    </w:p>
    <w:p w14:paraId="35E78DD8" w14:textId="77777777" w:rsidR="00DE5789" w:rsidRDefault="00DE5789" w:rsidP="00DE5789">
      <w:pPr>
        <w:pStyle w:val="David"/>
        <w:spacing w:before="0" w:line="360" w:lineRule="auto"/>
        <w:ind w:left="3544"/>
        <w:rPr>
          <w:b/>
          <w:bCs/>
          <w:sz w:val="16"/>
          <w:szCs w:val="16"/>
          <w:rtl/>
        </w:rPr>
      </w:pPr>
      <w:bookmarkStart w:id="4" w:name="LGS_Join_List"/>
      <w:r>
        <w:rPr>
          <w:rFonts w:hint="cs"/>
          <w:rtl/>
        </w:rPr>
        <w:t xml:space="preserve"> </w:t>
      </w:r>
      <w:bookmarkEnd w:id="4"/>
      <w:r>
        <w:rPr>
          <w:rFonts w:hint="cs"/>
          <w:rtl/>
        </w:rPr>
        <w:tab/>
      </w:r>
      <w:bookmarkStart w:id="5" w:name="LGS_PM_NamesJoin"/>
      <w:r>
        <w:rPr>
          <w:rFonts w:hint="cs"/>
          <w:rtl/>
        </w:rPr>
        <w:t xml:space="preserve"> </w:t>
      </w:r>
      <w:bookmarkEnd w:id="5"/>
    </w:p>
    <w:p w14:paraId="0F396C11" w14:textId="77777777" w:rsidR="00DE5789" w:rsidRDefault="00DE5789" w:rsidP="00DE5789">
      <w:pPr>
        <w:pStyle w:val="David"/>
        <w:spacing w:before="0" w:line="360" w:lineRule="auto"/>
        <w:ind w:left="3544"/>
        <w:rPr>
          <w:sz w:val="4"/>
          <w:szCs w:val="4"/>
          <w:rtl/>
        </w:rPr>
      </w:pPr>
      <w:r>
        <w:t>______________________________________________</w:t>
      </w:r>
      <w:r>
        <w:tab/>
      </w:r>
      <w:r>
        <w:rPr>
          <w:rFonts w:hint="cs"/>
          <w:rtl/>
        </w:rPr>
        <w:tab/>
      </w:r>
      <w:r>
        <w:rPr>
          <w:rFonts w:hint="cs"/>
          <w:rtl/>
        </w:rPr>
        <w:tab/>
      </w:r>
      <w:r>
        <w:rPr>
          <w:rFonts w:hint="cs"/>
          <w:rtl/>
        </w:rPr>
        <w:tab/>
      </w:r>
      <w:r>
        <w:t xml:space="preserve">           </w:t>
      </w:r>
    </w:p>
    <w:p w14:paraId="28F37E6D" w14:textId="52D15BB5" w:rsidR="00DE5789" w:rsidRDefault="00CE683C" w:rsidP="00DE5789">
      <w:pPr>
        <w:spacing w:before="0" w:line="360" w:lineRule="auto"/>
        <w:ind w:left="2880" w:firstLine="720"/>
        <w:rPr>
          <w:rFonts w:cs="David"/>
          <w:sz w:val="26"/>
          <w:szCs w:val="26"/>
          <w:rtl/>
        </w:rPr>
      </w:pPr>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hint="cs"/>
          <w:sz w:val="26"/>
          <w:szCs w:val="26"/>
          <w:rtl/>
        </w:rPr>
        <w:t>פ/366/22</w:t>
      </w:r>
    </w:p>
    <w:p w14:paraId="2045E28F" w14:textId="77777777" w:rsidR="00DE5789" w:rsidRDefault="00DE5789" w:rsidP="00DE5789">
      <w:pPr>
        <w:pStyle w:val="HeadHatzaotHok"/>
        <w:rPr>
          <w:rtl/>
        </w:rPr>
      </w:pPr>
      <w:bookmarkStart w:id="6" w:name="LGS_Subject"/>
      <w:r>
        <w:rPr>
          <w:rFonts w:hint="cs"/>
          <w:rtl/>
        </w:rPr>
        <w:t xml:space="preserve">הצעת חוק הפרשנות (תיקון - הגדרת הפליה על רקע זהות מגדרית או נטייה מינית), </w:t>
      </w:r>
      <w:proofErr w:type="spellStart"/>
      <w:r>
        <w:rPr>
          <w:rFonts w:hint="cs"/>
          <w:rtl/>
        </w:rPr>
        <w:t>התש"ף</w:t>
      </w:r>
      <w:proofErr w:type="spellEnd"/>
      <w:r>
        <w:rPr>
          <w:rFonts w:hint="cs"/>
          <w:rtl/>
        </w:rPr>
        <w:t>–2019</w:t>
      </w:r>
      <w:bookmarkEnd w:id="6"/>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DE5789" w14:paraId="7EDDBE25" w14:textId="77777777" w:rsidTr="00926C0E">
        <w:trPr>
          <w:cantSplit/>
          <w:trHeight w:val="60"/>
        </w:trPr>
        <w:tc>
          <w:tcPr>
            <w:tcW w:w="1871" w:type="dxa"/>
            <w:hideMark/>
          </w:tcPr>
          <w:p w14:paraId="34113BF3" w14:textId="77777777" w:rsidR="00DE5789" w:rsidRDefault="00DE5789" w:rsidP="00926C0E">
            <w:pPr>
              <w:pStyle w:val="TableSideHeading"/>
              <w:keepLines w:val="0"/>
              <w:rPr>
                <w:rtl/>
              </w:rPr>
            </w:pPr>
            <w:r>
              <w:rPr>
                <w:rFonts w:hint="cs"/>
                <w:rtl/>
              </w:rPr>
              <w:t>תיקון סעיף 3</w:t>
            </w:r>
          </w:p>
        </w:tc>
        <w:tc>
          <w:tcPr>
            <w:tcW w:w="624" w:type="dxa"/>
            <w:hideMark/>
          </w:tcPr>
          <w:p w14:paraId="1435B55E" w14:textId="77777777" w:rsidR="00DE5789" w:rsidRDefault="00DE5789" w:rsidP="00926C0E">
            <w:pPr>
              <w:pStyle w:val="TableText"/>
              <w:keepLines w:val="0"/>
            </w:pPr>
            <w:r>
              <w:rPr>
                <w:rFonts w:hint="cs"/>
                <w:sz w:val="26"/>
                <w:rtl/>
              </w:rPr>
              <w:t>1.</w:t>
            </w:r>
          </w:p>
        </w:tc>
        <w:tc>
          <w:tcPr>
            <w:tcW w:w="7146" w:type="dxa"/>
            <w:hideMark/>
          </w:tcPr>
          <w:p w14:paraId="6B7B93B0" w14:textId="77777777" w:rsidR="00DE5789" w:rsidRDefault="00DE5789" w:rsidP="00926C0E">
            <w:pPr>
              <w:pStyle w:val="TableBlock"/>
            </w:pPr>
            <w:r>
              <w:rPr>
                <w:rFonts w:hint="cs"/>
                <w:rtl/>
              </w:rPr>
              <w:t xml:space="preserve">בחוק הפרשנות, </w:t>
            </w:r>
            <w:proofErr w:type="spellStart"/>
            <w:r>
              <w:rPr>
                <w:rFonts w:hint="cs"/>
                <w:rtl/>
              </w:rPr>
              <w:t>התשמ"א</w:t>
            </w:r>
            <w:proofErr w:type="spellEnd"/>
            <w:r>
              <w:rPr>
                <w:rFonts w:hint="cs"/>
                <w:rtl/>
              </w:rPr>
              <w:t>–1981</w:t>
            </w:r>
            <w:r>
              <w:rPr>
                <w:rStyle w:val="a6"/>
                <w:rtl/>
              </w:rPr>
              <w:footnoteReference w:id="2"/>
            </w:r>
            <w:r>
              <w:rPr>
                <w:rFonts w:hint="cs"/>
                <w:rtl/>
              </w:rPr>
              <w:t xml:space="preserve">, בסעיף 3, אחרי ההגדרה "הוראת </w:t>
            </w:r>
            <w:proofErr w:type="spellStart"/>
            <w:r>
              <w:rPr>
                <w:rFonts w:hint="cs"/>
                <w:rtl/>
              </w:rPr>
              <w:t>מינהל</w:t>
            </w:r>
            <w:proofErr w:type="spellEnd"/>
            <w:r>
              <w:rPr>
                <w:rFonts w:hint="cs"/>
                <w:rtl/>
              </w:rPr>
              <w:t xml:space="preserve">" יבוא: </w:t>
            </w:r>
          </w:p>
        </w:tc>
      </w:tr>
      <w:tr w:rsidR="00DE5789" w14:paraId="1B3124E8" w14:textId="77777777" w:rsidTr="00926C0E">
        <w:trPr>
          <w:cantSplit/>
          <w:trHeight w:val="60"/>
        </w:trPr>
        <w:tc>
          <w:tcPr>
            <w:tcW w:w="1871" w:type="dxa"/>
          </w:tcPr>
          <w:p w14:paraId="1BD49159" w14:textId="77777777" w:rsidR="00DE5789" w:rsidRDefault="00DE5789" w:rsidP="00926C0E">
            <w:pPr>
              <w:pStyle w:val="TableSideHeading"/>
              <w:keepLines w:val="0"/>
            </w:pPr>
          </w:p>
        </w:tc>
        <w:tc>
          <w:tcPr>
            <w:tcW w:w="624" w:type="dxa"/>
          </w:tcPr>
          <w:p w14:paraId="44D8B935" w14:textId="77777777" w:rsidR="00DE5789" w:rsidRDefault="00DE5789" w:rsidP="00926C0E">
            <w:pPr>
              <w:pStyle w:val="TableText"/>
              <w:keepLines w:val="0"/>
            </w:pPr>
          </w:p>
        </w:tc>
        <w:tc>
          <w:tcPr>
            <w:tcW w:w="7146" w:type="dxa"/>
            <w:hideMark/>
          </w:tcPr>
          <w:p w14:paraId="4945F0BB" w14:textId="77777777" w:rsidR="00DE5789" w:rsidRDefault="00DE5789" w:rsidP="00CE683C">
            <w:pPr>
              <w:pStyle w:val="TableBlockOutdent"/>
            </w:pPr>
            <w:r>
              <w:rPr>
                <w:rFonts w:hint="cs"/>
                <w:rtl/>
              </w:rPr>
              <w:t>""</w:t>
            </w:r>
            <w:r w:rsidRPr="00CE683C">
              <w:rPr>
                <w:rFonts w:hint="cs"/>
                <w:rtl/>
              </w:rPr>
              <w:t>הפליה" – לרבות הפליה על רקע נטייה מינית או זהות מגדרית, בשים לב למטרות החיקוק;".</w:t>
            </w:r>
          </w:p>
        </w:tc>
      </w:tr>
    </w:tbl>
    <w:p w14:paraId="47618C22" w14:textId="77777777" w:rsidR="00DE5789" w:rsidRDefault="00DE5789" w:rsidP="00DE5789">
      <w:pPr>
        <w:pStyle w:val="HeadDivreiHesber"/>
      </w:pPr>
      <w:r>
        <w:rPr>
          <w:rFonts w:hint="cs"/>
          <w:rtl/>
        </w:rPr>
        <w:t>דברי הסבר</w:t>
      </w:r>
    </w:p>
    <w:p w14:paraId="0449C281" w14:textId="77777777" w:rsidR="00DE5789" w:rsidRPr="00CE683C" w:rsidRDefault="00DE5789" w:rsidP="00CE683C">
      <w:pPr>
        <w:pStyle w:val="Hesber"/>
        <w:rPr>
          <w:rtl/>
        </w:rPr>
      </w:pPr>
      <w:r w:rsidRPr="00CE683C">
        <w:rPr>
          <w:rFonts w:hint="cs"/>
          <w:rtl/>
        </w:rPr>
        <w:t xml:space="preserve">יש כיום מגוון של חוקים אשר מטרתם מניעת הפליה. לאור התמורות בחברה הישראלית אנו רואים לנכון לבצע תיקון כללי בסעיפי איסור ההפליה, דרך תיקון חוק הפרשנות, </w:t>
      </w:r>
      <w:proofErr w:type="spellStart"/>
      <w:r w:rsidRPr="00CE683C">
        <w:rPr>
          <w:rFonts w:hint="cs"/>
          <w:rtl/>
        </w:rPr>
        <w:t>התשמ"א</w:t>
      </w:r>
      <w:proofErr w:type="spellEnd"/>
      <w:r w:rsidRPr="00CE683C">
        <w:rPr>
          <w:rFonts w:hint="cs"/>
          <w:rtl/>
        </w:rPr>
        <w:t xml:space="preserve">–1981. </w:t>
      </w:r>
    </w:p>
    <w:p w14:paraId="1CB793A6" w14:textId="77777777" w:rsidR="00DE5789" w:rsidRPr="00CE683C" w:rsidRDefault="00DE5789" w:rsidP="00CE683C">
      <w:pPr>
        <w:pStyle w:val="Hesber"/>
        <w:rPr>
          <w:rtl/>
        </w:rPr>
      </w:pPr>
      <w:r w:rsidRPr="00CE683C">
        <w:rPr>
          <w:rFonts w:hint="cs"/>
          <w:rtl/>
        </w:rPr>
        <w:t xml:space="preserve">בהצעת חוק זו מוצע כי בכל מקום בספר החוקים ובתקנות </w:t>
      </w:r>
      <w:proofErr w:type="spellStart"/>
      <w:r w:rsidRPr="00CE683C">
        <w:rPr>
          <w:rFonts w:hint="cs"/>
          <w:rtl/>
        </w:rPr>
        <w:t>המינהל</w:t>
      </w:r>
      <w:proofErr w:type="spellEnd"/>
      <w:r w:rsidRPr="00CE683C">
        <w:rPr>
          <w:rFonts w:hint="cs"/>
          <w:rtl/>
        </w:rPr>
        <w:t xml:space="preserve"> בו יש התייחסות לאיסור הפליה, יתווסף האיסור על הפליה מנימוקים של נטייה מינית או זהות מגדרית. בנוסף, חוק זה יהווה כלי פרשני לבתי משפט בכל סוגיה הקשורה להפליה ואף הצהרה חינוכית בנוגע לשוויון הזכויות בחברה הישראלית. </w:t>
      </w:r>
    </w:p>
    <w:p w14:paraId="49A81767" w14:textId="66EBB5D3" w:rsidR="00DE5789" w:rsidRDefault="00DE5789" w:rsidP="00CE683C">
      <w:pPr>
        <w:pStyle w:val="Hesber"/>
        <w:rPr>
          <w:rtl/>
        </w:rPr>
      </w:pPr>
      <w:r w:rsidRPr="00CE683C">
        <w:rPr>
          <w:rFonts w:hint="cs"/>
          <w:rtl/>
        </w:rPr>
        <w:t>הצעות חוק זהות הונחו על שולחן הכנסת התשע</w:t>
      </w:r>
      <w:r w:rsidR="00CE683C">
        <w:rPr>
          <w:rFonts w:hint="cs"/>
          <w:rtl/>
        </w:rPr>
        <w:t>-</w:t>
      </w:r>
      <w:r w:rsidRPr="00CE683C">
        <w:rPr>
          <w:rFonts w:hint="cs"/>
          <w:rtl/>
        </w:rPr>
        <w:t xml:space="preserve">עשרה על ידי חבר הכנסת עפר שלח וקבוצת חברי הכנסת (פ/1741/19) ועל ידי חבר הכנסת דב </w:t>
      </w:r>
      <w:proofErr w:type="spellStart"/>
      <w:r w:rsidRPr="00CE683C">
        <w:rPr>
          <w:rFonts w:hint="cs"/>
          <w:rtl/>
        </w:rPr>
        <w:t>חנין</w:t>
      </w:r>
      <w:proofErr w:type="spellEnd"/>
      <w:r w:rsidRPr="00CE683C">
        <w:rPr>
          <w:rFonts w:hint="cs"/>
          <w:rtl/>
        </w:rPr>
        <w:t xml:space="preserve"> וקבוצת חברי הכנסת (פ/1953/19), ועל שולחן הכנסת העשרים על ידי חברי הכנסת עפר שלח ויעל גרמן (פ/214/20; הוסרה מסדר היום ביום כ' בכסלו </w:t>
      </w:r>
      <w:proofErr w:type="spellStart"/>
      <w:r w:rsidRPr="00CE683C">
        <w:rPr>
          <w:rFonts w:hint="cs"/>
          <w:rtl/>
        </w:rPr>
        <w:t>התשע"ה</w:t>
      </w:r>
      <w:proofErr w:type="spellEnd"/>
      <w:r w:rsidRPr="00CE683C">
        <w:rPr>
          <w:rFonts w:hint="cs"/>
          <w:rtl/>
        </w:rPr>
        <w:t xml:space="preserve"> (2 בדצמבר 2015)), על ידי חבר הכנסת דב </w:t>
      </w:r>
      <w:proofErr w:type="spellStart"/>
      <w:r w:rsidRPr="00CE683C">
        <w:rPr>
          <w:rFonts w:hint="cs"/>
          <w:rtl/>
        </w:rPr>
        <w:t>חנין</w:t>
      </w:r>
      <w:proofErr w:type="spellEnd"/>
      <w:r w:rsidRPr="00CE683C">
        <w:rPr>
          <w:rFonts w:hint="cs"/>
          <w:rtl/>
        </w:rPr>
        <w:t xml:space="preserve"> וקבוצת חברי הכנסת (פ/1227/20; הוסרה מסדר היום ביום כ' בכסלו </w:t>
      </w:r>
      <w:proofErr w:type="spellStart"/>
      <w:r w:rsidRPr="00CE683C">
        <w:rPr>
          <w:rFonts w:hint="cs"/>
          <w:rtl/>
        </w:rPr>
        <w:t>התשע"ה</w:t>
      </w:r>
      <w:proofErr w:type="spellEnd"/>
      <w:r w:rsidRPr="00CE683C">
        <w:rPr>
          <w:rFonts w:hint="cs"/>
          <w:rtl/>
        </w:rPr>
        <w:t xml:space="preserve"> (2 בדצמבר 2015); פ/2488/20), על ידי חבר הכנסת יואב קיש וקבוצת חברי הכנסת (פ/1548/20) ועל ידי חבר הכנסת עפר שלח וקבוצת חברי הכנסת (פ/2812/20).</w:t>
      </w:r>
    </w:p>
    <w:p w14:paraId="7BAB41CE" w14:textId="77777777" w:rsidR="00CE683C" w:rsidRDefault="00CE683C" w:rsidP="00CE683C">
      <w:pPr>
        <w:pStyle w:val="Hesber"/>
        <w:rPr>
          <w:rtl/>
        </w:rPr>
      </w:pPr>
    </w:p>
    <w:p w14:paraId="0440A0BF" w14:textId="77777777" w:rsidR="00CE683C" w:rsidRPr="00D73212" w:rsidRDefault="00CE683C" w:rsidP="00CE683C">
      <w:pPr>
        <w:pStyle w:val="Hesber"/>
        <w:rPr>
          <w:color w:val="auto"/>
          <w:rtl/>
          <w:lang w:eastAsia="en-US"/>
        </w:rPr>
      </w:pPr>
      <w:r w:rsidRPr="00D73212">
        <w:rPr>
          <w:color w:val="auto"/>
          <w:rtl/>
          <w:lang w:eastAsia="en-US"/>
        </w:rPr>
        <w:t>---------------------------------</w:t>
      </w:r>
    </w:p>
    <w:p w14:paraId="3E637184" w14:textId="77777777" w:rsidR="00CE683C" w:rsidRPr="00D73212" w:rsidRDefault="00CE683C" w:rsidP="00CE683C">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8069C4A" w14:textId="77777777" w:rsidR="00CE683C" w:rsidRPr="00D73212" w:rsidRDefault="00CE683C" w:rsidP="00CE683C">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0A6735E" w14:textId="77777777" w:rsidR="00CE683C" w:rsidRPr="00317312" w:rsidRDefault="00CE683C" w:rsidP="00CE683C">
      <w:pPr>
        <w:pStyle w:val="Hesber"/>
      </w:pPr>
      <w:r>
        <w:rPr>
          <w:rFonts w:hint="cs"/>
          <w:color w:val="auto"/>
          <w:rtl/>
          <w:lang w:eastAsia="en-US"/>
        </w:rPr>
        <w:t>י"ג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11.11</w:t>
      </w:r>
      <w:r w:rsidRPr="00D73212">
        <w:rPr>
          <w:color w:val="auto"/>
          <w:rtl/>
          <w:lang w:eastAsia="en-US"/>
        </w:rPr>
        <w:t>.</w:t>
      </w:r>
      <w:r>
        <w:rPr>
          <w:rFonts w:hint="cs"/>
          <w:color w:val="auto"/>
          <w:rtl/>
          <w:lang w:eastAsia="en-US"/>
        </w:rPr>
        <w:t xml:space="preserve">19  </w:t>
      </w:r>
    </w:p>
    <w:p w14:paraId="74087A16" w14:textId="77777777" w:rsidR="00CE683C" w:rsidRPr="00CE683C" w:rsidRDefault="00CE683C" w:rsidP="00CE683C">
      <w:pPr>
        <w:pStyle w:val="Hesber"/>
        <w:rPr>
          <w:rtl/>
        </w:rPr>
      </w:pPr>
      <w:bookmarkStart w:id="7" w:name="_GoBack"/>
      <w:bookmarkEnd w:id="7"/>
    </w:p>
    <w:p w14:paraId="7F6961CB" w14:textId="07BF7E0A" w:rsidR="00E13C27" w:rsidRPr="00CE683C" w:rsidRDefault="00E13C27" w:rsidP="00CE683C">
      <w:pPr>
        <w:pStyle w:val="Hesber"/>
        <w:rPr>
          <w:rtl/>
        </w:rPr>
      </w:pPr>
    </w:p>
    <w:sectPr w:rsidR="00E13C27" w:rsidRPr="00CE683C"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F665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096AAED" w14:textId="77777777" w:rsidR="00DE5789" w:rsidRDefault="00DE5789" w:rsidP="00DE5789">
      <w:pPr>
        <w:pStyle w:val="a4"/>
        <w:rPr>
          <w:rtl/>
        </w:rPr>
      </w:pPr>
      <w:r>
        <w:rPr>
          <w:rStyle w:val="a6"/>
        </w:rPr>
        <w:footnoteRef/>
      </w:r>
      <w:r>
        <w:rPr>
          <w:rFonts w:hint="cs"/>
          <w:rtl/>
        </w:rPr>
        <w:t xml:space="preserve"> </w:t>
      </w:r>
      <w:r>
        <w:rPr>
          <w:rFonts w:hint="cs"/>
          <w:sz w:val="20"/>
          <w:rtl/>
        </w:rPr>
        <w:t xml:space="preserve">ס"ח </w:t>
      </w:r>
      <w:proofErr w:type="spellStart"/>
      <w:r>
        <w:rPr>
          <w:rFonts w:hint="cs"/>
          <w:sz w:val="20"/>
          <w:rtl/>
        </w:rPr>
        <w:t>התשמ"א</w:t>
      </w:r>
      <w:proofErr w:type="spellEnd"/>
      <w:r>
        <w:rPr>
          <w:rFonts w:hint="cs"/>
          <w:sz w:val="20"/>
          <w:rtl/>
        </w:rPr>
        <w:t>, עמ' 302.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F579C"/>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F2E91"/>
    <w:rsid w:val="0062674B"/>
    <w:rsid w:val="006363B2"/>
    <w:rsid w:val="00644940"/>
    <w:rsid w:val="006818A9"/>
    <w:rsid w:val="006A2D81"/>
    <w:rsid w:val="006B0174"/>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F6658"/>
    <w:rsid w:val="00B10265"/>
    <w:rsid w:val="00B16A99"/>
    <w:rsid w:val="00B21211"/>
    <w:rsid w:val="00B35784"/>
    <w:rsid w:val="00B733A7"/>
    <w:rsid w:val="00B75C91"/>
    <w:rsid w:val="00B975AD"/>
    <w:rsid w:val="00BC45FB"/>
    <w:rsid w:val="00BF148D"/>
    <w:rsid w:val="00C23B1A"/>
    <w:rsid w:val="00C310EB"/>
    <w:rsid w:val="00C9176A"/>
    <w:rsid w:val="00CE683C"/>
    <w:rsid w:val="00CF1AA2"/>
    <w:rsid w:val="00D142D3"/>
    <w:rsid w:val="00D17774"/>
    <w:rsid w:val="00D63620"/>
    <w:rsid w:val="00D8410D"/>
    <w:rsid w:val="00D867D7"/>
    <w:rsid w:val="00DB7060"/>
    <w:rsid w:val="00DE3153"/>
    <w:rsid w:val="00DE5789"/>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D6DD18E-EDA7-45B0-A2C4-9CBDB7F3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rsid w:val="001F579C"/>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9832">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E395972-DE29-40F3-85CB-15FBC45D1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AF3B6A-84F4-40C0-AFEC-C2F98BCD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224</Words>
  <Characters>1281</Characters>
  <Application>Microsoft Office Word</Application>
  <DocSecurity>0</DocSecurity>
  <Lines>10</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10</cp:revision>
  <cp:lastPrinted>2013-07-04T08:25:00Z</cp:lastPrinted>
  <dcterms:created xsi:type="dcterms:W3CDTF">2015-04-20T09:58:00Z</dcterms:created>
  <dcterms:modified xsi:type="dcterms:W3CDTF">2019-11-06T12:59:00Z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2081293</vt:r8>
  </property>
</Properties>
</file>