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2081483</w:t>
      </w:r>
      <w:bookmarkEnd w:id="0"/>
    </w:p>
    <w:p w14:paraId="7F6961A2" w14:textId="10CD51A7" w:rsidR="00E13C27" w:rsidRPr="00DB7060" w:rsidRDefault="00E13C27" w:rsidP="00A443CF">
      <w:pPr>
        <w:pStyle w:val="HeadHatzaotHok"/>
        <w:rPr>
          <w:sz w:val="28"/>
          <w:szCs w:val="28"/>
          <w:rtl/>
        </w:rPr>
      </w:pPr>
      <w:bookmarkStart w:id="1" w:name="LGS_Knesset_Num"/>
      <w:r>
        <w:rPr>
          <w:rFonts w:hint="cs"/>
          <w:sz w:val="28"/>
          <w:szCs w:val="28"/>
          <w:rtl/>
        </w:rPr>
        <w:t>הכנסת העשרים ושתיים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משה ארבל</w:t>
      </w:r>
      <w:r>
        <w:br/>
      </w:r>
      <w:r>
        <w:rPr>
          <w:rFonts w:hint="cs"/>
          <w:b/>
          <w:bCs/>
          <w:rtl/>
        </w:rPr>
        <w:t xml:space="preserve"> </w:t>
      </w:r>
      <w:r>
        <w:tab/>
      </w:r>
      <w:r>
        <w:tab/>
      </w:r>
      <w:r>
        <w:tab/>
      </w:r>
      <w:r>
        <w:tab/>
      </w:r>
      <w:r>
        <w:rPr>
          <w:rFonts w:hint="cs"/>
          <w:b/>
          <w:bCs/>
          <w:rtl/>
        </w:rPr>
        <w:t>ינון אזולאי</w:t>
      </w:r>
      <w:r>
        <w:br/>
      </w:r>
      <w:r>
        <w:rPr>
          <w:rFonts w:hint="cs"/>
          <w:b/>
          <w:bCs/>
          <w:rtl/>
        </w:rPr>
        <w:t xml:space="preserve"> </w:t>
      </w:r>
      <w:r>
        <w:tab/>
      </w:r>
      <w:r>
        <w:tab/>
      </w:r>
      <w:r>
        <w:tab/>
      </w:r>
      <w:r>
        <w:tab/>
      </w:r>
      <w:r>
        <w:rPr>
          <w:rFonts w:hint="cs"/>
          <w:b/>
          <w:bCs/>
          <w:rtl/>
        </w:rPr>
        <w:t>מיכאל מלכיאלי</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פ/94/22</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77777777" w:rsidR="00E13C27" w:rsidRPr="00F67051" w:rsidRDefault="00A443CF" w:rsidP="0021633A">
      <w:pPr>
        <w:pStyle w:val="HeadHatzaotHok"/>
        <w:rPr>
          <w:rtl/>
        </w:rPr>
      </w:pPr>
      <w:bookmarkStart w:id="7" w:name="LGS_Subject"/>
      <w:r>
        <w:rPr>
          <w:rFonts w:hint="cs"/>
          <w:rtl/>
        </w:rPr>
        <w:t>הצעת חוק ביטוח בריאות ממלכתי (תיקון – מחלה יתומה), התש"ף–2019</w:t>
      </w:r>
      <w:bookmarkEnd w:id="7"/>
    </w:p>
    <w:tbl>
      <w:tblPr>
        <w:bidiVisual/>
        <w:tblW w:w="9649" w:type="dxa"/>
        <w:tblInd w:w="-8" w:type="dxa"/>
        <w:tblLayout w:type="fixed"/>
        <w:tblCellMar>
          <w:top w:w="57" w:type="dxa"/>
          <w:left w:w="0" w:type="dxa"/>
          <w:bottom w:w="57" w:type="dxa"/>
          <w:right w:w="0" w:type="dxa"/>
        </w:tblCellMar>
        <w:tblLook w:val="04A0" w:firstRow="1" w:lastRow="0" w:firstColumn="1" w:lastColumn="0" w:noHBand="0" w:noVBand="1"/>
      </w:tblPr>
      <w:tblGrid>
        <w:gridCol w:w="1873"/>
        <w:gridCol w:w="630"/>
        <w:gridCol w:w="624"/>
        <w:gridCol w:w="624"/>
        <w:gridCol w:w="5898"/>
      </w:tblGrid>
      <w:tr w:rsidR="0053545D" w14:paraId="61BB1EF9" w14:textId="77777777" w:rsidTr="0053545D">
        <w:trPr>
          <w:cantSplit/>
        </w:trPr>
        <w:tc>
          <w:tcPr>
            <w:tcW w:w="1873" w:type="dxa"/>
            <w:hideMark/>
          </w:tcPr>
          <w:p w14:paraId="3047BAA5" w14:textId="77777777" w:rsidR="0053545D" w:rsidRDefault="0053545D" w:rsidP="00AC18B4">
            <w:pPr>
              <w:pStyle w:val="TableSideHeading"/>
            </w:pPr>
            <w:r>
              <w:rPr>
                <w:rFonts w:hint="cs"/>
                <w:sz w:val="26"/>
                <w:rtl/>
              </w:rPr>
              <w:t>תיקון סעיף 19</w:t>
            </w:r>
          </w:p>
        </w:tc>
        <w:tc>
          <w:tcPr>
            <w:tcW w:w="630" w:type="dxa"/>
            <w:hideMark/>
          </w:tcPr>
          <w:p w14:paraId="4AD0112D" w14:textId="77777777" w:rsidR="0053545D" w:rsidRDefault="0053545D" w:rsidP="00AC18B4">
            <w:pPr>
              <w:pStyle w:val="TableText"/>
            </w:pPr>
            <w:r>
              <w:rPr>
                <w:rFonts w:hint="cs"/>
                <w:sz w:val="26"/>
                <w:rtl/>
              </w:rPr>
              <w:t>1.</w:t>
            </w:r>
          </w:p>
        </w:tc>
        <w:tc>
          <w:tcPr>
            <w:tcW w:w="7146" w:type="dxa"/>
            <w:gridSpan w:val="3"/>
            <w:hideMark/>
          </w:tcPr>
          <w:p w14:paraId="2B2FBEE5" w14:textId="77777777" w:rsidR="0053545D" w:rsidRDefault="0053545D" w:rsidP="00AC18B4">
            <w:pPr>
              <w:pStyle w:val="TableBlock"/>
            </w:pPr>
            <w:r>
              <w:rPr>
                <w:rFonts w:hint="cs"/>
                <w:sz w:val="26"/>
                <w:rtl/>
              </w:rPr>
              <w:t>בחוק ביטוח בריאות ממלכתי, התשנ"ד–1994</w:t>
            </w:r>
            <w:r>
              <w:rPr>
                <w:rStyle w:val="a6"/>
                <w:sz w:val="26"/>
                <w:rtl/>
              </w:rPr>
              <w:footnoteReference w:id="2"/>
            </w:r>
            <w:r>
              <w:rPr>
                <w:rFonts w:hint="cs"/>
                <w:sz w:val="26"/>
                <w:rtl/>
              </w:rPr>
              <w:t xml:space="preserve">, בסעיף 19 – </w:t>
            </w:r>
          </w:p>
        </w:tc>
      </w:tr>
      <w:tr w:rsidR="0053545D" w14:paraId="6276CE4D" w14:textId="77777777" w:rsidTr="0053545D">
        <w:trPr>
          <w:cantSplit/>
        </w:trPr>
        <w:tc>
          <w:tcPr>
            <w:tcW w:w="1873" w:type="dxa"/>
          </w:tcPr>
          <w:p w14:paraId="62A010BE" w14:textId="77777777" w:rsidR="0053545D" w:rsidRDefault="0053545D" w:rsidP="00AC18B4">
            <w:pPr>
              <w:pStyle w:val="TableSideHeading"/>
            </w:pPr>
          </w:p>
        </w:tc>
        <w:tc>
          <w:tcPr>
            <w:tcW w:w="630" w:type="dxa"/>
          </w:tcPr>
          <w:p w14:paraId="31AF4482" w14:textId="77777777" w:rsidR="0053545D" w:rsidRDefault="0053545D" w:rsidP="00AC18B4">
            <w:pPr>
              <w:pStyle w:val="TableText"/>
            </w:pPr>
          </w:p>
        </w:tc>
        <w:tc>
          <w:tcPr>
            <w:tcW w:w="7146" w:type="dxa"/>
            <w:gridSpan w:val="3"/>
            <w:hideMark/>
          </w:tcPr>
          <w:p w14:paraId="2BE3EFE4" w14:textId="77777777" w:rsidR="0053545D" w:rsidRDefault="0053545D" w:rsidP="00AC18B4">
            <w:pPr>
              <w:pStyle w:val="TableBlock"/>
            </w:pPr>
            <w:r>
              <w:rPr>
                <w:rFonts w:hint="cs"/>
                <w:rtl/>
              </w:rPr>
              <w:t>(1)</w:t>
            </w:r>
            <w:r>
              <w:rPr>
                <w:rtl/>
              </w:rPr>
              <w:tab/>
            </w:r>
            <w:r>
              <w:rPr>
                <w:rFonts w:hint="cs"/>
                <w:rtl/>
              </w:rPr>
              <w:t>בכותרת השוליים, בסופה יבוא "או מחלה יתומה";</w:t>
            </w:r>
          </w:p>
        </w:tc>
      </w:tr>
      <w:tr w:rsidR="0053545D" w14:paraId="6A771C2E" w14:textId="77777777" w:rsidTr="0053545D">
        <w:trPr>
          <w:cantSplit/>
        </w:trPr>
        <w:tc>
          <w:tcPr>
            <w:tcW w:w="1873" w:type="dxa"/>
          </w:tcPr>
          <w:p w14:paraId="02D53CF6" w14:textId="77777777" w:rsidR="0053545D" w:rsidRDefault="0053545D" w:rsidP="00AC18B4">
            <w:pPr>
              <w:pStyle w:val="TableSideHeading"/>
            </w:pPr>
          </w:p>
        </w:tc>
        <w:tc>
          <w:tcPr>
            <w:tcW w:w="630" w:type="dxa"/>
          </w:tcPr>
          <w:p w14:paraId="49906CCD" w14:textId="77777777" w:rsidR="0053545D" w:rsidRDefault="0053545D" w:rsidP="00AC18B4">
            <w:pPr>
              <w:pStyle w:val="TableText"/>
            </w:pPr>
          </w:p>
        </w:tc>
        <w:tc>
          <w:tcPr>
            <w:tcW w:w="7146" w:type="dxa"/>
            <w:gridSpan w:val="3"/>
          </w:tcPr>
          <w:p w14:paraId="44AAE099" w14:textId="77777777" w:rsidR="0053545D" w:rsidRDefault="0053545D" w:rsidP="00AC18B4">
            <w:pPr>
              <w:pStyle w:val="TableBlock"/>
              <w:rPr>
                <w:sz w:val="26"/>
                <w:rtl/>
              </w:rPr>
            </w:pPr>
            <w:r>
              <w:rPr>
                <w:rFonts w:hint="cs"/>
                <w:sz w:val="26"/>
                <w:rtl/>
              </w:rPr>
              <w:t>(2)</w:t>
            </w:r>
            <w:r>
              <w:rPr>
                <w:rFonts w:hint="cs"/>
                <w:sz w:val="26"/>
                <w:rtl/>
              </w:rPr>
              <w:tab/>
              <w:t>בסעיף קטן (א), אחרי "מחלות קשות" יבוא "ומחלות יתומות";</w:t>
            </w:r>
          </w:p>
        </w:tc>
      </w:tr>
      <w:tr w:rsidR="0053545D" w14:paraId="5DBCA064" w14:textId="77777777" w:rsidTr="0053545D">
        <w:trPr>
          <w:cantSplit/>
        </w:trPr>
        <w:tc>
          <w:tcPr>
            <w:tcW w:w="1873" w:type="dxa"/>
          </w:tcPr>
          <w:p w14:paraId="7680FF4D" w14:textId="77777777" w:rsidR="0053545D" w:rsidRDefault="0053545D" w:rsidP="00AC18B4">
            <w:pPr>
              <w:pStyle w:val="TableSideHeading"/>
            </w:pPr>
          </w:p>
        </w:tc>
        <w:tc>
          <w:tcPr>
            <w:tcW w:w="630" w:type="dxa"/>
          </w:tcPr>
          <w:p w14:paraId="4DCF3112" w14:textId="77777777" w:rsidR="0053545D" w:rsidRDefault="0053545D" w:rsidP="00AC18B4">
            <w:pPr>
              <w:pStyle w:val="TableText"/>
            </w:pPr>
          </w:p>
        </w:tc>
        <w:tc>
          <w:tcPr>
            <w:tcW w:w="7146" w:type="dxa"/>
            <w:gridSpan w:val="3"/>
            <w:hideMark/>
          </w:tcPr>
          <w:p w14:paraId="209A625F" w14:textId="77777777" w:rsidR="0053545D" w:rsidRDefault="0053545D" w:rsidP="00AC18B4">
            <w:pPr>
              <w:pStyle w:val="TableBlock"/>
            </w:pPr>
            <w:r>
              <w:rPr>
                <w:rFonts w:hint="cs"/>
                <w:sz w:val="26"/>
                <w:rtl/>
              </w:rPr>
              <w:t>(3)</w:t>
            </w:r>
            <w:r>
              <w:rPr>
                <w:rFonts w:hint="cs"/>
                <w:sz w:val="26"/>
                <w:rtl/>
              </w:rPr>
              <w:tab/>
              <w:t>בסעיף קטן (ב), אחרי "הלוקים במחלות קשות" יבוא "ובמחלות יתומות", ובמקום "שר העבודה והרווחה" יבוא "שר הרווחה והשירותים החברתיים";</w:t>
            </w:r>
          </w:p>
        </w:tc>
      </w:tr>
      <w:tr w:rsidR="0053545D" w14:paraId="36C14C94" w14:textId="77777777" w:rsidTr="0053545D">
        <w:trPr>
          <w:cantSplit/>
        </w:trPr>
        <w:tc>
          <w:tcPr>
            <w:tcW w:w="1873" w:type="dxa"/>
          </w:tcPr>
          <w:p w14:paraId="2861F9EA" w14:textId="77777777" w:rsidR="0053545D" w:rsidRDefault="0053545D" w:rsidP="00AC18B4">
            <w:pPr>
              <w:pStyle w:val="TableSideHeading"/>
            </w:pPr>
          </w:p>
        </w:tc>
        <w:tc>
          <w:tcPr>
            <w:tcW w:w="630" w:type="dxa"/>
          </w:tcPr>
          <w:p w14:paraId="51BD5AD3" w14:textId="77777777" w:rsidR="0053545D" w:rsidRDefault="0053545D" w:rsidP="00AC18B4">
            <w:pPr>
              <w:pStyle w:val="TableText"/>
            </w:pPr>
          </w:p>
        </w:tc>
        <w:tc>
          <w:tcPr>
            <w:tcW w:w="7146" w:type="dxa"/>
            <w:gridSpan w:val="3"/>
            <w:hideMark/>
          </w:tcPr>
          <w:p w14:paraId="6852422B" w14:textId="77777777" w:rsidR="0053545D" w:rsidRDefault="0053545D" w:rsidP="00AC18B4">
            <w:pPr>
              <w:pStyle w:val="TableBlock"/>
            </w:pPr>
            <w:r>
              <w:rPr>
                <w:rFonts w:hint="cs"/>
                <w:sz w:val="26"/>
                <w:rtl/>
              </w:rPr>
              <w:t>(4)</w:t>
            </w:r>
            <w:r>
              <w:rPr>
                <w:rFonts w:hint="cs"/>
                <w:sz w:val="26"/>
                <w:rtl/>
              </w:rPr>
              <w:tab/>
              <w:t>בסעיף קטן (ג), אחרי "הלוקים במחלות הקשות" יבוא "ובמחלות היתומות";</w:t>
            </w:r>
          </w:p>
        </w:tc>
      </w:tr>
      <w:tr w:rsidR="0053545D" w14:paraId="06806A18" w14:textId="77777777" w:rsidTr="0053545D">
        <w:trPr>
          <w:cantSplit/>
        </w:trPr>
        <w:tc>
          <w:tcPr>
            <w:tcW w:w="1873" w:type="dxa"/>
          </w:tcPr>
          <w:p w14:paraId="30A3A541" w14:textId="77777777" w:rsidR="0053545D" w:rsidRDefault="0053545D" w:rsidP="00AC18B4">
            <w:pPr>
              <w:pStyle w:val="TableSideHeading"/>
            </w:pPr>
          </w:p>
        </w:tc>
        <w:tc>
          <w:tcPr>
            <w:tcW w:w="630" w:type="dxa"/>
          </w:tcPr>
          <w:p w14:paraId="11078023" w14:textId="77777777" w:rsidR="0053545D" w:rsidRDefault="0053545D" w:rsidP="00AC18B4">
            <w:pPr>
              <w:pStyle w:val="TableText"/>
            </w:pPr>
          </w:p>
        </w:tc>
        <w:tc>
          <w:tcPr>
            <w:tcW w:w="7146" w:type="dxa"/>
            <w:gridSpan w:val="3"/>
            <w:hideMark/>
          </w:tcPr>
          <w:p w14:paraId="67CB8A2A" w14:textId="77777777" w:rsidR="0053545D" w:rsidRDefault="0053545D" w:rsidP="00AC18B4">
            <w:pPr>
              <w:pStyle w:val="TableBlock"/>
            </w:pPr>
            <w:r>
              <w:rPr>
                <w:rFonts w:hint="cs"/>
                <w:sz w:val="26"/>
                <w:rtl/>
              </w:rPr>
              <w:t>(5)</w:t>
            </w:r>
            <w:r>
              <w:rPr>
                <w:rFonts w:hint="cs"/>
                <w:sz w:val="26"/>
                <w:rtl/>
              </w:rPr>
              <w:tab/>
              <w:t>אחרי סעיף קטן (ג) יבוא:</w:t>
            </w:r>
          </w:p>
        </w:tc>
      </w:tr>
      <w:tr w:rsidR="0053545D" w14:paraId="54DE309B" w14:textId="77777777" w:rsidTr="0053545D">
        <w:trPr>
          <w:cantSplit/>
        </w:trPr>
        <w:tc>
          <w:tcPr>
            <w:tcW w:w="1873" w:type="dxa"/>
          </w:tcPr>
          <w:p w14:paraId="0772BF5D" w14:textId="77777777" w:rsidR="0053545D" w:rsidRDefault="0053545D" w:rsidP="00AC18B4">
            <w:pPr>
              <w:pStyle w:val="TableSideHeading"/>
            </w:pPr>
          </w:p>
        </w:tc>
        <w:tc>
          <w:tcPr>
            <w:tcW w:w="630" w:type="dxa"/>
          </w:tcPr>
          <w:p w14:paraId="5823FF71" w14:textId="77777777" w:rsidR="0053545D" w:rsidRDefault="0053545D" w:rsidP="00AC18B4">
            <w:pPr>
              <w:pStyle w:val="TableText"/>
            </w:pPr>
          </w:p>
        </w:tc>
        <w:tc>
          <w:tcPr>
            <w:tcW w:w="624" w:type="dxa"/>
          </w:tcPr>
          <w:p w14:paraId="780B75C7" w14:textId="77777777" w:rsidR="0053545D" w:rsidRDefault="0053545D" w:rsidP="00AC18B4">
            <w:pPr>
              <w:pStyle w:val="TableText"/>
            </w:pPr>
          </w:p>
        </w:tc>
        <w:tc>
          <w:tcPr>
            <w:tcW w:w="6522" w:type="dxa"/>
            <w:gridSpan w:val="2"/>
            <w:hideMark/>
          </w:tcPr>
          <w:p w14:paraId="6AB24A6D" w14:textId="77777777" w:rsidR="0053545D" w:rsidRDefault="0053545D" w:rsidP="00AC18B4">
            <w:pPr>
              <w:pStyle w:val="TableBlock"/>
            </w:pPr>
            <w:r>
              <w:rPr>
                <w:rFonts w:hint="cs"/>
                <w:sz w:val="26"/>
                <w:rtl/>
              </w:rPr>
              <w:t>"(ד)</w:t>
            </w:r>
            <w:r>
              <w:rPr>
                <w:rFonts w:hint="cs"/>
                <w:sz w:val="26"/>
                <w:rtl/>
              </w:rPr>
              <w:tab/>
              <w:t>בסעיף זה –</w:t>
            </w:r>
          </w:p>
        </w:tc>
      </w:tr>
      <w:tr w:rsidR="0053545D" w14:paraId="37E24CB7" w14:textId="77777777" w:rsidTr="0053545D">
        <w:trPr>
          <w:cantSplit/>
        </w:trPr>
        <w:tc>
          <w:tcPr>
            <w:tcW w:w="1873" w:type="dxa"/>
          </w:tcPr>
          <w:p w14:paraId="6AFB918F" w14:textId="77777777" w:rsidR="0053545D" w:rsidRDefault="0053545D" w:rsidP="00AC18B4">
            <w:pPr>
              <w:pStyle w:val="TableSideHeading"/>
            </w:pPr>
          </w:p>
        </w:tc>
        <w:tc>
          <w:tcPr>
            <w:tcW w:w="630" w:type="dxa"/>
          </w:tcPr>
          <w:p w14:paraId="500C0054" w14:textId="77777777" w:rsidR="0053545D" w:rsidRDefault="0053545D" w:rsidP="00AC18B4">
            <w:pPr>
              <w:pStyle w:val="TableText"/>
            </w:pPr>
          </w:p>
        </w:tc>
        <w:tc>
          <w:tcPr>
            <w:tcW w:w="624" w:type="dxa"/>
          </w:tcPr>
          <w:p w14:paraId="77756736" w14:textId="77777777" w:rsidR="0053545D" w:rsidRDefault="0053545D" w:rsidP="00AC18B4">
            <w:pPr>
              <w:pStyle w:val="TableText"/>
            </w:pPr>
          </w:p>
        </w:tc>
        <w:tc>
          <w:tcPr>
            <w:tcW w:w="624" w:type="dxa"/>
          </w:tcPr>
          <w:p w14:paraId="6E057481" w14:textId="77777777" w:rsidR="0053545D" w:rsidRDefault="0053545D" w:rsidP="00AC18B4">
            <w:pPr>
              <w:pStyle w:val="TableText"/>
            </w:pPr>
          </w:p>
        </w:tc>
        <w:tc>
          <w:tcPr>
            <w:tcW w:w="5898" w:type="dxa"/>
            <w:hideMark/>
          </w:tcPr>
          <w:p w14:paraId="62537CA9" w14:textId="77777777" w:rsidR="0053545D" w:rsidRDefault="0053545D" w:rsidP="00AC18B4">
            <w:pPr>
              <w:pStyle w:val="TableBlockOutdent"/>
            </w:pPr>
            <w:r>
              <w:rPr>
                <w:rFonts w:hint="cs"/>
                <w:sz w:val="26"/>
                <w:rtl/>
              </w:rPr>
              <w:t>"מחלה יתומה" – כל מחלה פיסיולוגית או נפשית נדירה, אשר חולים בה פחות מאדם אחד לכל 10,000 תושבים במדינת ישראל, ואשר התכשיר לטיפול בה נרשם במדינה מוכרת כתכשיר לטיפול במחלה היתומה ורישומה בישראל לטיפול כאמור לא נדחה מסיבות של בטיחות על ידי מינהל המזון והתרופות בארצות הברית של אמריקה (</w:t>
            </w:r>
            <w:r>
              <w:t>FDA</w:t>
            </w:r>
            <w:r>
              <w:rPr>
                <w:rFonts w:hint="cs"/>
                <w:sz w:val="26"/>
                <w:rtl/>
              </w:rPr>
              <w:t>) או הרשות המרכזית לרישום תרופות באיחוד האירופי (</w:t>
            </w:r>
            <w:r>
              <w:t>EMEA</w:t>
            </w:r>
            <w:r>
              <w:rPr>
                <w:rFonts w:hint="cs"/>
                <w:sz w:val="26"/>
                <w:rtl/>
              </w:rPr>
              <w:t>);</w:t>
            </w:r>
          </w:p>
        </w:tc>
      </w:tr>
      <w:tr w:rsidR="0053545D" w14:paraId="7FF6E5D9" w14:textId="77777777" w:rsidTr="0053545D">
        <w:trPr>
          <w:cantSplit/>
        </w:trPr>
        <w:tc>
          <w:tcPr>
            <w:tcW w:w="1873" w:type="dxa"/>
          </w:tcPr>
          <w:p w14:paraId="7FA5E2D7" w14:textId="77777777" w:rsidR="0053545D" w:rsidRDefault="0053545D" w:rsidP="00AC18B4">
            <w:pPr>
              <w:pStyle w:val="TableSideHeading"/>
            </w:pPr>
          </w:p>
        </w:tc>
        <w:tc>
          <w:tcPr>
            <w:tcW w:w="630" w:type="dxa"/>
          </w:tcPr>
          <w:p w14:paraId="19FC548F" w14:textId="77777777" w:rsidR="0053545D" w:rsidRDefault="0053545D" w:rsidP="00AC18B4">
            <w:pPr>
              <w:pStyle w:val="TableText"/>
            </w:pPr>
          </w:p>
        </w:tc>
        <w:tc>
          <w:tcPr>
            <w:tcW w:w="624" w:type="dxa"/>
          </w:tcPr>
          <w:p w14:paraId="0044AE92" w14:textId="77777777" w:rsidR="0053545D" w:rsidRDefault="0053545D" w:rsidP="00AC18B4">
            <w:pPr>
              <w:pStyle w:val="TableText"/>
            </w:pPr>
          </w:p>
        </w:tc>
        <w:tc>
          <w:tcPr>
            <w:tcW w:w="624" w:type="dxa"/>
          </w:tcPr>
          <w:p w14:paraId="65E9C87D" w14:textId="77777777" w:rsidR="0053545D" w:rsidRDefault="0053545D" w:rsidP="00AC18B4">
            <w:pPr>
              <w:pStyle w:val="TableText"/>
            </w:pPr>
          </w:p>
        </w:tc>
        <w:tc>
          <w:tcPr>
            <w:tcW w:w="5898" w:type="dxa"/>
            <w:hideMark/>
          </w:tcPr>
          <w:p w14:paraId="54BD5F1E" w14:textId="51B08D69" w:rsidR="0053545D" w:rsidRDefault="0053545D" w:rsidP="00AC18B4">
            <w:pPr>
              <w:pStyle w:val="TableBlockOutdent"/>
            </w:pPr>
            <w:r>
              <w:rPr>
                <w:rFonts w:hint="cs"/>
                <w:sz w:val="26"/>
                <w:rtl/>
              </w:rPr>
              <w:t>"מדינה מוכרת" – כל אחת מאלה: ארצות הברית של אמריקה, קנדה, מדינה החברה באיחוד האירופי</w:t>
            </w:r>
            <w:r w:rsidR="00DC1B5F">
              <w:rPr>
                <w:rFonts w:hint="cs"/>
                <w:sz w:val="26"/>
                <w:rtl/>
              </w:rPr>
              <w:t xml:space="preserve"> ובלבד שחברותה החלה לפני י' באייר התשס"ד (1</w:t>
            </w:r>
            <w:r>
              <w:rPr>
                <w:rFonts w:hint="cs"/>
                <w:sz w:val="26"/>
                <w:rtl/>
              </w:rPr>
              <w:t xml:space="preserve"> </w:t>
            </w:r>
            <w:r w:rsidR="00DC1B5F">
              <w:rPr>
                <w:rFonts w:hint="cs"/>
                <w:sz w:val="26"/>
                <w:rtl/>
              </w:rPr>
              <w:t>ב</w:t>
            </w:r>
            <w:r>
              <w:rPr>
                <w:rFonts w:hint="cs"/>
                <w:sz w:val="26"/>
                <w:rtl/>
              </w:rPr>
              <w:t>מאי 2004</w:t>
            </w:r>
            <w:r w:rsidR="00DC1B5F">
              <w:rPr>
                <w:rFonts w:hint="cs"/>
                <w:sz w:val="26"/>
                <w:rtl/>
              </w:rPr>
              <w:t>)</w:t>
            </w:r>
            <w:r>
              <w:rPr>
                <w:rFonts w:hint="cs"/>
                <w:sz w:val="26"/>
                <w:rtl/>
              </w:rPr>
              <w:t>,</w:t>
            </w:r>
            <w:r w:rsidR="002F1E62">
              <w:rPr>
                <w:rFonts w:hint="cs"/>
                <w:sz w:val="26"/>
                <w:rtl/>
              </w:rPr>
              <w:t xml:space="preserve"> בריטניה,</w:t>
            </w:r>
            <w:r>
              <w:rPr>
                <w:rFonts w:hint="cs"/>
                <w:sz w:val="26"/>
                <w:rtl/>
              </w:rPr>
              <w:t xml:space="preserve"> שוויץ, נורבגיה, איסלנד, אוסטרליה, ניו-זילנד, יפן, ישראל."</w:t>
            </w:r>
          </w:p>
        </w:tc>
      </w:tr>
      <w:tr w:rsidR="0053545D" w14:paraId="667EBBB4" w14:textId="77777777" w:rsidTr="0053545D">
        <w:trPr>
          <w:cantSplit/>
        </w:trPr>
        <w:tc>
          <w:tcPr>
            <w:tcW w:w="1873" w:type="dxa"/>
            <w:hideMark/>
          </w:tcPr>
          <w:p w14:paraId="3DDCC1E0" w14:textId="77777777" w:rsidR="0053545D" w:rsidRDefault="0053545D" w:rsidP="00AC18B4">
            <w:pPr>
              <w:pStyle w:val="TableSideHeading"/>
            </w:pPr>
            <w:r>
              <w:rPr>
                <w:rFonts w:hint="cs"/>
                <w:sz w:val="26"/>
                <w:rtl/>
              </w:rPr>
              <w:t>תחילה</w:t>
            </w:r>
          </w:p>
        </w:tc>
        <w:tc>
          <w:tcPr>
            <w:tcW w:w="630" w:type="dxa"/>
            <w:hideMark/>
          </w:tcPr>
          <w:p w14:paraId="59067495" w14:textId="77777777" w:rsidR="0053545D" w:rsidRDefault="0053545D" w:rsidP="00AC18B4">
            <w:pPr>
              <w:pStyle w:val="TableText"/>
            </w:pPr>
            <w:r>
              <w:rPr>
                <w:rFonts w:hint="cs"/>
                <w:sz w:val="26"/>
                <w:rtl/>
              </w:rPr>
              <w:t>2.</w:t>
            </w:r>
          </w:p>
        </w:tc>
        <w:tc>
          <w:tcPr>
            <w:tcW w:w="7146" w:type="dxa"/>
            <w:gridSpan w:val="3"/>
            <w:hideMark/>
          </w:tcPr>
          <w:p w14:paraId="67B35989" w14:textId="77777777" w:rsidR="0053545D" w:rsidRDefault="0053545D" w:rsidP="00AC18B4">
            <w:pPr>
              <w:pStyle w:val="TableBlock"/>
            </w:pPr>
            <w:r>
              <w:rPr>
                <w:rFonts w:hint="cs"/>
                <w:sz w:val="26"/>
                <w:rtl/>
              </w:rPr>
              <w:t>תחילתו של חוק זה שישה חודשים מיום פרסומו.</w:t>
            </w:r>
          </w:p>
        </w:tc>
      </w:tr>
    </w:tbl>
    <w:p w14:paraId="7F6961CA" w14:textId="77777777" w:rsidR="002D1EE3" w:rsidRDefault="002D1EE3" w:rsidP="002D1EE3">
      <w:pPr>
        <w:pStyle w:val="HeadDivreiHesber"/>
        <w:rPr>
          <w:rtl/>
        </w:rPr>
      </w:pPr>
      <w:r w:rsidRPr="0027450A">
        <w:rPr>
          <w:rFonts w:hint="cs"/>
          <w:rtl/>
        </w:rPr>
        <w:t>דברי הסבר</w:t>
      </w:r>
    </w:p>
    <w:p w14:paraId="74324043" w14:textId="77777777" w:rsidR="0053545D" w:rsidRDefault="0053545D" w:rsidP="000423BA">
      <w:pPr>
        <w:pStyle w:val="Hesber"/>
        <w:spacing w:line="276" w:lineRule="auto"/>
        <w:rPr>
          <w:sz w:val="26"/>
          <w:rtl/>
        </w:rPr>
      </w:pPr>
      <w:r>
        <w:rPr>
          <w:rFonts w:hint="cs"/>
          <w:sz w:val="26"/>
          <w:rtl/>
        </w:rPr>
        <w:t>חוק ביטוח בריאות ממלכתי, התשנ"ד–1994, קובע הסדר מימון לפיו קופות החולים זכאיות להחזר כספים מהמדינה לפי מספר החברים בקופת החולים הלוקים במחלות קשות, בהתאם לעלות השירותים הרפואיים הניתנים להם.</w:t>
      </w:r>
    </w:p>
    <w:p w14:paraId="46D831E4" w14:textId="77777777" w:rsidR="0053545D" w:rsidRDefault="0053545D" w:rsidP="000423BA">
      <w:pPr>
        <w:pStyle w:val="Hesber"/>
        <w:spacing w:line="276" w:lineRule="auto"/>
        <w:rPr>
          <w:sz w:val="26"/>
          <w:rtl/>
        </w:rPr>
      </w:pPr>
      <w:r>
        <w:rPr>
          <w:rFonts w:hint="cs"/>
          <w:sz w:val="26"/>
          <w:rtl/>
        </w:rPr>
        <w:t>בישראל קיימות קבוצות חולים במחלות נדירות (כדוגמת מחלת ניוון שרירים (</w:t>
      </w:r>
      <w:r>
        <w:t>A.L.S</w:t>
      </w:r>
      <w:r>
        <w:rPr>
          <w:rFonts w:hint="cs"/>
          <w:sz w:val="26"/>
          <w:rtl/>
        </w:rPr>
        <w:t>), מחלת גושה, מחלת פומפיי, תסמונת טורט, מחלת פברי וכדומה) המוגדרות בארצות הברית כמחלות יתומות. מחלות אלה אינן שונות כלל מהמחלות הקשות אליהן מתייחס חוק זה, ולעיתים הן אף נכללות ברשימת המחלות הקשות שקבע שר הבריאות.</w:t>
      </w:r>
    </w:p>
    <w:p w14:paraId="6EFED2DD" w14:textId="77777777" w:rsidR="0053545D" w:rsidRDefault="0053545D" w:rsidP="000423BA">
      <w:pPr>
        <w:pStyle w:val="Hesber"/>
        <w:spacing w:line="276" w:lineRule="auto"/>
        <w:rPr>
          <w:sz w:val="26"/>
          <w:rtl/>
        </w:rPr>
      </w:pPr>
      <w:r>
        <w:rPr>
          <w:rFonts w:hint="cs"/>
          <w:sz w:val="26"/>
          <w:rtl/>
        </w:rPr>
        <w:t>ואולם, אין בישראל  הגדרה ברורה למחלה יתומה או קריטריונים ברורים לבחינת כניסתן של תרופות למחלות יתומות לסל התרופות, דבר אשר מונע את הכנסתן לסל התרופות כמו גם למנגנון המימון שנקבע ביחס למחלות הקשות כאמור לעיל. בהיעדר</w:t>
      </w:r>
      <w:r>
        <w:rPr>
          <w:rFonts w:hint="cs"/>
        </w:rPr>
        <w:t xml:space="preserve"> </w:t>
      </w:r>
      <w:r>
        <w:rPr>
          <w:rFonts w:hint="cs"/>
          <w:sz w:val="26"/>
          <w:rtl/>
        </w:rPr>
        <w:t>מימון</w:t>
      </w:r>
      <w:r>
        <w:rPr>
          <w:rFonts w:hint="cs"/>
        </w:rPr>
        <w:t xml:space="preserve"> </w:t>
      </w:r>
      <w:r>
        <w:rPr>
          <w:rFonts w:hint="cs"/>
          <w:sz w:val="26"/>
          <w:rtl/>
        </w:rPr>
        <w:t>ציבורי</w:t>
      </w:r>
      <w:r>
        <w:rPr>
          <w:rFonts w:hint="cs"/>
        </w:rPr>
        <w:t xml:space="preserve"> </w:t>
      </w:r>
      <w:r>
        <w:rPr>
          <w:rFonts w:hint="cs"/>
          <w:sz w:val="26"/>
          <w:rtl/>
        </w:rPr>
        <w:t>לתרופות</w:t>
      </w:r>
      <w:r>
        <w:rPr>
          <w:rFonts w:hint="cs"/>
        </w:rPr>
        <w:t xml:space="preserve"> </w:t>
      </w:r>
      <w:r>
        <w:rPr>
          <w:rFonts w:hint="cs"/>
          <w:sz w:val="26"/>
          <w:rtl/>
        </w:rPr>
        <w:t>האמורות</w:t>
      </w:r>
      <w:r>
        <w:rPr>
          <w:rFonts w:hint="cs"/>
        </w:rPr>
        <w:t xml:space="preserve"> </w:t>
      </w:r>
      <w:r>
        <w:rPr>
          <w:rFonts w:hint="cs"/>
          <w:sz w:val="26"/>
          <w:rtl/>
        </w:rPr>
        <w:t>נדרשים</w:t>
      </w:r>
      <w:r>
        <w:rPr>
          <w:rFonts w:hint="cs"/>
        </w:rPr>
        <w:t xml:space="preserve"> </w:t>
      </w:r>
      <w:r>
        <w:rPr>
          <w:rFonts w:hint="cs"/>
          <w:sz w:val="26"/>
          <w:rtl/>
        </w:rPr>
        <w:t>החולים לשאת במלוא עלות הטיפול במחלה.</w:t>
      </w:r>
      <w:r>
        <w:rPr>
          <w:rFonts w:hint="cs"/>
        </w:rPr>
        <w:t xml:space="preserve"> </w:t>
      </w:r>
      <w:r>
        <w:rPr>
          <w:rFonts w:hint="cs"/>
          <w:sz w:val="26"/>
          <w:rtl/>
        </w:rPr>
        <w:t>לפיכך, חולים במחלות נדירות מתקשים לרכוש את תרופותיהם וכתוצאה</w:t>
      </w:r>
      <w:r>
        <w:rPr>
          <w:rFonts w:hint="cs"/>
        </w:rPr>
        <w:t xml:space="preserve"> </w:t>
      </w:r>
      <w:r>
        <w:rPr>
          <w:rFonts w:hint="cs"/>
          <w:sz w:val="26"/>
          <w:rtl/>
        </w:rPr>
        <w:t>מכך</w:t>
      </w:r>
      <w:r>
        <w:rPr>
          <w:rFonts w:hint="cs"/>
        </w:rPr>
        <w:t xml:space="preserve"> </w:t>
      </w:r>
      <w:r>
        <w:rPr>
          <w:rFonts w:hint="cs"/>
          <w:sz w:val="26"/>
          <w:rtl/>
        </w:rPr>
        <w:t>נמנעת</w:t>
      </w:r>
      <w:r>
        <w:rPr>
          <w:rFonts w:hint="cs"/>
        </w:rPr>
        <w:t xml:space="preserve"> </w:t>
      </w:r>
      <w:r>
        <w:rPr>
          <w:rFonts w:hint="cs"/>
          <w:sz w:val="26"/>
          <w:rtl/>
        </w:rPr>
        <w:t>מהם האפשרות לקבל</w:t>
      </w:r>
      <w:r>
        <w:rPr>
          <w:rFonts w:hint="cs"/>
        </w:rPr>
        <w:t xml:space="preserve"> </w:t>
      </w:r>
      <w:r>
        <w:rPr>
          <w:rFonts w:hint="cs"/>
          <w:sz w:val="26"/>
          <w:rtl/>
        </w:rPr>
        <w:t>טיפול</w:t>
      </w:r>
      <w:r>
        <w:rPr>
          <w:rFonts w:hint="cs"/>
        </w:rPr>
        <w:t xml:space="preserve"> </w:t>
      </w:r>
      <w:r>
        <w:rPr>
          <w:rFonts w:hint="cs"/>
          <w:sz w:val="26"/>
          <w:rtl/>
        </w:rPr>
        <w:t>רפואי</w:t>
      </w:r>
      <w:r>
        <w:rPr>
          <w:rFonts w:hint="cs"/>
        </w:rPr>
        <w:t xml:space="preserve"> </w:t>
      </w:r>
      <w:r>
        <w:rPr>
          <w:rFonts w:hint="cs"/>
          <w:sz w:val="26"/>
          <w:rtl/>
        </w:rPr>
        <w:t>הולם,</w:t>
      </w:r>
      <w:r>
        <w:rPr>
          <w:rFonts w:hint="cs"/>
        </w:rPr>
        <w:t xml:space="preserve"> </w:t>
      </w:r>
      <w:r>
        <w:rPr>
          <w:rFonts w:hint="cs"/>
          <w:sz w:val="26"/>
          <w:rtl/>
        </w:rPr>
        <w:t>גם</w:t>
      </w:r>
      <w:r>
        <w:rPr>
          <w:rFonts w:hint="cs"/>
        </w:rPr>
        <w:t xml:space="preserve"> </w:t>
      </w:r>
      <w:r>
        <w:rPr>
          <w:rFonts w:hint="cs"/>
          <w:sz w:val="26"/>
          <w:rtl/>
        </w:rPr>
        <w:t>כאשר</w:t>
      </w:r>
      <w:r>
        <w:rPr>
          <w:rFonts w:hint="cs"/>
        </w:rPr>
        <w:t xml:space="preserve"> </w:t>
      </w:r>
      <w:r>
        <w:rPr>
          <w:rFonts w:hint="cs"/>
          <w:sz w:val="26"/>
          <w:rtl/>
        </w:rPr>
        <w:t>קיימות</w:t>
      </w:r>
      <w:r>
        <w:rPr>
          <w:rFonts w:hint="cs"/>
        </w:rPr>
        <w:t xml:space="preserve"> </w:t>
      </w:r>
      <w:r>
        <w:rPr>
          <w:rFonts w:hint="cs"/>
          <w:sz w:val="26"/>
          <w:rtl/>
        </w:rPr>
        <w:t>תרופות</w:t>
      </w:r>
      <w:r>
        <w:rPr>
          <w:rFonts w:hint="cs"/>
        </w:rPr>
        <w:t xml:space="preserve"> </w:t>
      </w:r>
      <w:r>
        <w:rPr>
          <w:rFonts w:hint="cs"/>
          <w:sz w:val="26"/>
          <w:rtl/>
        </w:rPr>
        <w:t>שמתאימות</w:t>
      </w:r>
      <w:r>
        <w:rPr>
          <w:rFonts w:hint="cs"/>
        </w:rPr>
        <w:t xml:space="preserve"> </w:t>
      </w:r>
      <w:r>
        <w:rPr>
          <w:rFonts w:hint="cs"/>
          <w:sz w:val="26"/>
          <w:rtl/>
        </w:rPr>
        <w:t>למחלתם.</w:t>
      </w:r>
      <w:r>
        <w:rPr>
          <w:rFonts w:hint="cs"/>
        </w:rPr>
        <w:t xml:space="preserve"> </w:t>
      </w:r>
    </w:p>
    <w:p w14:paraId="40EC5CB9" w14:textId="0BA5D167" w:rsidR="0053545D" w:rsidRDefault="0053545D" w:rsidP="000423BA">
      <w:pPr>
        <w:pStyle w:val="Hesber"/>
        <w:spacing w:line="276" w:lineRule="auto"/>
        <w:rPr>
          <w:sz w:val="26"/>
          <w:rtl/>
        </w:rPr>
      </w:pPr>
      <w:r>
        <w:rPr>
          <w:rFonts w:hint="cs"/>
          <w:sz w:val="26"/>
          <w:rtl/>
        </w:rPr>
        <w:t>הצעת חוק זו מאמצת הגדרה ביחס למחלות יתומות אשר הוחלה לראשונה בארצות הברית (</w:t>
      </w:r>
      <w:r w:rsidR="004266E3">
        <w:t xml:space="preserve">The </w:t>
      </w:r>
      <w:r>
        <w:t>Orphan Drug Act</w:t>
      </w:r>
      <w:r>
        <w:rPr>
          <w:rFonts w:hint="cs"/>
          <w:sz w:val="26"/>
          <w:rtl/>
        </w:rPr>
        <w:t>–</w:t>
      </w:r>
      <w:r>
        <w:t>1983</w:t>
      </w:r>
      <w:r>
        <w:rPr>
          <w:rFonts w:hint="cs"/>
          <w:sz w:val="26"/>
          <w:rtl/>
        </w:rPr>
        <w:t>), ואשר אומצה אף במדינות אחרות דוגמת יפן, אוסטרליה ומדינות האיחוד האירופי.</w:t>
      </w:r>
    </w:p>
    <w:p w14:paraId="46AE0989" w14:textId="77777777" w:rsidR="0053545D" w:rsidRDefault="0053545D" w:rsidP="000423BA">
      <w:pPr>
        <w:pStyle w:val="Hesber"/>
        <w:spacing w:line="276" w:lineRule="auto"/>
        <w:rPr>
          <w:sz w:val="26"/>
          <w:rtl/>
        </w:rPr>
      </w:pPr>
      <w:r>
        <w:rPr>
          <w:rFonts w:hint="cs"/>
          <w:sz w:val="26"/>
          <w:rtl/>
        </w:rPr>
        <w:t>הצעת החוק קובעת הסדר</w:t>
      </w:r>
      <w:r>
        <w:rPr>
          <w:rFonts w:hint="cs"/>
        </w:rPr>
        <w:t xml:space="preserve"> </w:t>
      </w:r>
      <w:r>
        <w:rPr>
          <w:rFonts w:hint="cs"/>
          <w:sz w:val="26"/>
          <w:rtl/>
        </w:rPr>
        <w:t>מימון, בדומה להסדר שקיים ביחס למחלות קשות,</w:t>
      </w:r>
      <w:r>
        <w:rPr>
          <w:rFonts w:hint="cs"/>
        </w:rPr>
        <w:t xml:space="preserve"> </w:t>
      </w:r>
      <w:r>
        <w:rPr>
          <w:rFonts w:hint="cs"/>
          <w:sz w:val="26"/>
          <w:rtl/>
        </w:rPr>
        <w:t>לפיו</w:t>
      </w:r>
      <w:r>
        <w:rPr>
          <w:rFonts w:hint="cs"/>
        </w:rPr>
        <w:t xml:space="preserve"> </w:t>
      </w:r>
      <w:r>
        <w:rPr>
          <w:rFonts w:hint="cs"/>
          <w:sz w:val="26"/>
          <w:rtl/>
        </w:rPr>
        <w:t>קופות</w:t>
      </w:r>
      <w:r>
        <w:rPr>
          <w:rFonts w:hint="cs"/>
        </w:rPr>
        <w:t xml:space="preserve"> </w:t>
      </w:r>
      <w:r>
        <w:rPr>
          <w:rFonts w:hint="cs"/>
          <w:sz w:val="26"/>
          <w:rtl/>
        </w:rPr>
        <w:t>החולים</w:t>
      </w:r>
      <w:r>
        <w:rPr>
          <w:rFonts w:hint="cs"/>
        </w:rPr>
        <w:t xml:space="preserve"> </w:t>
      </w:r>
      <w:r>
        <w:rPr>
          <w:rFonts w:hint="cs"/>
          <w:sz w:val="26"/>
          <w:rtl/>
        </w:rPr>
        <w:t>יהיו זכאיות להחזר כספים מהמדינה לפי</w:t>
      </w:r>
      <w:r>
        <w:rPr>
          <w:rFonts w:hint="cs"/>
        </w:rPr>
        <w:t xml:space="preserve"> </w:t>
      </w:r>
      <w:r>
        <w:rPr>
          <w:rFonts w:hint="cs"/>
          <w:sz w:val="26"/>
          <w:rtl/>
        </w:rPr>
        <w:t>מספר</w:t>
      </w:r>
      <w:r>
        <w:rPr>
          <w:rFonts w:hint="cs"/>
        </w:rPr>
        <w:t xml:space="preserve"> </w:t>
      </w:r>
      <w:r>
        <w:rPr>
          <w:rFonts w:hint="cs"/>
          <w:sz w:val="26"/>
          <w:rtl/>
        </w:rPr>
        <w:t>החולים</w:t>
      </w:r>
      <w:r>
        <w:rPr>
          <w:rFonts w:hint="cs"/>
        </w:rPr>
        <w:t xml:space="preserve"> </w:t>
      </w:r>
      <w:r>
        <w:rPr>
          <w:rFonts w:hint="cs"/>
          <w:sz w:val="26"/>
          <w:rtl/>
        </w:rPr>
        <w:t>במחלות</w:t>
      </w:r>
      <w:r>
        <w:rPr>
          <w:rFonts w:hint="cs"/>
        </w:rPr>
        <w:t xml:space="preserve"> </w:t>
      </w:r>
      <w:r>
        <w:rPr>
          <w:rFonts w:hint="cs"/>
          <w:sz w:val="26"/>
          <w:rtl/>
        </w:rPr>
        <w:t>יתומות בכל</w:t>
      </w:r>
      <w:r>
        <w:rPr>
          <w:rFonts w:hint="cs"/>
        </w:rPr>
        <w:t xml:space="preserve"> </w:t>
      </w:r>
      <w:r>
        <w:rPr>
          <w:rFonts w:hint="cs"/>
          <w:sz w:val="26"/>
          <w:rtl/>
        </w:rPr>
        <w:t>קופת</w:t>
      </w:r>
      <w:r>
        <w:rPr>
          <w:rFonts w:hint="cs"/>
        </w:rPr>
        <w:t xml:space="preserve"> </w:t>
      </w:r>
      <w:r>
        <w:rPr>
          <w:rFonts w:hint="cs"/>
          <w:sz w:val="26"/>
          <w:rtl/>
        </w:rPr>
        <w:t>חולים וקובעת כי ההסדר ביחס למחלות קשות יחול גם לגבי מחלות</w:t>
      </w:r>
      <w:r>
        <w:rPr>
          <w:rFonts w:hint="cs"/>
        </w:rPr>
        <w:t xml:space="preserve"> </w:t>
      </w:r>
      <w:r>
        <w:rPr>
          <w:rFonts w:hint="cs"/>
          <w:sz w:val="26"/>
          <w:rtl/>
        </w:rPr>
        <w:t>יתומות, על אף שתרופה מסוימת עשויה לספק מענה לחולים בודדים.</w:t>
      </w:r>
    </w:p>
    <w:p w14:paraId="1DB0AEEE" w14:textId="376BAF09" w:rsidR="0053545D" w:rsidRDefault="0053545D" w:rsidP="000423BA">
      <w:pPr>
        <w:pStyle w:val="Hesber"/>
        <w:spacing w:line="276" w:lineRule="auto"/>
        <w:rPr>
          <w:sz w:val="26"/>
          <w:rtl/>
        </w:rPr>
      </w:pPr>
      <w:r>
        <w:rPr>
          <w:rFonts w:hint="cs"/>
          <w:sz w:val="26"/>
          <w:rtl/>
        </w:rPr>
        <w:t>הצעות חוק דומות בעיקרן הונחו על שולחן הכנסת השבע-עשרה על ידי חברי הכנסת דב חנין ואריה אלדד (פ/3421/17)</w:t>
      </w:r>
      <w:r w:rsidR="002F52F4">
        <w:rPr>
          <w:rFonts w:hint="cs"/>
          <w:sz w:val="26"/>
          <w:rtl/>
        </w:rPr>
        <w:t>,</w:t>
      </w:r>
      <w:r w:rsidR="003347A6">
        <w:rPr>
          <w:rFonts w:hint="cs"/>
          <w:sz w:val="26"/>
          <w:rtl/>
        </w:rPr>
        <w:t xml:space="preserve"> ועל ידי חברת הכנסת שלי יחימוביץ' (פ/3867/17)</w:t>
      </w:r>
      <w:r>
        <w:rPr>
          <w:rFonts w:hint="cs"/>
          <w:sz w:val="26"/>
          <w:rtl/>
        </w:rPr>
        <w:t>, על שולחן הכנסת השמונה-עשרה</w:t>
      </w:r>
      <w:r w:rsidR="003347A6">
        <w:rPr>
          <w:rFonts w:hint="cs"/>
          <w:sz w:val="26"/>
          <w:rtl/>
        </w:rPr>
        <w:t xml:space="preserve"> על ידי חברת הכנסת שלי יחימוביץ' (פ/332/18),</w:t>
      </w:r>
      <w:r>
        <w:rPr>
          <w:rFonts w:hint="cs"/>
          <w:sz w:val="26"/>
          <w:rtl/>
        </w:rPr>
        <w:t xml:space="preserve"> על ידי חבר הכנסת אריה אלדד (פ/968/18)</w:t>
      </w:r>
      <w:r w:rsidR="002F52F4">
        <w:rPr>
          <w:rFonts w:hint="cs"/>
          <w:sz w:val="26"/>
          <w:rtl/>
        </w:rPr>
        <w:t>,</w:t>
      </w:r>
      <w:r>
        <w:rPr>
          <w:rFonts w:hint="cs"/>
          <w:sz w:val="26"/>
          <w:rtl/>
        </w:rPr>
        <w:t xml:space="preserve"> ועל ידי חבר הכנסת דב חנין</w:t>
      </w:r>
      <w:r w:rsidR="003347A6">
        <w:rPr>
          <w:rFonts w:hint="cs"/>
          <w:sz w:val="26"/>
          <w:rtl/>
        </w:rPr>
        <w:t xml:space="preserve"> וקבוצת חברי הכנסת (פ/1083/18), </w:t>
      </w:r>
      <w:r>
        <w:rPr>
          <w:rFonts w:hint="cs"/>
          <w:sz w:val="26"/>
          <w:rtl/>
        </w:rPr>
        <w:t>על שולחן הכנסת התשע-עשרה על ידי חבר הכנסת דב חנין וקבוצת חברי הכנסת (פ/57/19)</w:t>
      </w:r>
      <w:r w:rsidR="002F52F4">
        <w:rPr>
          <w:rFonts w:hint="cs"/>
          <w:sz w:val="26"/>
          <w:rtl/>
        </w:rPr>
        <w:t>,</w:t>
      </w:r>
      <w:r w:rsidR="003347A6">
        <w:rPr>
          <w:rFonts w:hint="cs"/>
          <w:sz w:val="26"/>
          <w:rtl/>
        </w:rPr>
        <w:t xml:space="preserve"> ועל ידי חברת הכנסת שלי יחימוביץ' (פ/327/19)</w:t>
      </w:r>
      <w:r w:rsidR="002F52F4">
        <w:rPr>
          <w:rFonts w:hint="cs"/>
          <w:sz w:val="26"/>
          <w:rtl/>
        </w:rPr>
        <w:t>,</w:t>
      </w:r>
      <w:r w:rsidR="003347A6">
        <w:rPr>
          <w:rFonts w:hint="cs"/>
          <w:sz w:val="26"/>
          <w:rtl/>
        </w:rPr>
        <w:t xml:space="preserve"> ועל שולחן הכנסת העשרים על ידי חברת הכנסת שלי יחימוביץ' (פ/195/20).</w:t>
      </w:r>
    </w:p>
    <w:p w14:paraId="193C005A" w14:textId="77777777" w:rsidR="000423BA" w:rsidRDefault="000423BA" w:rsidP="000423BA">
      <w:pPr>
        <w:pStyle w:val="Hesber"/>
        <w:spacing w:line="276" w:lineRule="auto"/>
        <w:rPr>
          <w:sz w:val="26"/>
          <w:rtl/>
        </w:rPr>
      </w:pPr>
    </w:p>
    <w:p w14:paraId="2DE63857" w14:textId="77777777" w:rsidR="000423BA" w:rsidRDefault="000423BA" w:rsidP="000423BA">
      <w:pPr>
        <w:pStyle w:val="Hesber"/>
        <w:spacing w:line="276" w:lineRule="auto"/>
        <w:rPr>
          <w:sz w:val="26"/>
          <w:rtl/>
        </w:rPr>
      </w:pPr>
      <w:bookmarkStart w:id="8" w:name="_GoBack"/>
      <w:bookmarkEnd w:id="8"/>
    </w:p>
    <w:p w14:paraId="3926CFA0" w14:textId="77777777" w:rsidR="002F52F4" w:rsidRDefault="002F52F4" w:rsidP="000423BA">
      <w:pPr>
        <w:pStyle w:val="Hesber"/>
        <w:spacing w:line="276" w:lineRule="auto"/>
        <w:rPr>
          <w:sz w:val="26"/>
          <w:rtl/>
        </w:rPr>
      </w:pPr>
    </w:p>
    <w:p w14:paraId="655B4CF8" w14:textId="77777777" w:rsidR="002F52F4" w:rsidRPr="00D73212" w:rsidRDefault="002F52F4" w:rsidP="002F52F4">
      <w:pPr>
        <w:pStyle w:val="Hesber"/>
        <w:rPr>
          <w:color w:val="auto"/>
          <w:rtl/>
          <w:lang w:eastAsia="en-US"/>
        </w:rPr>
      </w:pPr>
      <w:r w:rsidRPr="00D73212">
        <w:rPr>
          <w:color w:val="auto"/>
          <w:rtl/>
          <w:lang w:eastAsia="en-US"/>
        </w:rPr>
        <w:t>---------------------------------</w:t>
      </w:r>
    </w:p>
    <w:p w14:paraId="7AA4C3E5" w14:textId="77777777" w:rsidR="002F52F4" w:rsidRPr="00D73212" w:rsidRDefault="002F52F4" w:rsidP="002F52F4">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1DFC276C" w14:textId="77777777" w:rsidR="002F52F4" w:rsidRPr="00D73212" w:rsidRDefault="002F52F4" w:rsidP="002F52F4">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6D811E31" w14:textId="77777777" w:rsidR="002F52F4" w:rsidRPr="00317312" w:rsidRDefault="002F52F4" w:rsidP="002F52F4">
      <w:pPr>
        <w:pStyle w:val="Hesber"/>
      </w:pPr>
      <w:r>
        <w:rPr>
          <w:rFonts w:hint="cs"/>
          <w:color w:val="auto"/>
          <w:rtl/>
          <w:lang w:eastAsia="en-US"/>
        </w:rPr>
        <w:t>ו' בחשוון</w:t>
      </w:r>
      <w:r w:rsidRPr="00D73212">
        <w:rPr>
          <w:color w:val="auto"/>
          <w:rtl/>
          <w:lang w:eastAsia="en-US"/>
        </w:rPr>
        <w:t xml:space="preserve"> </w:t>
      </w:r>
      <w:r>
        <w:rPr>
          <w:rFonts w:hint="cs"/>
          <w:color w:val="auto"/>
          <w:rtl/>
          <w:lang w:eastAsia="en-US"/>
        </w:rPr>
        <w:t xml:space="preserve">התש"ף </w:t>
      </w:r>
      <w:r w:rsidRPr="00D73212">
        <w:rPr>
          <w:color w:val="auto"/>
          <w:rtl/>
          <w:lang w:eastAsia="en-US"/>
        </w:rPr>
        <w:t>–</w:t>
      </w:r>
      <w:r>
        <w:rPr>
          <w:rFonts w:hint="cs"/>
          <w:color w:val="auto"/>
          <w:rtl/>
          <w:lang w:eastAsia="en-US"/>
        </w:rPr>
        <w:t xml:space="preserve"> 4.11</w:t>
      </w:r>
      <w:r w:rsidRPr="00D73212">
        <w:rPr>
          <w:color w:val="auto"/>
          <w:rtl/>
          <w:lang w:eastAsia="en-US"/>
        </w:rPr>
        <w:t>.</w:t>
      </w:r>
      <w:r>
        <w:rPr>
          <w:rFonts w:hint="cs"/>
          <w:color w:val="auto"/>
          <w:rtl/>
          <w:lang w:eastAsia="en-US"/>
        </w:rPr>
        <w:t xml:space="preserve">19  </w:t>
      </w:r>
    </w:p>
    <w:p w14:paraId="20F8016C" w14:textId="77777777" w:rsidR="002F52F4" w:rsidRDefault="002F52F4" w:rsidP="0053545D">
      <w:pPr>
        <w:pStyle w:val="Hesber"/>
        <w:rPr>
          <w:sz w:val="26"/>
          <w:rtl/>
        </w:rPr>
      </w:pPr>
    </w:p>
    <w:p w14:paraId="7F6961CB" w14:textId="77777777" w:rsidR="00E13C27" w:rsidRDefault="00E13C27" w:rsidP="00E13C27">
      <w:pPr>
        <w:pStyle w:val="Hesber"/>
        <w:rPr>
          <w:rtl/>
        </w:rPr>
      </w:pPr>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0423BA">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26F3C78D" w14:textId="77777777" w:rsidR="0053545D" w:rsidRDefault="0053545D" w:rsidP="0053545D">
      <w:pPr>
        <w:pStyle w:val="a4"/>
        <w:rPr>
          <w:rFonts w:cs="Arial Unicode MS"/>
          <w:rtl/>
        </w:rPr>
      </w:pPr>
      <w:r>
        <w:rPr>
          <w:rStyle w:val="a6"/>
        </w:rPr>
        <w:footnoteRef/>
      </w:r>
      <w:r>
        <w:rPr>
          <w:rFonts w:hint="cs"/>
          <w:sz w:val="20"/>
          <w:rtl/>
        </w:rPr>
        <w:t xml:space="preserve"> ס"ח התשנ"ד, עמ' 156.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423BA"/>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2F1E62"/>
    <w:rsid w:val="002F52F4"/>
    <w:rsid w:val="003232A2"/>
    <w:rsid w:val="00325C14"/>
    <w:rsid w:val="003347A6"/>
    <w:rsid w:val="0036422C"/>
    <w:rsid w:val="003710F6"/>
    <w:rsid w:val="00386E88"/>
    <w:rsid w:val="00396585"/>
    <w:rsid w:val="003D6E38"/>
    <w:rsid w:val="003D74A0"/>
    <w:rsid w:val="004033D8"/>
    <w:rsid w:val="004073F0"/>
    <w:rsid w:val="00412A7D"/>
    <w:rsid w:val="00416B4D"/>
    <w:rsid w:val="00417CFC"/>
    <w:rsid w:val="004266E3"/>
    <w:rsid w:val="004A06DC"/>
    <w:rsid w:val="004B24ED"/>
    <w:rsid w:val="004B6625"/>
    <w:rsid w:val="004D2D82"/>
    <w:rsid w:val="004D3876"/>
    <w:rsid w:val="004E4552"/>
    <w:rsid w:val="004E6CDF"/>
    <w:rsid w:val="00530A4F"/>
    <w:rsid w:val="0053545D"/>
    <w:rsid w:val="00553C9D"/>
    <w:rsid w:val="00562A66"/>
    <w:rsid w:val="00576B5B"/>
    <w:rsid w:val="005B064E"/>
    <w:rsid w:val="005D51AE"/>
    <w:rsid w:val="005F4D97"/>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62FB"/>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C1B5F"/>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12080784-DC0F-4279-8A22-83ACD47A7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uiPriority w:val="99"/>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uiPriority w:val="99"/>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uiPriority w:val="99"/>
    <w:semiHidden/>
    <w:rsid w:val="0053545D"/>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3F05D-F5C1-4DF2-AFE4-2FC65ECC0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6CA460C4-845B-4D6E-A5C9-B63C81B7F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497</Words>
  <Characters>2839</Characters>
  <Application>Microsoft Office Word</Application>
  <DocSecurity>0</DocSecurity>
  <Lines>23</Lines>
  <Paragraphs>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אילת וולברג</cp:lastModifiedBy>
  <cp:revision>14</cp:revision>
  <cp:lastPrinted>2019-10-28T07:02:00Z</cp:lastPrinted>
  <dcterms:created xsi:type="dcterms:W3CDTF">2015-04-20T09:58:00Z</dcterms:created>
  <dcterms:modified xsi:type="dcterms:W3CDTF">2019-10-29T16:19:00Z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2081483</vt:r8>
  </property>
</Properties>
</file>