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2081453</w:t>
      </w:r>
      <w:bookmarkEnd w:id="0"/>
    </w:p>
    <w:p w14:paraId="7F6961A2" w14:textId="33961660" w:rsidR="00E13C27" w:rsidRPr="00DB7060" w:rsidRDefault="00E13C27" w:rsidP="00A443CF">
      <w:pPr>
        <w:pStyle w:val="HeadHatzaotHok"/>
        <w:rPr>
          <w:sz w:val="28"/>
          <w:szCs w:val="28"/>
          <w:rtl/>
        </w:rPr>
      </w:pPr>
      <w:bookmarkStart w:id="1" w:name="LGS_Knesset_Num"/>
      <w:r>
        <w:rPr>
          <w:rFonts w:hint="cs"/>
          <w:sz w:val="28"/>
          <w:szCs w:val="28"/>
          <w:rtl/>
        </w:rPr>
        <w:t>הכנסת העשרים ושתיים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משה ארבל</w:t>
      </w:r>
      <w:r>
        <w:br/>
      </w:r>
      <w:r>
        <w:rPr>
          <w:rFonts w:hint="cs"/>
          <w:b/>
          <w:bCs/>
          <w:rtl/>
        </w:rPr>
        <w:t xml:space="preserve"> </w:t>
      </w:r>
      <w:r>
        <w:tab/>
      </w:r>
      <w:r>
        <w:tab/>
      </w:r>
      <w:r>
        <w:tab/>
      </w:r>
      <w:r>
        <w:tab/>
      </w:r>
      <w:r>
        <w:rPr>
          <w:rFonts w:hint="cs"/>
          <w:b/>
          <w:bCs/>
          <w:rtl/>
        </w:rPr>
        <w:t>ינון אזולאי</w:t>
      </w:r>
      <w:r>
        <w:br/>
      </w:r>
      <w:r>
        <w:rPr>
          <w:rFonts w:hint="cs"/>
          <w:b/>
          <w:bCs/>
          <w:rtl/>
        </w:rPr>
        <w:t xml:space="preserve"> </w:t>
      </w:r>
      <w:r>
        <w:tab/>
      </w:r>
      <w:r>
        <w:tab/>
      </w:r>
      <w:r>
        <w:tab/>
      </w:r>
      <w:r>
        <w:tab/>
      </w:r>
      <w:r>
        <w:rPr>
          <w:rFonts w:hint="cs"/>
          <w:b/>
          <w:bCs/>
          <w:rtl/>
        </w:rPr>
        <w:t xml:space="preserve">מיכאל </w:t>
      </w:r>
      <w:proofErr w:type="spellStart"/>
      <w:r>
        <w:rPr>
          <w:rFonts w:hint="cs"/>
          <w:b/>
          <w:bCs/>
          <w:rtl/>
        </w:rPr>
        <w:t>מלכיאלי</w:t>
      </w:r>
      <w:bookmarkEnd w:id="3"/>
      <w:proofErr w:type="spellEnd"/>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פ/118/22</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77777777" w:rsidR="00E13C27" w:rsidRPr="00F67051" w:rsidRDefault="00A443CF" w:rsidP="0021633A">
      <w:pPr>
        <w:pStyle w:val="HeadHatzaotHok"/>
        <w:rPr>
          <w:rtl/>
        </w:rPr>
      </w:pPr>
      <w:bookmarkStart w:id="7" w:name="LGS_Subject"/>
      <w:r>
        <w:rPr>
          <w:rFonts w:hint="cs"/>
          <w:rtl/>
        </w:rPr>
        <w:t xml:space="preserve">הצעת חוק להגבלת שכר טרחת כונסי נכסים (תיקוני חקיקה), </w:t>
      </w:r>
      <w:proofErr w:type="spellStart"/>
      <w:r>
        <w:rPr>
          <w:rFonts w:hint="cs"/>
          <w:rtl/>
        </w:rPr>
        <w:t>התש"ף</w:t>
      </w:r>
      <w:proofErr w:type="spellEnd"/>
      <w:r>
        <w:rPr>
          <w:rFonts w:hint="cs"/>
          <w:rtl/>
        </w:rPr>
        <w:t>–2019</w:t>
      </w:r>
      <w:bookmarkEnd w:id="7"/>
    </w:p>
    <w:tbl>
      <w:tblPr>
        <w:bidiVisual/>
        <w:tblW w:w="9701" w:type="dxa"/>
        <w:tblLayout w:type="fixed"/>
        <w:tblCellMar>
          <w:top w:w="57" w:type="dxa"/>
          <w:left w:w="0" w:type="dxa"/>
          <w:bottom w:w="57" w:type="dxa"/>
          <w:right w:w="0" w:type="dxa"/>
        </w:tblCellMar>
        <w:tblLook w:val="01E0" w:firstRow="1" w:lastRow="1" w:firstColumn="1" w:lastColumn="1" w:noHBand="0" w:noVBand="0"/>
      </w:tblPr>
      <w:tblGrid>
        <w:gridCol w:w="1870"/>
        <w:gridCol w:w="59"/>
        <w:gridCol w:w="565"/>
        <w:gridCol w:w="59"/>
        <w:gridCol w:w="7086"/>
        <w:gridCol w:w="62"/>
      </w:tblGrid>
      <w:tr w:rsidR="00DF660E" w:rsidRPr="002C35B1" w14:paraId="2255B0A6" w14:textId="77777777" w:rsidTr="00DF660E">
        <w:trPr>
          <w:gridAfter w:val="1"/>
          <w:wAfter w:w="62" w:type="dxa"/>
          <w:cantSplit/>
          <w:trHeight w:val="60"/>
        </w:trPr>
        <w:tc>
          <w:tcPr>
            <w:tcW w:w="1870" w:type="dxa"/>
          </w:tcPr>
          <w:p w14:paraId="52C0C56A" w14:textId="77777777" w:rsidR="00DF660E" w:rsidRPr="00210A88" w:rsidRDefault="00DF660E" w:rsidP="00524B43">
            <w:pPr>
              <w:pStyle w:val="TableSideHeading"/>
              <w:ind w:right="0"/>
            </w:pPr>
            <w:r w:rsidRPr="00210A88">
              <w:rPr>
                <w:rFonts w:hint="cs"/>
                <w:rtl/>
              </w:rPr>
              <w:t xml:space="preserve">תיקון חוק </w:t>
            </w:r>
            <w:r>
              <w:rPr>
                <w:rFonts w:hint="cs"/>
                <w:rtl/>
              </w:rPr>
              <w:t>בית המשפט לענייני משפחה</w:t>
            </w:r>
          </w:p>
        </w:tc>
        <w:tc>
          <w:tcPr>
            <w:tcW w:w="624" w:type="dxa"/>
            <w:gridSpan w:val="2"/>
          </w:tcPr>
          <w:p w14:paraId="48625703" w14:textId="77777777" w:rsidR="00DF660E" w:rsidRPr="002C35B1" w:rsidRDefault="00DF660E" w:rsidP="00524B43">
            <w:pPr>
              <w:pStyle w:val="TableText"/>
              <w:ind w:right="0"/>
              <w:jc w:val="both"/>
            </w:pPr>
            <w:r w:rsidRPr="00191763">
              <w:rPr>
                <w:rFonts w:hint="cs"/>
                <w:rtl/>
              </w:rPr>
              <w:t>1.</w:t>
            </w:r>
          </w:p>
        </w:tc>
        <w:tc>
          <w:tcPr>
            <w:tcW w:w="7145" w:type="dxa"/>
            <w:gridSpan w:val="2"/>
          </w:tcPr>
          <w:p w14:paraId="78E92494" w14:textId="7D9BB822" w:rsidR="00DF660E" w:rsidRPr="00BC4458" w:rsidRDefault="00DF660E" w:rsidP="00BC4458">
            <w:pPr>
              <w:pStyle w:val="TableBlock"/>
            </w:pPr>
            <w:r w:rsidRPr="00210A88">
              <w:rPr>
                <w:rFonts w:hint="cs"/>
                <w:rtl/>
              </w:rPr>
              <w:t xml:space="preserve">בחוק </w:t>
            </w:r>
            <w:r>
              <w:rPr>
                <w:rFonts w:hint="cs"/>
                <w:rtl/>
              </w:rPr>
              <w:t>בית המשפט לענייני משפחה,</w:t>
            </w:r>
            <w:r w:rsidRPr="00210A88">
              <w:rPr>
                <w:rFonts w:hint="cs"/>
                <w:rtl/>
              </w:rPr>
              <w:t xml:space="preserve"> </w:t>
            </w:r>
            <w:proofErr w:type="spellStart"/>
            <w:r w:rsidRPr="00210A88">
              <w:rPr>
                <w:rFonts w:hint="cs"/>
                <w:rtl/>
              </w:rPr>
              <w:t>התש</w:t>
            </w:r>
            <w:r>
              <w:rPr>
                <w:rFonts w:hint="cs"/>
                <w:rtl/>
              </w:rPr>
              <w:t>נ</w:t>
            </w:r>
            <w:r w:rsidRPr="00210A88">
              <w:rPr>
                <w:rFonts w:hint="cs"/>
                <w:rtl/>
              </w:rPr>
              <w:t>"</w:t>
            </w:r>
            <w:r>
              <w:rPr>
                <w:rFonts w:hint="cs"/>
                <w:rtl/>
              </w:rPr>
              <w:t>ה</w:t>
            </w:r>
            <w:proofErr w:type="spellEnd"/>
            <w:r w:rsidRPr="00210A88">
              <w:rPr>
                <w:rFonts w:hint="eastAsia"/>
                <w:rtl/>
              </w:rPr>
              <w:t>–</w:t>
            </w:r>
            <w:r>
              <w:rPr>
                <w:rFonts w:hint="cs"/>
                <w:rtl/>
              </w:rPr>
              <w:t>1995</w:t>
            </w:r>
            <w:r w:rsidRPr="00210A88">
              <w:rPr>
                <w:rStyle w:val="a6"/>
                <w:rFonts w:ascii="Times New Roman" w:hAnsi="Times New Roman"/>
                <w:sz w:val="22"/>
                <w:szCs w:val="24"/>
                <w:rtl/>
              </w:rPr>
              <w:footnoteReference w:id="2"/>
            </w:r>
            <w:r w:rsidRPr="00210A88">
              <w:rPr>
                <w:rFonts w:hint="cs"/>
                <w:rtl/>
              </w:rPr>
              <w:t xml:space="preserve">, </w:t>
            </w:r>
            <w:r>
              <w:rPr>
                <w:rFonts w:hint="cs"/>
                <w:rtl/>
              </w:rPr>
              <w:t>בסעיף 26(א)(3)</w:t>
            </w:r>
            <w:r w:rsidR="00305346">
              <w:rPr>
                <w:rFonts w:hint="cs"/>
                <w:rtl/>
              </w:rPr>
              <w:t>,</w:t>
            </w:r>
            <w:r w:rsidRPr="00210A88">
              <w:rPr>
                <w:rFonts w:hint="cs"/>
                <w:rtl/>
              </w:rPr>
              <w:t xml:space="preserve"> </w:t>
            </w:r>
            <w:r w:rsidR="001F2AF9">
              <w:rPr>
                <w:rFonts w:hint="cs"/>
                <w:rtl/>
              </w:rPr>
              <w:t>בסופו יבוא "ובלבד ששכרו לא יעלה על 2 אחוזים מתקבולי ההכנסה או המימוש, לפי העניין</w:t>
            </w:r>
            <w:r w:rsidR="001F2AF9" w:rsidRPr="00210A88">
              <w:rPr>
                <w:rFonts w:hint="cs"/>
                <w:rtl/>
              </w:rPr>
              <w:t>."</w:t>
            </w:r>
          </w:p>
        </w:tc>
      </w:tr>
      <w:tr w:rsidR="00DF660E" w:rsidRPr="006E403C" w14:paraId="0ACD315C" w14:textId="77777777" w:rsidTr="00DF660E">
        <w:trPr>
          <w:gridAfter w:val="1"/>
          <w:wAfter w:w="62" w:type="dxa"/>
          <w:cantSplit/>
          <w:trHeight w:val="60"/>
        </w:trPr>
        <w:tc>
          <w:tcPr>
            <w:tcW w:w="1870" w:type="dxa"/>
          </w:tcPr>
          <w:p w14:paraId="52430621" w14:textId="77777777" w:rsidR="00DF660E" w:rsidRPr="00210A88" w:rsidRDefault="00DF660E" w:rsidP="00524B43">
            <w:pPr>
              <w:pStyle w:val="TableSideHeading"/>
              <w:keepLines w:val="0"/>
            </w:pPr>
            <w:r w:rsidRPr="00210A88">
              <w:rPr>
                <w:rFonts w:hint="cs"/>
                <w:rtl/>
              </w:rPr>
              <w:t xml:space="preserve">תיקון חוק </w:t>
            </w:r>
            <w:r>
              <w:rPr>
                <w:rFonts w:hint="cs"/>
                <w:rtl/>
              </w:rPr>
              <w:t>ההוצאה לפועל</w:t>
            </w:r>
          </w:p>
        </w:tc>
        <w:tc>
          <w:tcPr>
            <w:tcW w:w="624" w:type="dxa"/>
            <w:gridSpan w:val="2"/>
          </w:tcPr>
          <w:p w14:paraId="704EF661" w14:textId="77777777" w:rsidR="00DF660E" w:rsidRPr="00191763" w:rsidRDefault="00DF660E" w:rsidP="00524B43">
            <w:pPr>
              <w:pStyle w:val="TableText"/>
              <w:keepLines w:val="0"/>
            </w:pPr>
            <w:r>
              <w:rPr>
                <w:rFonts w:hint="cs"/>
                <w:rtl/>
              </w:rPr>
              <w:t>2</w:t>
            </w:r>
            <w:r w:rsidRPr="00191763">
              <w:rPr>
                <w:rFonts w:hint="cs"/>
                <w:rtl/>
              </w:rPr>
              <w:t>.</w:t>
            </w:r>
          </w:p>
        </w:tc>
        <w:tc>
          <w:tcPr>
            <w:tcW w:w="7145" w:type="dxa"/>
            <w:gridSpan w:val="2"/>
          </w:tcPr>
          <w:p w14:paraId="204ED1A4" w14:textId="3EFF66CD" w:rsidR="00DF660E" w:rsidRPr="006E403C" w:rsidRDefault="00DF660E" w:rsidP="00305346">
            <w:pPr>
              <w:pStyle w:val="TableHead"/>
              <w:keepLines w:val="0"/>
              <w:jc w:val="both"/>
              <w:rPr>
                <w:b w:val="0"/>
                <w:bCs w:val="0"/>
              </w:rPr>
            </w:pPr>
            <w:r w:rsidRPr="006E403C">
              <w:rPr>
                <w:rFonts w:hint="cs"/>
                <w:b w:val="0"/>
                <w:bCs w:val="0"/>
                <w:rtl/>
              </w:rPr>
              <w:t xml:space="preserve">בחוק ההוצאה לפועל, </w:t>
            </w:r>
            <w:proofErr w:type="spellStart"/>
            <w:r w:rsidRPr="006E403C">
              <w:rPr>
                <w:rFonts w:hint="cs"/>
                <w:b w:val="0"/>
                <w:bCs w:val="0"/>
                <w:rtl/>
              </w:rPr>
              <w:t>התשכ"ז</w:t>
            </w:r>
            <w:proofErr w:type="spellEnd"/>
            <w:r w:rsidRPr="006E403C">
              <w:rPr>
                <w:rFonts w:hint="eastAsia"/>
                <w:b w:val="0"/>
                <w:bCs w:val="0"/>
                <w:rtl/>
              </w:rPr>
              <w:t>–</w:t>
            </w:r>
            <w:r w:rsidRPr="006E403C">
              <w:rPr>
                <w:rFonts w:hint="cs"/>
                <w:b w:val="0"/>
                <w:bCs w:val="0"/>
                <w:rtl/>
              </w:rPr>
              <w:t>1967</w:t>
            </w:r>
            <w:r w:rsidRPr="00305346">
              <w:rPr>
                <w:rStyle w:val="a6"/>
                <w:b w:val="0"/>
                <w:bCs w:val="0"/>
                <w:rtl/>
              </w:rPr>
              <w:footnoteReference w:id="3"/>
            </w:r>
            <w:r w:rsidRPr="00305346">
              <w:rPr>
                <w:rFonts w:hint="cs"/>
                <w:b w:val="0"/>
                <w:bCs w:val="0"/>
                <w:vertAlign w:val="superscript"/>
                <w:rtl/>
              </w:rPr>
              <w:t xml:space="preserve"> </w:t>
            </w:r>
            <w:r w:rsidR="00305346">
              <w:rPr>
                <w:rFonts w:hint="eastAsia"/>
                <w:b w:val="0"/>
                <w:bCs w:val="0"/>
                <w:rtl/>
              </w:rPr>
              <w:t>–</w:t>
            </w:r>
          </w:p>
        </w:tc>
      </w:tr>
      <w:tr w:rsidR="00305346" w:rsidRPr="006E403C" w14:paraId="3F8CDB79" w14:textId="77777777" w:rsidTr="00DF660E">
        <w:trPr>
          <w:gridAfter w:val="1"/>
          <w:wAfter w:w="62" w:type="dxa"/>
          <w:cantSplit/>
          <w:trHeight w:val="60"/>
        </w:trPr>
        <w:tc>
          <w:tcPr>
            <w:tcW w:w="1870" w:type="dxa"/>
          </w:tcPr>
          <w:p w14:paraId="1C5E4BCB" w14:textId="77777777" w:rsidR="00305346" w:rsidRPr="00210A88" w:rsidRDefault="00305346" w:rsidP="00524B43">
            <w:pPr>
              <w:pStyle w:val="TableSideHeading"/>
              <w:keepLines w:val="0"/>
              <w:rPr>
                <w:rFonts w:hint="cs"/>
                <w:rtl/>
              </w:rPr>
            </w:pPr>
          </w:p>
        </w:tc>
        <w:tc>
          <w:tcPr>
            <w:tcW w:w="624" w:type="dxa"/>
            <w:gridSpan w:val="2"/>
          </w:tcPr>
          <w:p w14:paraId="688E5C46" w14:textId="77777777" w:rsidR="00305346" w:rsidRDefault="00305346" w:rsidP="00524B43">
            <w:pPr>
              <w:pStyle w:val="TableText"/>
              <w:keepLines w:val="0"/>
              <w:rPr>
                <w:rFonts w:hint="cs"/>
                <w:rtl/>
              </w:rPr>
            </w:pPr>
          </w:p>
        </w:tc>
        <w:tc>
          <w:tcPr>
            <w:tcW w:w="7145" w:type="dxa"/>
            <w:gridSpan w:val="2"/>
          </w:tcPr>
          <w:p w14:paraId="3876C5BE" w14:textId="4ADE1FE5" w:rsidR="00305346" w:rsidRPr="00305346" w:rsidRDefault="00305346" w:rsidP="00305346">
            <w:pPr>
              <w:pStyle w:val="TableText"/>
              <w:ind w:right="0"/>
              <w:jc w:val="both"/>
              <w:rPr>
                <w:rFonts w:hint="cs"/>
                <w:rtl/>
              </w:rPr>
            </w:pPr>
            <w:r>
              <w:rPr>
                <w:rFonts w:ascii="Times New Roman" w:hAnsi="Times New Roman" w:hint="cs"/>
                <w:sz w:val="26"/>
                <w:rtl/>
              </w:rPr>
              <w:t>(1)</w:t>
            </w:r>
            <w:r>
              <w:rPr>
                <w:rFonts w:ascii="Times New Roman" w:hAnsi="Times New Roman"/>
                <w:sz w:val="26"/>
                <w:rtl/>
              </w:rPr>
              <w:tab/>
            </w:r>
            <w:r>
              <w:rPr>
                <w:rFonts w:hint="cs"/>
                <w:rtl/>
              </w:rPr>
              <w:t>בסעיף 59(א)</w:t>
            </w:r>
            <w:r>
              <w:rPr>
                <w:rFonts w:hint="cs"/>
                <w:rtl/>
              </w:rPr>
              <w:t>,</w:t>
            </w:r>
            <w:r>
              <w:rPr>
                <w:rFonts w:hint="cs"/>
                <w:rtl/>
              </w:rPr>
              <w:t xml:space="preserve"> אחרי "ודרכי תשלומו" יבוא "ובלבד ששכרו לא יעלה על 2 אחוזים מהחוב שבפיגור, או מסכום החוב שנפרע בפועל, הנמוך </w:t>
            </w:r>
            <w:proofErr w:type="spellStart"/>
            <w:r>
              <w:rPr>
                <w:rFonts w:hint="cs"/>
                <w:rtl/>
              </w:rPr>
              <w:t>מביניהם</w:t>
            </w:r>
            <w:proofErr w:type="spellEnd"/>
            <w:r>
              <w:rPr>
                <w:rFonts w:hint="cs"/>
                <w:rtl/>
              </w:rPr>
              <w:t xml:space="preserve"> ולפי העניין</w:t>
            </w:r>
            <w:r w:rsidRPr="00210A88">
              <w:rPr>
                <w:rFonts w:hint="cs"/>
                <w:rtl/>
              </w:rPr>
              <w:t>."</w:t>
            </w:r>
            <w:r>
              <w:rPr>
                <w:rFonts w:hint="cs"/>
                <w:rtl/>
              </w:rPr>
              <w:t>;</w:t>
            </w:r>
          </w:p>
        </w:tc>
      </w:tr>
      <w:tr w:rsidR="00305346" w:rsidRPr="006E403C" w14:paraId="06675369" w14:textId="77777777" w:rsidTr="00DF660E">
        <w:trPr>
          <w:gridAfter w:val="1"/>
          <w:wAfter w:w="62" w:type="dxa"/>
          <w:cantSplit/>
          <w:trHeight w:val="60"/>
        </w:trPr>
        <w:tc>
          <w:tcPr>
            <w:tcW w:w="1870" w:type="dxa"/>
          </w:tcPr>
          <w:p w14:paraId="18C3DD96" w14:textId="77777777" w:rsidR="00305346" w:rsidRPr="00210A88" w:rsidRDefault="00305346" w:rsidP="00524B43">
            <w:pPr>
              <w:pStyle w:val="TableSideHeading"/>
              <w:keepLines w:val="0"/>
              <w:rPr>
                <w:rFonts w:hint="cs"/>
                <w:rtl/>
              </w:rPr>
            </w:pPr>
          </w:p>
        </w:tc>
        <w:tc>
          <w:tcPr>
            <w:tcW w:w="624" w:type="dxa"/>
            <w:gridSpan w:val="2"/>
          </w:tcPr>
          <w:p w14:paraId="2D187878" w14:textId="77777777" w:rsidR="00305346" w:rsidRDefault="00305346" w:rsidP="00305346">
            <w:pPr>
              <w:pStyle w:val="TableText"/>
              <w:rPr>
                <w:rFonts w:hint="cs"/>
                <w:rtl/>
              </w:rPr>
            </w:pPr>
          </w:p>
        </w:tc>
        <w:tc>
          <w:tcPr>
            <w:tcW w:w="7145" w:type="dxa"/>
            <w:gridSpan w:val="2"/>
          </w:tcPr>
          <w:p w14:paraId="1ED2572E" w14:textId="467A7406" w:rsidR="00305346" w:rsidRDefault="00305346" w:rsidP="00305346">
            <w:pPr>
              <w:pStyle w:val="TableText"/>
              <w:ind w:right="0"/>
              <w:jc w:val="both"/>
              <w:rPr>
                <w:rFonts w:ascii="Times New Roman" w:hAnsi="Times New Roman" w:hint="cs"/>
                <w:sz w:val="26"/>
                <w:rtl/>
              </w:rPr>
            </w:pPr>
            <w:r>
              <w:rPr>
                <w:rFonts w:ascii="Times New Roman" w:hAnsi="Times New Roman" w:hint="cs"/>
                <w:sz w:val="26"/>
                <w:rtl/>
              </w:rPr>
              <w:t>(2)</w:t>
            </w:r>
            <w:r>
              <w:rPr>
                <w:rFonts w:ascii="Times New Roman" w:hAnsi="Times New Roman"/>
                <w:sz w:val="26"/>
                <w:rtl/>
              </w:rPr>
              <w:tab/>
            </w:r>
            <w:r>
              <w:rPr>
                <w:rFonts w:hint="cs"/>
                <w:rtl/>
              </w:rPr>
              <w:t>בסעיף 81ב1(ד)(1)</w:t>
            </w:r>
            <w:r>
              <w:rPr>
                <w:rFonts w:hint="cs"/>
                <w:rtl/>
              </w:rPr>
              <w:t>,</w:t>
            </w:r>
            <w:r>
              <w:rPr>
                <w:rFonts w:hint="cs"/>
                <w:rtl/>
              </w:rPr>
              <w:t xml:space="preserve"> בסופו יבוא "ובלבד ששכר כונס נכסים לא יעלה על 2 אחוזים מהתמורה שנתקבלה בעד מכירת הדירה</w:t>
            </w:r>
            <w:r w:rsidRPr="00210A88">
              <w:rPr>
                <w:rFonts w:hint="cs"/>
                <w:rtl/>
              </w:rPr>
              <w:t>."</w:t>
            </w:r>
          </w:p>
        </w:tc>
      </w:tr>
      <w:tr w:rsidR="00305346" w:rsidRPr="006E403C" w14:paraId="3CF98D46" w14:textId="77777777" w:rsidTr="00DF660E">
        <w:trPr>
          <w:gridAfter w:val="1"/>
          <w:wAfter w:w="62" w:type="dxa"/>
          <w:cantSplit/>
          <w:trHeight w:val="60"/>
        </w:trPr>
        <w:tc>
          <w:tcPr>
            <w:tcW w:w="1870" w:type="dxa"/>
          </w:tcPr>
          <w:p w14:paraId="0B3D4560" w14:textId="5B7B2851" w:rsidR="00305346" w:rsidRPr="00210A88" w:rsidRDefault="00305346" w:rsidP="00524B43">
            <w:pPr>
              <w:pStyle w:val="TableSideHeading"/>
              <w:keepLines w:val="0"/>
              <w:rPr>
                <w:rFonts w:hint="cs"/>
                <w:rtl/>
              </w:rPr>
            </w:pPr>
            <w:r w:rsidRPr="00210A88">
              <w:rPr>
                <w:rFonts w:hint="cs"/>
                <w:rtl/>
              </w:rPr>
              <w:t xml:space="preserve">תיקון חוק </w:t>
            </w:r>
            <w:r>
              <w:rPr>
                <w:rFonts w:hint="cs"/>
                <w:rtl/>
              </w:rPr>
              <w:t>חדלות פירעון ושיקום כלכלי</w:t>
            </w:r>
          </w:p>
        </w:tc>
        <w:tc>
          <w:tcPr>
            <w:tcW w:w="624" w:type="dxa"/>
            <w:gridSpan w:val="2"/>
          </w:tcPr>
          <w:p w14:paraId="489B257A" w14:textId="494EE2CA" w:rsidR="00305346" w:rsidRDefault="00305346" w:rsidP="00305346">
            <w:pPr>
              <w:pStyle w:val="TableText"/>
              <w:rPr>
                <w:rFonts w:hint="cs"/>
                <w:rtl/>
              </w:rPr>
            </w:pPr>
            <w:r>
              <w:rPr>
                <w:rFonts w:hint="cs"/>
                <w:rtl/>
              </w:rPr>
              <w:t>3</w:t>
            </w:r>
            <w:r w:rsidRPr="00191763">
              <w:rPr>
                <w:rFonts w:hint="cs"/>
                <w:rtl/>
              </w:rPr>
              <w:t>.</w:t>
            </w:r>
          </w:p>
        </w:tc>
        <w:tc>
          <w:tcPr>
            <w:tcW w:w="7145" w:type="dxa"/>
            <w:gridSpan w:val="2"/>
          </w:tcPr>
          <w:p w14:paraId="02F99C9B" w14:textId="60C4C40C" w:rsidR="00305346" w:rsidRDefault="00305346" w:rsidP="00305346">
            <w:pPr>
              <w:pStyle w:val="TableText"/>
              <w:ind w:right="0"/>
              <w:jc w:val="both"/>
              <w:rPr>
                <w:rFonts w:ascii="Times New Roman" w:hAnsi="Times New Roman" w:hint="cs"/>
                <w:sz w:val="26"/>
                <w:rtl/>
              </w:rPr>
            </w:pPr>
            <w:r w:rsidRPr="00210A88">
              <w:rPr>
                <w:rFonts w:hint="cs"/>
                <w:rtl/>
              </w:rPr>
              <w:t xml:space="preserve">בחוק </w:t>
            </w:r>
            <w:r>
              <w:rPr>
                <w:rFonts w:hint="cs"/>
                <w:rtl/>
              </w:rPr>
              <w:t>חדלות פירעון ושיקום כלכלי,</w:t>
            </w:r>
            <w:r w:rsidRPr="00210A88">
              <w:rPr>
                <w:rFonts w:hint="cs"/>
                <w:rtl/>
              </w:rPr>
              <w:t xml:space="preserve"> </w:t>
            </w:r>
            <w:proofErr w:type="spellStart"/>
            <w:r>
              <w:rPr>
                <w:rFonts w:hint="cs"/>
                <w:rtl/>
              </w:rPr>
              <w:t>התשע"ח</w:t>
            </w:r>
            <w:proofErr w:type="spellEnd"/>
            <w:r w:rsidRPr="00210A88">
              <w:rPr>
                <w:rFonts w:hint="eastAsia"/>
                <w:rtl/>
              </w:rPr>
              <w:t>–</w:t>
            </w:r>
            <w:r>
              <w:rPr>
                <w:rFonts w:hint="cs"/>
                <w:rtl/>
              </w:rPr>
              <w:t>2018</w:t>
            </w:r>
            <w:r w:rsidRPr="00210A88">
              <w:rPr>
                <w:rStyle w:val="a6"/>
                <w:rFonts w:ascii="Times New Roman" w:hAnsi="Times New Roman"/>
                <w:sz w:val="22"/>
                <w:szCs w:val="24"/>
                <w:rtl/>
              </w:rPr>
              <w:footnoteReference w:id="4"/>
            </w:r>
            <w:r>
              <w:rPr>
                <w:rFonts w:hint="cs"/>
                <w:rtl/>
              </w:rPr>
              <w:t xml:space="preserve"> </w:t>
            </w:r>
            <w:r>
              <w:rPr>
                <w:rFonts w:hint="eastAsia"/>
                <w:rtl/>
              </w:rPr>
              <w:t>–</w:t>
            </w:r>
          </w:p>
        </w:tc>
      </w:tr>
      <w:tr w:rsidR="00305346" w:rsidRPr="006E403C" w14:paraId="7351F18F" w14:textId="77777777" w:rsidTr="00DF660E">
        <w:trPr>
          <w:gridAfter w:val="1"/>
          <w:wAfter w:w="62" w:type="dxa"/>
          <w:cantSplit/>
          <w:trHeight w:val="60"/>
        </w:trPr>
        <w:tc>
          <w:tcPr>
            <w:tcW w:w="1870" w:type="dxa"/>
          </w:tcPr>
          <w:p w14:paraId="20E7E04C" w14:textId="77777777" w:rsidR="00305346" w:rsidRPr="00210A88" w:rsidRDefault="00305346" w:rsidP="00524B43">
            <w:pPr>
              <w:pStyle w:val="TableSideHeading"/>
              <w:keepLines w:val="0"/>
              <w:rPr>
                <w:rFonts w:hint="cs"/>
                <w:rtl/>
              </w:rPr>
            </w:pPr>
          </w:p>
        </w:tc>
        <w:tc>
          <w:tcPr>
            <w:tcW w:w="624" w:type="dxa"/>
            <w:gridSpan w:val="2"/>
          </w:tcPr>
          <w:p w14:paraId="7A948A0A" w14:textId="77777777" w:rsidR="00305346" w:rsidRDefault="00305346" w:rsidP="00305346">
            <w:pPr>
              <w:pStyle w:val="TableText"/>
              <w:rPr>
                <w:rFonts w:hint="cs"/>
                <w:rtl/>
              </w:rPr>
            </w:pPr>
          </w:p>
        </w:tc>
        <w:tc>
          <w:tcPr>
            <w:tcW w:w="7145" w:type="dxa"/>
            <w:gridSpan w:val="2"/>
          </w:tcPr>
          <w:p w14:paraId="2F8097F2" w14:textId="4529F068" w:rsidR="00305346" w:rsidRPr="00210A88" w:rsidRDefault="00305346" w:rsidP="00305346">
            <w:pPr>
              <w:pStyle w:val="TableText"/>
              <w:ind w:right="0"/>
              <w:jc w:val="both"/>
              <w:rPr>
                <w:rFonts w:hint="cs"/>
                <w:rtl/>
              </w:rPr>
            </w:pPr>
            <w:r>
              <w:rPr>
                <w:rFonts w:ascii="Times New Roman" w:hAnsi="Times New Roman" w:hint="cs"/>
                <w:sz w:val="26"/>
                <w:rtl/>
              </w:rPr>
              <w:t>(1)</w:t>
            </w:r>
            <w:r>
              <w:rPr>
                <w:rFonts w:ascii="Times New Roman" w:hAnsi="Times New Roman"/>
                <w:sz w:val="26"/>
                <w:rtl/>
              </w:rPr>
              <w:tab/>
            </w:r>
            <w:r>
              <w:rPr>
                <w:rFonts w:hint="cs"/>
                <w:rtl/>
              </w:rPr>
              <w:t>בסעיף 39</w:t>
            </w:r>
            <w:r>
              <w:rPr>
                <w:rFonts w:hint="cs"/>
                <w:rtl/>
              </w:rPr>
              <w:t>,</w:t>
            </w:r>
            <w:r>
              <w:rPr>
                <w:rFonts w:hint="cs"/>
                <w:rtl/>
              </w:rPr>
              <w:t xml:space="preserve"> בסופו יבוא "ובלבד ששכרו לא יעלה על 2 אחוזים מהחוב שבפיגור, או מסכום החוב שנפרע בפועל, הנמוך </w:t>
            </w:r>
            <w:proofErr w:type="spellStart"/>
            <w:r>
              <w:rPr>
                <w:rFonts w:hint="cs"/>
                <w:rtl/>
              </w:rPr>
              <w:t>מביניהם</w:t>
            </w:r>
            <w:proofErr w:type="spellEnd"/>
            <w:r>
              <w:rPr>
                <w:rFonts w:hint="cs"/>
                <w:rtl/>
              </w:rPr>
              <w:t xml:space="preserve"> ולפי העניין</w:t>
            </w:r>
            <w:r w:rsidRPr="00210A88">
              <w:rPr>
                <w:rFonts w:hint="cs"/>
                <w:rtl/>
              </w:rPr>
              <w:t>."</w:t>
            </w:r>
            <w:r>
              <w:rPr>
                <w:rFonts w:hint="cs"/>
                <w:rtl/>
              </w:rPr>
              <w:t>;</w:t>
            </w:r>
          </w:p>
        </w:tc>
      </w:tr>
      <w:tr w:rsidR="00305346" w:rsidRPr="006E403C" w14:paraId="2AB13B28" w14:textId="77777777" w:rsidTr="00DF660E">
        <w:trPr>
          <w:gridAfter w:val="1"/>
          <w:wAfter w:w="62" w:type="dxa"/>
          <w:cantSplit/>
          <w:trHeight w:val="60"/>
        </w:trPr>
        <w:tc>
          <w:tcPr>
            <w:tcW w:w="1870" w:type="dxa"/>
          </w:tcPr>
          <w:p w14:paraId="67B7248B" w14:textId="77777777" w:rsidR="00305346" w:rsidRPr="00210A88" w:rsidRDefault="00305346" w:rsidP="00524B43">
            <w:pPr>
              <w:pStyle w:val="TableSideHeading"/>
              <w:keepLines w:val="0"/>
              <w:rPr>
                <w:rFonts w:hint="cs"/>
                <w:rtl/>
              </w:rPr>
            </w:pPr>
          </w:p>
        </w:tc>
        <w:tc>
          <w:tcPr>
            <w:tcW w:w="624" w:type="dxa"/>
            <w:gridSpan w:val="2"/>
          </w:tcPr>
          <w:p w14:paraId="7801DA89" w14:textId="77777777" w:rsidR="00305346" w:rsidRDefault="00305346" w:rsidP="00305346">
            <w:pPr>
              <w:pStyle w:val="TableText"/>
              <w:rPr>
                <w:rFonts w:hint="cs"/>
                <w:rtl/>
              </w:rPr>
            </w:pPr>
          </w:p>
        </w:tc>
        <w:tc>
          <w:tcPr>
            <w:tcW w:w="7145" w:type="dxa"/>
            <w:gridSpan w:val="2"/>
          </w:tcPr>
          <w:p w14:paraId="7A29A523" w14:textId="74F8B1FA" w:rsidR="00305346" w:rsidRDefault="00305346" w:rsidP="00305346">
            <w:pPr>
              <w:pStyle w:val="TableText"/>
              <w:ind w:right="0"/>
              <w:jc w:val="both"/>
              <w:rPr>
                <w:rFonts w:ascii="Times New Roman" w:hAnsi="Times New Roman" w:hint="cs"/>
                <w:sz w:val="26"/>
                <w:rtl/>
              </w:rPr>
            </w:pPr>
            <w:r>
              <w:rPr>
                <w:rFonts w:ascii="Times New Roman" w:hAnsi="Times New Roman" w:hint="cs"/>
                <w:sz w:val="26"/>
                <w:rtl/>
              </w:rPr>
              <w:t>(2)</w:t>
            </w:r>
            <w:r>
              <w:rPr>
                <w:rFonts w:ascii="Times New Roman" w:hAnsi="Times New Roman"/>
                <w:sz w:val="26"/>
                <w:rtl/>
              </w:rPr>
              <w:tab/>
            </w:r>
            <w:r>
              <w:rPr>
                <w:rFonts w:hint="cs"/>
                <w:rtl/>
              </w:rPr>
              <w:t>בסעיף 128(א)</w:t>
            </w:r>
            <w:r>
              <w:rPr>
                <w:rFonts w:hint="cs"/>
                <w:rtl/>
              </w:rPr>
              <w:t>,</w:t>
            </w:r>
            <w:r>
              <w:rPr>
                <w:rFonts w:hint="cs"/>
                <w:rtl/>
              </w:rPr>
              <w:t xml:space="preserve"> בסופו יבוא "ובלבד ששכרו לא יעלה על 2 אחוזים מהחוב שבפיגור, או מסכום החוב שנפרע בפועל, הנמוך </w:t>
            </w:r>
            <w:proofErr w:type="spellStart"/>
            <w:r>
              <w:rPr>
                <w:rFonts w:hint="cs"/>
                <w:rtl/>
              </w:rPr>
              <w:t>מביניהם</w:t>
            </w:r>
            <w:proofErr w:type="spellEnd"/>
            <w:r>
              <w:rPr>
                <w:rFonts w:hint="cs"/>
                <w:rtl/>
              </w:rPr>
              <w:t xml:space="preserve"> ולפי העניין</w:t>
            </w:r>
            <w:r w:rsidRPr="00210A88">
              <w:rPr>
                <w:rFonts w:hint="cs"/>
                <w:rtl/>
              </w:rPr>
              <w:t>."</w:t>
            </w:r>
          </w:p>
        </w:tc>
      </w:tr>
      <w:tr w:rsidR="00DF660E" w:rsidRPr="00210A88" w14:paraId="50A59FDF" w14:textId="77777777" w:rsidTr="00BC4458">
        <w:trPr>
          <w:cantSplit/>
          <w:trHeight w:val="60"/>
        </w:trPr>
        <w:tc>
          <w:tcPr>
            <w:tcW w:w="1929" w:type="dxa"/>
            <w:gridSpan w:val="2"/>
          </w:tcPr>
          <w:p w14:paraId="1F6A28D2" w14:textId="5D9AAAC8" w:rsidR="00DF660E" w:rsidRPr="00210A88" w:rsidRDefault="00DF660E" w:rsidP="001B6701">
            <w:pPr>
              <w:pStyle w:val="TableSideHeading"/>
              <w:ind w:right="0"/>
            </w:pPr>
            <w:r w:rsidRPr="00210A88">
              <w:rPr>
                <w:rFonts w:hint="cs"/>
                <w:rtl/>
              </w:rPr>
              <w:lastRenderedPageBreak/>
              <w:t xml:space="preserve">תיקון </w:t>
            </w:r>
            <w:r w:rsidR="001B6701">
              <w:rPr>
                <w:rFonts w:hint="cs"/>
                <w:rtl/>
              </w:rPr>
              <w:t>פקודת החברות</w:t>
            </w:r>
          </w:p>
        </w:tc>
        <w:tc>
          <w:tcPr>
            <w:tcW w:w="624" w:type="dxa"/>
            <w:gridSpan w:val="2"/>
          </w:tcPr>
          <w:p w14:paraId="46ACCAFE" w14:textId="77777777" w:rsidR="00DF660E" w:rsidRPr="00191763" w:rsidRDefault="00DF660E" w:rsidP="00524B43">
            <w:pPr>
              <w:pStyle w:val="TableText"/>
              <w:ind w:right="0"/>
              <w:jc w:val="both"/>
            </w:pPr>
            <w:r>
              <w:rPr>
                <w:rFonts w:hint="cs"/>
                <w:rtl/>
              </w:rPr>
              <w:t>4.</w:t>
            </w:r>
          </w:p>
        </w:tc>
        <w:tc>
          <w:tcPr>
            <w:tcW w:w="7148" w:type="dxa"/>
            <w:gridSpan w:val="2"/>
          </w:tcPr>
          <w:p w14:paraId="6DF44FC8" w14:textId="03D0A8C1" w:rsidR="00DF660E" w:rsidRPr="00210A88" w:rsidRDefault="00DF660E" w:rsidP="00305346">
            <w:pPr>
              <w:pStyle w:val="TableBlock"/>
            </w:pPr>
            <w:r>
              <w:rPr>
                <w:rFonts w:hint="cs"/>
                <w:rtl/>
              </w:rPr>
              <w:t xml:space="preserve">בפקודת החברות [נוסח חדש], </w:t>
            </w:r>
            <w:proofErr w:type="spellStart"/>
            <w:r>
              <w:rPr>
                <w:rFonts w:hint="cs"/>
                <w:rtl/>
              </w:rPr>
              <w:t>התשמ"ג</w:t>
            </w:r>
            <w:proofErr w:type="spellEnd"/>
            <w:r w:rsidR="00305346">
              <w:rPr>
                <w:rFonts w:hint="eastAsia"/>
                <w:rtl/>
              </w:rPr>
              <w:t>–</w:t>
            </w:r>
            <w:r>
              <w:rPr>
                <w:rFonts w:hint="cs"/>
                <w:rtl/>
              </w:rPr>
              <w:t>1983</w:t>
            </w:r>
            <w:r w:rsidRPr="00210A88">
              <w:rPr>
                <w:rStyle w:val="a6"/>
                <w:rFonts w:ascii="Times New Roman" w:hAnsi="Times New Roman"/>
                <w:sz w:val="22"/>
                <w:szCs w:val="24"/>
                <w:rtl/>
              </w:rPr>
              <w:footnoteReference w:id="5"/>
            </w:r>
            <w:r w:rsidR="00CF5708">
              <w:rPr>
                <w:rFonts w:hint="cs"/>
                <w:rtl/>
              </w:rPr>
              <w:t>, בסעיף 194(</w:t>
            </w:r>
            <w:r w:rsidR="00350AAC">
              <w:rPr>
                <w:rFonts w:hint="cs"/>
                <w:rtl/>
              </w:rPr>
              <w:t>ג)</w:t>
            </w:r>
            <w:r w:rsidR="00305346">
              <w:rPr>
                <w:rFonts w:hint="cs"/>
                <w:rtl/>
              </w:rPr>
              <w:t>,</w:t>
            </w:r>
            <w:r w:rsidR="00350AAC">
              <w:rPr>
                <w:rFonts w:hint="cs"/>
                <w:rtl/>
              </w:rPr>
              <w:t xml:space="preserve"> בסופו יבוא  "ובלבד ששכרו</w:t>
            </w:r>
            <w:r w:rsidR="00CF5708">
              <w:rPr>
                <w:rFonts w:hint="cs"/>
                <w:rtl/>
              </w:rPr>
              <w:t xml:space="preserve"> לא יעלה על 2 אחוזים </w:t>
            </w:r>
            <w:r w:rsidR="00CF5708" w:rsidRPr="003F3AC5">
              <w:rPr>
                <w:rFonts w:hint="cs"/>
                <w:rtl/>
              </w:rPr>
              <w:t xml:space="preserve">מהחוב שבפיגור, או מסכום החוב שנפרע בפועל, הנמוך </w:t>
            </w:r>
            <w:proofErr w:type="spellStart"/>
            <w:r w:rsidR="00CF5708" w:rsidRPr="003F3AC5">
              <w:rPr>
                <w:rFonts w:hint="cs"/>
                <w:rtl/>
              </w:rPr>
              <w:t>מביניהם</w:t>
            </w:r>
            <w:proofErr w:type="spellEnd"/>
            <w:r w:rsidR="00CF5708" w:rsidRPr="003F3AC5">
              <w:rPr>
                <w:rFonts w:hint="cs"/>
                <w:rtl/>
              </w:rPr>
              <w:t xml:space="preserve"> ולפי העניין</w:t>
            </w:r>
            <w:r w:rsidR="00CF5708" w:rsidRPr="00210A88">
              <w:rPr>
                <w:rFonts w:hint="cs"/>
                <w:rtl/>
              </w:rPr>
              <w:t>."</w:t>
            </w:r>
          </w:p>
        </w:tc>
      </w:tr>
    </w:tbl>
    <w:p w14:paraId="51783796" w14:textId="5185099D" w:rsidR="00BC4458" w:rsidRDefault="00CF5708" w:rsidP="00CF5708">
      <w:pPr>
        <w:pStyle w:val="HeadDivreiHesber"/>
        <w:tabs>
          <w:tab w:val="left" w:pos="2769"/>
        </w:tabs>
        <w:jc w:val="both"/>
        <w:rPr>
          <w:rtl/>
        </w:rPr>
      </w:pPr>
      <w:r>
        <w:rPr>
          <w:rtl/>
        </w:rPr>
        <w:tab/>
      </w:r>
    </w:p>
    <w:p w14:paraId="7F6961CA" w14:textId="77777777" w:rsidR="002D1EE3" w:rsidRDefault="002D1EE3" w:rsidP="002D1EE3">
      <w:pPr>
        <w:pStyle w:val="HeadDivreiHesber"/>
        <w:rPr>
          <w:rtl/>
        </w:rPr>
      </w:pPr>
      <w:r w:rsidRPr="0027450A">
        <w:rPr>
          <w:rFonts w:hint="cs"/>
          <w:rtl/>
        </w:rPr>
        <w:t>דברי הסבר</w:t>
      </w:r>
    </w:p>
    <w:p w14:paraId="33AF09A9" w14:textId="77777777" w:rsidR="00DF660E" w:rsidRPr="00850E46" w:rsidRDefault="00DF660E" w:rsidP="00DF660E">
      <w:pPr>
        <w:pStyle w:val="Hesber"/>
        <w:rPr>
          <w:rtl/>
        </w:rPr>
      </w:pPr>
      <w:r>
        <w:rPr>
          <w:rFonts w:hint="cs"/>
          <w:rtl/>
        </w:rPr>
        <w:t xml:space="preserve">שכרם של כונסי הנכסים מוסדר כיום במספר דברי חקיקה שונים ובתקנות שונות, בצורה לא אחידה ותוך יצירת פערים משמעותיים בין כונסי הנכסים. הסדרה זו יוצרת פערי שכר בין כונסי נכסים הפועלים מכוח דינים שונים, על אף שעבודתם כמעט זהה ולמרות הבלבול וחוסר הצפיות שפערים אלו יוצרים. כך למשל, לעיתים כונסי נכסים ימונו מכוח חוק מסוים אולם יפעלו מכוח דין אחר, בשל שינוי נסיבות או טעמים אחרים.  </w:t>
      </w:r>
    </w:p>
    <w:p w14:paraId="5D1278FA" w14:textId="77777777" w:rsidR="00DF660E" w:rsidRDefault="00DF660E" w:rsidP="00DF660E">
      <w:pPr>
        <w:pStyle w:val="Hesber"/>
        <w:rPr>
          <w:rtl/>
        </w:rPr>
      </w:pPr>
      <w:bookmarkStart w:id="8" w:name="ABSTRACT_START"/>
      <w:bookmarkEnd w:id="8"/>
      <w:r w:rsidRPr="00850E46">
        <w:rPr>
          <w:rFonts w:hint="cs"/>
          <w:rtl/>
        </w:rPr>
        <w:t xml:space="preserve">מוצע </w:t>
      </w:r>
      <w:bookmarkStart w:id="9" w:name="ABSTRACT_END"/>
      <w:bookmarkEnd w:id="9"/>
      <w:r>
        <w:rPr>
          <w:rFonts w:hint="cs"/>
          <w:rtl/>
        </w:rPr>
        <w:t>לפיכך לתקן את דברי החקיקה הרלוונטיים באופן אשר יגביל במידה זהה את שכרם של כונסי הנכסים, ואשר ישאיר שיקול דעת בידי שר המשפטים, בית המשפט או רשם ההוצאה לפועל, לפי העניין, לקבוע את גובה השכר.</w:t>
      </w:r>
    </w:p>
    <w:p w14:paraId="7F6961CB" w14:textId="5E4DCC12" w:rsidR="00E13C27" w:rsidRDefault="00DF660E" w:rsidP="00BC6386">
      <w:pPr>
        <w:pStyle w:val="Hesber"/>
        <w:rPr>
          <w:rtl/>
        </w:rPr>
      </w:pPr>
      <w:r>
        <w:rPr>
          <w:rFonts w:hint="cs"/>
          <w:rtl/>
        </w:rPr>
        <w:t>בנוסף, מוצע לקבע את תקרת השכר האחידה של כונסי נכסים על 2 אחוזים, על-מנת להשלים את ההליך שהחלה הכנסת בחקיקת חוק חדלות פירעון ושיקום כלכלי, התשע"ח</w:t>
      </w:r>
      <w:r w:rsidR="00BC6386">
        <w:rPr>
          <w:rFonts w:hint="eastAsia"/>
          <w:rtl/>
        </w:rPr>
        <w:t>–</w:t>
      </w:r>
      <w:bookmarkStart w:id="10" w:name="_GoBack"/>
      <w:bookmarkEnd w:id="10"/>
      <w:r>
        <w:rPr>
          <w:rFonts w:hint="cs"/>
          <w:rtl/>
        </w:rPr>
        <w:t>2018. הפחתת שכרם של כונסי הנכסים תסייע לחייבים במצוקתם הכלכלית ותגדיל את סך החובות שייפרעו לטובת הנושים בצורה מאוזנת אשר תותיר שיקול דעת בידי הגורם המכריע כאמור לזכות את כונס הנכסים בשכר הולם לפי מאמציו ותוצאות פעולותיו. שכן שכר הטרחה הקיים היום בחלק מהמקרים העולה לכעשרה אחוזים פוגע ביכולת החייב לפרוע את חובותיו ולצאת ממעגל העוני והמצוקה.</w:t>
      </w:r>
    </w:p>
    <w:p w14:paraId="11969087" w14:textId="77777777" w:rsidR="001B6701" w:rsidRDefault="001B6701" w:rsidP="00BC4458">
      <w:pPr>
        <w:pStyle w:val="Hesber"/>
        <w:rPr>
          <w:rtl/>
        </w:rPr>
      </w:pPr>
    </w:p>
    <w:p w14:paraId="44FB4ACE" w14:textId="77777777" w:rsidR="001B6701" w:rsidRPr="00D73212" w:rsidRDefault="001B6701" w:rsidP="001B6701">
      <w:pPr>
        <w:pStyle w:val="Hesber"/>
        <w:rPr>
          <w:color w:val="auto"/>
          <w:rtl/>
          <w:lang w:eastAsia="en-US"/>
        </w:rPr>
      </w:pPr>
      <w:r w:rsidRPr="00D73212">
        <w:rPr>
          <w:color w:val="auto"/>
          <w:rtl/>
          <w:lang w:eastAsia="en-US"/>
        </w:rPr>
        <w:t>---------------------------------</w:t>
      </w:r>
    </w:p>
    <w:p w14:paraId="7771ACF4" w14:textId="77777777" w:rsidR="001B6701" w:rsidRPr="00D73212" w:rsidRDefault="001B6701" w:rsidP="001B6701">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5F0510F6" w14:textId="77777777" w:rsidR="001B6701" w:rsidRPr="00D73212" w:rsidRDefault="001B6701" w:rsidP="001B6701">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6068A52D" w14:textId="77777777" w:rsidR="001B6701" w:rsidRPr="00317312" w:rsidRDefault="001B6701" w:rsidP="001B6701">
      <w:pPr>
        <w:pStyle w:val="Hesber"/>
      </w:pPr>
      <w:r>
        <w:rPr>
          <w:rFonts w:hint="cs"/>
          <w:color w:val="auto"/>
          <w:rtl/>
          <w:lang w:eastAsia="en-US"/>
        </w:rPr>
        <w:t>ו' בחשוון</w:t>
      </w:r>
      <w:r w:rsidRPr="00D73212">
        <w:rPr>
          <w:color w:val="auto"/>
          <w:rtl/>
          <w:lang w:eastAsia="en-US"/>
        </w:rPr>
        <w:t xml:space="preserve"> </w:t>
      </w:r>
      <w:proofErr w:type="spellStart"/>
      <w:r>
        <w:rPr>
          <w:rFonts w:hint="cs"/>
          <w:color w:val="auto"/>
          <w:rtl/>
          <w:lang w:eastAsia="en-US"/>
        </w:rPr>
        <w:t>התש"ף</w:t>
      </w:r>
      <w:proofErr w:type="spellEnd"/>
      <w:r>
        <w:rPr>
          <w:rFonts w:hint="cs"/>
          <w:color w:val="auto"/>
          <w:rtl/>
          <w:lang w:eastAsia="en-US"/>
        </w:rPr>
        <w:t xml:space="preserve"> </w:t>
      </w:r>
      <w:r w:rsidRPr="00D73212">
        <w:rPr>
          <w:color w:val="auto"/>
          <w:rtl/>
          <w:lang w:eastAsia="en-US"/>
        </w:rPr>
        <w:t>–</w:t>
      </w:r>
      <w:r>
        <w:rPr>
          <w:rFonts w:hint="cs"/>
          <w:color w:val="auto"/>
          <w:rtl/>
          <w:lang w:eastAsia="en-US"/>
        </w:rPr>
        <w:t xml:space="preserve"> 4.11</w:t>
      </w:r>
      <w:r w:rsidRPr="00D73212">
        <w:rPr>
          <w:color w:val="auto"/>
          <w:rtl/>
          <w:lang w:eastAsia="en-US"/>
        </w:rPr>
        <w:t>.</w:t>
      </w:r>
      <w:r>
        <w:rPr>
          <w:rFonts w:hint="cs"/>
          <w:color w:val="auto"/>
          <w:rtl/>
          <w:lang w:eastAsia="en-US"/>
        </w:rPr>
        <w:t xml:space="preserve">19  </w:t>
      </w:r>
    </w:p>
    <w:p w14:paraId="29959A32" w14:textId="77777777" w:rsidR="001B6701" w:rsidRPr="00E73006" w:rsidRDefault="001B6701" w:rsidP="001B6701">
      <w:pPr>
        <w:spacing w:before="0" w:line="360" w:lineRule="auto"/>
        <w:ind w:left="340" w:firstLine="0"/>
        <w:rPr>
          <w:rFonts w:ascii="Arial" w:eastAsia="Arial Unicode MS" w:hAnsi="Arial" w:cs="David"/>
          <w:snapToGrid w:val="0"/>
          <w:spacing w:val="0"/>
          <w:sz w:val="20"/>
          <w:szCs w:val="26"/>
          <w:rtl/>
        </w:rPr>
      </w:pPr>
    </w:p>
    <w:p w14:paraId="6B494AC0" w14:textId="77777777" w:rsidR="001B6701" w:rsidRPr="00B15BBC" w:rsidRDefault="001B6701" w:rsidP="001B6701">
      <w:pPr>
        <w:spacing w:before="0" w:line="360" w:lineRule="auto"/>
        <w:ind w:left="340" w:firstLine="0"/>
        <w:rPr>
          <w:rFonts w:ascii="Arial" w:eastAsia="Arial Unicode MS" w:hAnsi="Arial" w:cs="David" w:hint="cs"/>
          <w:snapToGrid w:val="0"/>
          <w:spacing w:val="0"/>
          <w:sz w:val="20"/>
          <w:szCs w:val="26"/>
          <w:rtl/>
        </w:rPr>
      </w:pPr>
    </w:p>
    <w:p w14:paraId="75C598BD" w14:textId="77777777" w:rsidR="001B6701" w:rsidRPr="000339B5" w:rsidRDefault="001B6701" w:rsidP="001B6701">
      <w:pPr>
        <w:spacing w:before="0"/>
      </w:pPr>
    </w:p>
    <w:p w14:paraId="583344A9" w14:textId="77777777" w:rsidR="001B6701" w:rsidRDefault="001B6701" w:rsidP="00BC4458">
      <w:pPr>
        <w:pStyle w:val="Hesber"/>
        <w:rPr>
          <w:rtl/>
        </w:rPr>
      </w:pPr>
    </w:p>
    <w:sectPr w:rsidR="001B6701"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BC6386">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74860CDD" w14:textId="77777777" w:rsidR="00DF660E" w:rsidRDefault="00DF660E" w:rsidP="00DF660E">
      <w:pPr>
        <w:pStyle w:val="a4"/>
        <w:rPr>
          <w:rtl/>
        </w:rPr>
      </w:pPr>
      <w:r>
        <w:rPr>
          <w:rStyle w:val="a6"/>
        </w:rPr>
        <w:footnoteRef/>
      </w:r>
      <w:r>
        <w:rPr>
          <w:rtl/>
        </w:rPr>
        <w:t xml:space="preserve"> </w:t>
      </w:r>
      <w:r>
        <w:rPr>
          <w:rFonts w:hint="cs"/>
          <w:rtl/>
        </w:rPr>
        <w:t xml:space="preserve">ס"ח </w:t>
      </w:r>
      <w:proofErr w:type="spellStart"/>
      <w:r>
        <w:rPr>
          <w:rFonts w:hint="cs"/>
          <w:rtl/>
        </w:rPr>
        <w:t>התשנ"ה</w:t>
      </w:r>
      <w:proofErr w:type="spellEnd"/>
      <w:r>
        <w:rPr>
          <w:rFonts w:hint="cs"/>
          <w:rtl/>
        </w:rPr>
        <w:t>, עמ' 393.</w:t>
      </w:r>
    </w:p>
  </w:footnote>
  <w:footnote w:id="3">
    <w:p w14:paraId="55A87923" w14:textId="77777777" w:rsidR="00DF660E" w:rsidRDefault="00DF660E" w:rsidP="00DF660E">
      <w:pPr>
        <w:pStyle w:val="a4"/>
        <w:rPr>
          <w:rtl/>
        </w:rPr>
      </w:pPr>
      <w:r>
        <w:rPr>
          <w:rStyle w:val="a6"/>
        </w:rPr>
        <w:footnoteRef/>
      </w:r>
      <w:r>
        <w:rPr>
          <w:rtl/>
        </w:rPr>
        <w:t xml:space="preserve"> </w:t>
      </w:r>
      <w:r>
        <w:rPr>
          <w:rFonts w:hint="cs"/>
          <w:rtl/>
        </w:rPr>
        <w:t xml:space="preserve">ס"ח </w:t>
      </w:r>
      <w:proofErr w:type="spellStart"/>
      <w:r>
        <w:rPr>
          <w:rFonts w:hint="cs"/>
          <w:rtl/>
        </w:rPr>
        <w:t>התשכ"ז</w:t>
      </w:r>
      <w:proofErr w:type="spellEnd"/>
      <w:r>
        <w:rPr>
          <w:rFonts w:hint="cs"/>
          <w:rtl/>
        </w:rPr>
        <w:t>, עמ' 116.</w:t>
      </w:r>
    </w:p>
  </w:footnote>
  <w:footnote w:id="4">
    <w:p w14:paraId="77A1EAAE" w14:textId="77777777" w:rsidR="00305346" w:rsidRDefault="00305346" w:rsidP="00305346">
      <w:pPr>
        <w:pStyle w:val="a4"/>
        <w:rPr>
          <w:rtl/>
        </w:rPr>
      </w:pPr>
      <w:r>
        <w:rPr>
          <w:rStyle w:val="a6"/>
        </w:rPr>
        <w:footnoteRef/>
      </w:r>
      <w:r>
        <w:rPr>
          <w:rtl/>
        </w:rPr>
        <w:t xml:space="preserve"> </w:t>
      </w:r>
      <w:r>
        <w:rPr>
          <w:rFonts w:hint="cs"/>
          <w:rtl/>
        </w:rPr>
        <w:t xml:space="preserve">ס"ח </w:t>
      </w:r>
      <w:proofErr w:type="spellStart"/>
      <w:r>
        <w:rPr>
          <w:rFonts w:hint="cs"/>
          <w:rtl/>
        </w:rPr>
        <w:t>התשע"ח</w:t>
      </w:r>
      <w:proofErr w:type="spellEnd"/>
      <w:r>
        <w:rPr>
          <w:rFonts w:hint="cs"/>
          <w:rtl/>
        </w:rPr>
        <w:t>, עמ' 310.</w:t>
      </w:r>
    </w:p>
  </w:footnote>
  <w:footnote w:id="5">
    <w:p w14:paraId="0CDD6FDC" w14:textId="77777777" w:rsidR="00DF660E" w:rsidRDefault="00DF660E" w:rsidP="00DF660E">
      <w:pPr>
        <w:pStyle w:val="a4"/>
        <w:rPr>
          <w:rtl/>
        </w:rPr>
      </w:pPr>
      <w:r>
        <w:rPr>
          <w:rStyle w:val="a6"/>
        </w:rPr>
        <w:footnoteRef/>
      </w:r>
      <w:r>
        <w:rPr>
          <w:rtl/>
        </w:rPr>
        <w:t xml:space="preserve"> </w:t>
      </w:r>
      <w:r>
        <w:rPr>
          <w:rFonts w:hint="cs"/>
          <w:rtl/>
        </w:rPr>
        <w:t>דיני מדינת ישראל, נוסח חדש 37, עמ' 761.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B6701"/>
    <w:rsid w:val="001C23B0"/>
    <w:rsid w:val="001D7AAF"/>
    <w:rsid w:val="001F2AF9"/>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05346"/>
    <w:rsid w:val="003232A2"/>
    <w:rsid w:val="00325C14"/>
    <w:rsid w:val="00350AAC"/>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77268"/>
    <w:rsid w:val="005B064E"/>
    <w:rsid w:val="005D51AE"/>
    <w:rsid w:val="0062674B"/>
    <w:rsid w:val="006363B2"/>
    <w:rsid w:val="00644940"/>
    <w:rsid w:val="0064580D"/>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64A01"/>
    <w:rsid w:val="00B733A7"/>
    <w:rsid w:val="00B75C91"/>
    <w:rsid w:val="00B975AD"/>
    <w:rsid w:val="00BC4458"/>
    <w:rsid w:val="00BC45FB"/>
    <w:rsid w:val="00BC6386"/>
    <w:rsid w:val="00BF148D"/>
    <w:rsid w:val="00C23B1A"/>
    <w:rsid w:val="00C310EB"/>
    <w:rsid w:val="00C9176A"/>
    <w:rsid w:val="00CF1AA2"/>
    <w:rsid w:val="00CF5708"/>
    <w:rsid w:val="00D142D3"/>
    <w:rsid w:val="00D17774"/>
    <w:rsid w:val="00D63620"/>
    <w:rsid w:val="00D8410D"/>
    <w:rsid w:val="00D867D7"/>
    <w:rsid w:val="00DA5280"/>
    <w:rsid w:val="00DB7060"/>
    <w:rsid w:val="00DE3153"/>
    <w:rsid w:val="00DF660E"/>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47F20"/>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2643FD14-4DB5-4F18-B212-33C260B3D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DF660E"/>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AF534FD3-FCC7-44F0-8BD6-98D16193F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E882C84-599A-4BCB-808A-86369FAC3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377</Words>
  <Characters>2154</Characters>
  <Application>Microsoft Office Word</Application>
  <DocSecurity>0</DocSecurity>
  <Lines>17</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אילת וולברג</cp:lastModifiedBy>
  <cp:revision>16</cp:revision>
  <cp:lastPrinted>2019-10-07T07:42:00Z</cp:lastPrinted>
  <dcterms:created xsi:type="dcterms:W3CDTF">2015-04-20T09:58:00Z</dcterms:created>
  <dcterms:modified xsi:type="dcterms:W3CDTF">2019-10-30T09:15:00Z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2081453</vt:r8>
  </property>
</Properties>
</file>