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2081386</w:t>
      </w:r>
      <w:bookmarkEnd w:id="0"/>
    </w:p>
    <w:p w14:paraId="7F6961A2" w14:textId="36F46FDD"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משה ארבל</w:t>
      </w:r>
      <w:r>
        <w:br/>
      </w:r>
      <w:r>
        <w:rPr>
          <w:rFonts w:hint="cs"/>
          <w:b/>
          <w:bCs/>
          <w:rtl/>
        </w:rPr>
        <w:t xml:space="preserve"> </w:t>
      </w:r>
      <w:r>
        <w:tab/>
      </w:r>
      <w:r>
        <w:tab/>
      </w:r>
      <w:r>
        <w:tab/>
      </w:r>
      <w:r>
        <w:tab/>
      </w:r>
      <w:r>
        <w:rPr>
          <w:rFonts w:hint="cs"/>
          <w:b/>
          <w:bCs/>
          <w:rtl/>
        </w:rPr>
        <w:t>מיכאל מלכיאלי</w:t>
      </w:r>
      <w:r>
        <w:br/>
      </w:r>
      <w:r>
        <w:rPr>
          <w:rFonts w:hint="cs"/>
          <w:b/>
          <w:bCs/>
          <w:rtl/>
        </w:rPr>
        <w:t xml:space="preserve"> </w:t>
      </w:r>
      <w:r>
        <w:tab/>
      </w:r>
      <w:r>
        <w:tab/>
      </w:r>
      <w:r>
        <w:tab/>
      </w:r>
      <w:r>
        <w:tab/>
      </w:r>
      <w:r>
        <w:rPr>
          <w:rFonts w:hint="cs"/>
          <w:b/>
          <w:bCs/>
          <w:rtl/>
        </w:rPr>
        <w:t>ינון אזולאי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פ/59/22</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26232F52" w:rsidR="00E13C27" w:rsidRPr="00F67051" w:rsidRDefault="00A443CF" w:rsidP="00EF3B86">
      <w:pPr>
        <w:pStyle w:val="HeadHatzaotHok"/>
        <w:rPr>
          <w:rtl/>
        </w:rPr>
      </w:pPr>
      <w:bookmarkStart w:id="5" w:name="LGS_Subject"/>
      <w:r>
        <w:rPr>
          <w:rFonts w:hint="cs"/>
          <w:rtl/>
        </w:rPr>
        <w:t>הצעת חוק העונשין (תיקון – גזענות נגד קבוצה דתית), התש"ף</w:t>
      </w:r>
      <w:r w:rsidR="00EF3B86">
        <w:rPr>
          <w:rFonts w:hint="eastAsia"/>
          <w:rtl/>
        </w:rPr>
        <w:t>–</w:t>
      </w:r>
      <w:r>
        <w:rPr>
          <w:rFonts w:hint="cs"/>
          <w:rtl/>
        </w:rPr>
        <w:t>2019</w:t>
      </w:r>
      <w:bookmarkEnd w:id="5"/>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410B50" w14:paraId="035EEF3D" w14:textId="77777777" w:rsidTr="002C3041">
        <w:trPr>
          <w:cantSplit/>
          <w:trHeight w:val="60"/>
        </w:trPr>
        <w:tc>
          <w:tcPr>
            <w:tcW w:w="1871" w:type="dxa"/>
          </w:tcPr>
          <w:p w14:paraId="3863FF98" w14:textId="64734F0B" w:rsidR="00410B50" w:rsidRDefault="00410B50" w:rsidP="00410B50">
            <w:pPr>
              <w:pStyle w:val="TableSideHeading"/>
              <w:keepLines w:val="0"/>
            </w:pPr>
            <w:r>
              <w:rPr>
                <w:rFonts w:hint="cs"/>
                <w:rtl/>
              </w:rPr>
              <w:t>תיקון סעיף 144א</w:t>
            </w:r>
            <w:r>
              <w:rPr>
                <w:rtl/>
              </w:rPr>
              <w:tab/>
            </w:r>
          </w:p>
        </w:tc>
        <w:tc>
          <w:tcPr>
            <w:tcW w:w="624" w:type="dxa"/>
          </w:tcPr>
          <w:p w14:paraId="6F513EF6" w14:textId="1CD56DF8" w:rsidR="00410B50" w:rsidRDefault="00C26ADA" w:rsidP="00410B50">
            <w:pPr>
              <w:pStyle w:val="TableText"/>
              <w:keepLines w:val="0"/>
            </w:pPr>
            <w:r>
              <w:rPr>
                <w:rFonts w:hint="cs"/>
                <w:rtl/>
              </w:rPr>
              <w:t>1.</w:t>
            </w:r>
            <w:bookmarkStart w:id="6" w:name="_GoBack"/>
            <w:bookmarkEnd w:id="6"/>
          </w:p>
        </w:tc>
        <w:tc>
          <w:tcPr>
            <w:tcW w:w="7146" w:type="dxa"/>
          </w:tcPr>
          <w:p w14:paraId="1AE94DEB" w14:textId="6235ABFD" w:rsidR="00410B50" w:rsidRPr="00C34DE2" w:rsidRDefault="00410B50" w:rsidP="00410B50">
            <w:pPr>
              <w:pStyle w:val="TableHead"/>
              <w:keepLines w:val="0"/>
              <w:jc w:val="both"/>
            </w:pPr>
            <w:r w:rsidRPr="00AC7037">
              <w:rPr>
                <w:rFonts w:hint="cs"/>
                <w:b w:val="0"/>
                <w:bCs w:val="0"/>
                <w:rtl/>
              </w:rPr>
              <w:t xml:space="preserve">בחוק </w:t>
            </w:r>
            <w:r>
              <w:rPr>
                <w:rFonts w:hint="cs"/>
                <w:b w:val="0"/>
                <w:bCs w:val="0"/>
                <w:rtl/>
              </w:rPr>
              <w:t>העונשין</w:t>
            </w:r>
            <w:r w:rsidRPr="00AC7037">
              <w:rPr>
                <w:rFonts w:hint="cs"/>
                <w:b w:val="0"/>
                <w:bCs w:val="0"/>
                <w:rtl/>
              </w:rPr>
              <w:t>, התש</w:t>
            </w:r>
            <w:r>
              <w:rPr>
                <w:rFonts w:hint="cs"/>
                <w:b w:val="0"/>
                <w:bCs w:val="0"/>
                <w:rtl/>
              </w:rPr>
              <w:t>ל</w:t>
            </w:r>
            <w:r w:rsidRPr="00AC7037">
              <w:rPr>
                <w:rFonts w:hint="cs"/>
                <w:b w:val="0"/>
                <w:bCs w:val="0"/>
                <w:rtl/>
              </w:rPr>
              <w:t>"</w:t>
            </w:r>
            <w:r>
              <w:rPr>
                <w:rFonts w:hint="cs"/>
                <w:b w:val="0"/>
                <w:bCs w:val="0"/>
                <w:rtl/>
              </w:rPr>
              <w:t>ז</w:t>
            </w:r>
            <w:r w:rsidR="001306E7">
              <w:rPr>
                <w:rFonts w:hint="cs"/>
                <w:rtl/>
              </w:rPr>
              <w:t>–</w:t>
            </w:r>
            <w:r>
              <w:rPr>
                <w:rFonts w:hint="cs"/>
                <w:b w:val="0"/>
                <w:bCs w:val="0"/>
                <w:rtl/>
              </w:rPr>
              <w:t>1977</w:t>
            </w:r>
            <w:r w:rsidRPr="00232332">
              <w:rPr>
                <w:rStyle w:val="a5"/>
                <w:b w:val="0"/>
                <w:bCs w:val="0"/>
                <w:rtl/>
              </w:rPr>
              <w:footnoteReference w:id="2"/>
            </w:r>
            <w:r w:rsidRPr="00AC7037">
              <w:rPr>
                <w:rFonts w:hint="cs"/>
                <w:b w:val="0"/>
                <w:bCs w:val="0"/>
                <w:rtl/>
              </w:rPr>
              <w:t xml:space="preserve">, בסעיף </w:t>
            </w:r>
            <w:r>
              <w:rPr>
                <w:rFonts w:hint="cs"/>
                <w:b w:val="0"/>
                <w:bCs w:val="0"/>
                <w:rtl/>
              </w:rPr>
              <w:t>144א</w:t>
            </w:r>
            <w:r w:rsidRPr="00AC7037">
              <w:rPr>
                <w:rFonts w:hint="cs"/>
                <w:b w:val="0"/>
                <w:bCs w:val="0"/>
                <w:rtl/>
              </w:rPr>
              <w:t xml:space="preserve"> </w:t>
            </w:r>
            <w:r w:rsidRPr="00AC7037">
              <w:rPr>
                <w:rFonts w:hint="eastAsia"/>
                <w:b w:val="0"/>
                <w:bCs w:val="0"/>
              </w:rPr>
              <w:t>–</w:t>
            </w:r>
          </w:p>
        </w:tc>
      </w:tr>
      <w:tr w:rsidR="00410B50" w14:paraId="3D9B61D1" w14:textId="77777777" w:rsidTr="002C3041">
        <w:trPr>
          <w:cantSplit/>
          <w:trHeight w:val="60"/>
        </w:trPr>
        <w:tc>
          <w:tcPr>
            <w:tcW w:w="1871" w:type="dxa"/>
          </w:tcPr>
          <w:p w14:paraId="6C0CB9D8" w14:textId="77777777" w:rsidR="00410B50" w:rsidRDefault="00410B50" w:rsidP="00410B50">
            <w:pPr>
              <w:pStyle w:val="TableSideHeading"/>
              <w:keepLines w:val="0"/>
            </w:pPr>
          </w:p>
        </w:tc>
        <w:tc>
          <w:tcPr>
            <w:tcW w:w="624" w:type="dxa"/>
          </w:tcPr>
          <w:p w14:paraId="3F4286A2" w14:textId="77777777" w:rsidR="00410B50" w:rsidRDefault="00410B50" w:rsidP="00410B50">
            <w:pPr>
              <w:pStyle w:val="TableText"/>
              <w:keepLines w:val="0"/>
            </w:pPr>
          </w:p>
        </w:tc>
        <w:tc>
          <w:tcPr>
            <w:tcW w:w="7146" w:type="dxa"/>
          </w:tcPr>
          <w:p w14:paraId="7633D5BB" w14:textId="0BB4A30E" w:rsidR="00410B50" w:rsidRPr="00C34DE2" w:rsidRDefault="00410B50" w:rsidP="001306E7">
            <w:pPr>
              <w:pStyle w:val="TableHead"/>
              <w:keepLines w:val="0"/>
              <w:jc w:val="both"/>
            </w:pPr>
            <w:r w:rsidRPr="00AC7037">
              <w:rPr>
                <w:rFonts w:hint="cs"/>
                <w:b w:val="0"/>
                <w:bCs w:val="0"/>
                <w:rtl/>
              </w:rPr>
              <w:t>(1)</w:t>
            </w:r>
            <w:r w:rsidRPr="00AC7037">
              <w:rPr>
                <w:b w:val="0"/>
                <w:bCs w:val="0"/>
                <w:rtl/>
              </w:rPr>
              <w:tab/>
            </w:r>
            <w:r>
              <w:rPr>
                <w:rFonts w:hint="cs"/>
                <w:b w:val="0"/>
                <w:bCs w:val="0"/>
                <w:rtl/>
              </w:rPr>
              <w:t>בהגדרה</w:t>
            </w:r>
            <w:r w:rsidRPr="00AC7037">
              <w:rPr>
                <w:rFonts w:hint="cs"/>
                <w:b w:val="0"/>
                <w:bCs w:val="0"/>
                <w:rtl/>
              </w:rPr>
              <w:t xml:space="preserve"> "</w:t>
            </w:r>
            <w:r>
              <w:rPr>
                <w:rFonts w:hint="cs"/>
                <w:b w:val="0"/>
                <w:bCs w:val="0"/>
                <w:rtl/>
              </w:rPr>
              <w:t>גזענות</w:t>
            </w:r>
            <w:r w:rsidRPr="00AC7037">
              <w:rPr>
                <w:rFonts w:hint="cs"/>
                <w:b w:val="0"/>
                <w:bCs w:val="0"/>
                <w:rtl/>
              </w:rPr>
              <w:t xml:space="preserve">" </w:t>
            </w:r>
            <w:r>
              <w:rPr>
                <w:rFonts w:hint="cs"/>
                <w:b w:val="0"/>
                <w:bCs w:val="0"/>
                <w:rtl/>
              </w:rPr>
              <w:t>בסופה יבוא</w:t>
            </w:r>
            <w:r w:rsidRPr="00AC7037">
              <w:rPr>
                <w:rFonts w:hint="cs"/>
                <w:rtl/>
              </w:rPr>
              <w:t xml:space="preserve"> </w:t>
            </w:r>
            <w:r w:rsidRPr="001306E7">
              <w:rPr>
                <w:rFonts w:hint="cs"/>
                <w:b w:val="0"/>
                <w:bCs w:val="0"/>
                <w:rtl/>
              </w:rPr>
              <w:t>"או לקבוצה דתית";</w:t>
            </w:r>
          </w:p>
        </w:tc>
      </w:tr>
      <w:tr w:rsidR="00410B50" w14:paraId="3581EB47" w14:textId="77777777" w:rsidTr="002C3041">
        <w:trPr>
          <w:cantSplit/>
          <w:trHeight w:val="60"/>
        </w:trPr>
        <w:tc>
          <w:tcPr>
            <w:tcW w:w="1871" w:type="dxa"/>
          </w:tcPr>
          <w:p w14:paraId="1B91B0BC" w14:textId="77777777" w:rsidR="00410B50" w:rsidRDefault="00410B50" w:rsidP="00410B50">
            <w:pPr>
              <w:pStyle w:val="TableSideHeading"/>
              <w:keepLines w:val="0"/>
            </w:pPr>
          </w:p>
        </w:tc>
        <w:tc>
          <w:tcPr>
            <w:tcW w:w="624" w:type="dxa"/>
          </w:tcPr>
          <w:p w14:paraId="3F35D6AB" w14:textId="77777777" w:rsidR="00410B50" w:rsidRDefault="00410B50" w:rsidP="00410B50">
            <w:pPr>
              <w:pStyle w:val="TableText"/>
              <w:keepLines w:val="0"/>
            </w:pPr>
          </w:p>
        </w:tc>
        <w:tc>
          <w:tcPr>
            <w:tcW w:w="7146" w:type="dxa"/>
          </w:tcPr>
          <w:p w14:paraId="0F7924B5" w14:textId="1434311C" w:rsidR="00410B50" w:rsidRPr="00AC7037" w:rsidRDefault="00410B50" w:rsidP="001306E7">
            <w:pPr>
              <w:pStyle w:val="TableHead"/>
              <w:keepLines w:val="0"/>
              <w:jc w:val="both"/>
              <w:rPr>
                <w:b w:val="0"/>
                <w:bCs w:val="0"/>
                <w:rtl/>
              </w:rPr>
            </w:pPr>
            <w:r w:rsidRPr="00AC7037">
              <w:rPr>
                <w:rFonts w:hint="cs"/>
                <w:b w:val="0"/>
                <w:bCs w:val="0"/>
                <w:rtl/>
              </w:rPr>
              <w:t>(2)</w:t>
            </w:r>
            <w:r w:rsidRPr="00AC7037">
              <w:rPr>
                <w:b w:val="0"/>
                <w:bCs w:val="0"/>
                <w:rtl/>
              </w:rPr>
              <w:tab/>
            </w:r>
            <w:r w:rsidRPr="00AC7037">
              <w:rPr>
                <w:rFonts w:hint="cs"/>
                <w:b w:val="0"/>
                <w:bCs w:val="0"/>
                <w:rtl/>
              </w:rPr>
              <w:t xml:space="preserve">אחרי </w:t>
            </w:r>
            <w:r w:rsidR="001306E7">
              <w:rPr>
                <w:rFonts w:hint="cs"/>
                <w:b w:val="0"/>
                <w:bCs w:val="0"/>
                <w:rtl/>
              </w:rPr>
              <w:t xml:space="preserve">ההגדרה "גזענות" יבוא </w:t>
            </w:r>
            <w:r>
              <w:rPr>
                <w:rFonts w:hint="cs"/>
                <w:b w:val="0"/>
                <w:bCs w:val="0"/>
                <w:rtl/>
              </w:rPr>
              <w:t xml:space="preserve">""קבוצה דתית" </w:t>
            </w:r>
            <w:r>
              <w:rPr>
                <w:b w:val="0"/>
                <w:bCs w:val="0"/>
                <w:rtl/>
              </w:rPr>
              <w:t>–</w:t>
            </w:r>
            <w:r>
              <w:rPr>
                <w:rFonts w:hint="cs"/>
                <w:b w:val="0"/>
                <w:bCs w:val="0"/>
                <w:rtl/>
              </w:rPr>
              <w:t xml:space="preserve"> קבוצת אנשים המתאפיינת באמונתה הדתית, במנהגיה הדתיים או באורחות חייה, ככל שאלו הונהגו בשל אמונתה הדתית או הלכות דתה</w:t>
            </w:r>
            <w:r w:rsidR="00A46DDC">
              <w:rPr>
                <w:rFonts w:hint="cs"/>
                <w:b w:val="0"/>
                <w:bCs w:val="0"/>
                <w:rtl/>
              </w:rPr>
              <w:t>.</w:t>
            </w:r>
            <w:r>
              <w:rPr>
                <w:rFonts w:hint="cs"/>
                <w:b w:val="0"/>
                <w:bCs w:val="0"/>
                <w:rtl/>
              </w:rPr>
              <w:t>"</w:t>
            </w:r>
          </w:p>
        </w:tc>
      </w:tr>
    </w:tbl>
    <w:p w14:paraId="7F6961CA" w14:textId="77777777" w:rsidR="002D1EE3" w:rsidRDefault="002D1EE3" w:rsidP="002D1EE3">
      <w:pPr>
        <w:pStyle w:val="HeadDivreiHesber"/>
        <w:rPr>
          <w:rtl/>
        </w:rPr>
      </w:pPr>
      <w:r w:rsidRPr="0027450A">
        <w:rPr>
          <w:rFonts w:hint="cs"/>
          <w:rtl/>
        </w:rPr>
        <w:t>דברי הסבר</w:t>
      </w:r>
    </w:p>
    <w:p w14:paraId="63738534" w14:textId="5C3F06CA" w:rsidR="00410B50" w:rsidRPr="00410B50" w:rsidRDefault="00410B50" w:rsidP="001306E7">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410B50">
        <w:rPr>
          <w:rFonts w:ascii="Arial" w:eastAsia="Arial Unicode MS" w:hAnsi="Arial" w:cs="David" w:hint="cs"/>
          <w:snapToGrid w:val="0"/>
          <w:color w:val="auto"/>
          <w:spacing w:val="0"/>
          <w:sz w:val="20"/>
          <w:szCs w:val="26"/>
          <w:rtl/>
          <w:lang w:eastAsia="en-US"/>
        </w:rPr>
        <w:t>מערכת הבחירות לכנסת העשרים ושתיים התאפיינה בשיח שנאה קשה כלפי קבוצות אוכלוסייה שונות, ראש וראש</w:t>
      </w:r>
      <w:r w:rsidR="001306E7">
        <w:rPr>
          <w:rFonts w:ascii="Arial" w:eastAsia="Arial Unicode MS" w:hAnsi="Arial" w:cs="David" w:hint="cs"/>
          <w:snapToGrid w:val="0"/>
          <w:color w:val="auto"/>
          <w:spacing w:val="0"/>
          <w:sz w:val="20"/>
          <w:szCs w:val="26"/>
          <w:rtl/>
          <w:lang w:eastAsia="en-US"/>
        </w:rPr>
        <w:t>ו</w:t>
      </w:r>
      <w:r w:rsidRPr="00410B50">
        <w:rPr>
          <w:rFonts w:ascii="Arial" w:eastAsia="Arial Unicode MS" w:hAnsi="Arial" w:cs="David" w:hint="cs"/>
          <w:snapToGrid w:val="0"/>
          <w:color w:val="auto"/>
          <w:spacing w:val="0"/>
          <w:sz w:val="20"/>
          <w:szCs w:val="26"/>
          <w:rtl/>
          <w:lang w:eastAsia="en-US"/>
        </w:rPr>
        <w:t xml:space="preserve">נה להן אוכלוסיית המיעוט החרדי במדינת ישראל. </w:t>
      </w:r>
      <w:r w:rsidR="001306E7">
        <w:rPr>
          <w:rFonts w:ascii="Arial" w:eastAsia="Arial Unicode MS" w:hAnsi="Arial" w:cs="David" w:hint="cs"/>
          <w:snapToGrid w:val="0"/>
          <w:color w:val="auto"/>
          <w:spacing w:val="0"/>
          <w:sz w:val="20"/>
          <w:szCs w:val="26"/>
          <w:rtl/>
          <w:lang w:eastAsia="en-US"/>
        </w:rPr>
        <w:t>נוכח שיח זה</w:t>
      </w:r>
      <w:r w:rsidRPr="00410B50">
        <w:rPr>
          <w:rFonts w:ascii="Arial" w:eastAsia="Arial Unicode MS" w:hAnsi="Arial" w:cs="David" w:hint="cs"/>
          <w:snapToGrid w:val="0"/>
          <w:color w:val="auto"/>
          <w:spacing w:val="0"/>
          <w:sz w:val="20"/>
          <w:szCs w:val="26"/>
          <w:rtl/>
          <w:lang w:eastAsia="en-US"/>
        </w:rPr>
        <w:t xml:space="preserve"> אין להתפלא על גילויי השנאה כלפי האוכלוסייה הדתית והחרדית אשר הולכים ורבים הן בצורת פרסומים המטיפים לשנאה והן בצורות אלימות יותר.</w:t>
      </w:r>
    </w:p>
    <w:p w14:paraId="61CA0E4E" w14:textId="14883CA9" w:rsidR="00410B50" w:rsidRPr="008E2E9F" w:rsidRDefault="001306E7" w:rsidP="00410B50">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Pr>
          <w:rFonts w:ascii="Arial" w:eastAsia="Arial Unicode MS" w:hAnsi="Arial" w:cs="David" w:hint="cs"/>
          <w:snapToGrid w:val="0"/>
          <w:color w:val="auto"/>
          <w:spacing w:val="0"/>
          <w:sz w:val="20"/>
          <w:szCs w:val="26"/>
          <w:rtl/>
          <w:lang w:eastAsia="en-US"/>
        </w:rPr>
        <w:t>נוכח</w:t>
      </w:r>
      <w:r w:rsidR="00410B50" w:rsidRPr="00410B50">
        <w:rPr>
          <w:rFonts w:ascii="Arial" w:eastAsia="Arial Unicode MS" w:hAnsi="Arial" w:cs="David" w:hint="cs"/>
          <w:snapToGrid w:val="0"/>
          <w:color w:val="auto"/>
          <w:spacing w:val="0"/>
          <w:sz w:val="20"/>
          <w:szCs w:val="26"/>
          <w:rtl/>
          <w:lang w:eastAsia="en-US"/>
        </w:rPr>
        <w:t xml:space="preserve"> מגמה מדאיגה זו בחברה הישראלית, התחזק הצורך הדחוף להביא את החקיקה במדינת ישראל למאה העשרים ואחת ולהגדיר שנאה על רקע דתי כביטוי של גזענות, בדומה לנעשה במדינות אחרות, וליתן בכך ביטוי חוקי לצורך בהרחבת ההגנה הניתנת באמצעות חקיקת "פשעי שנאה" </w:t>
      </w:r>
      <w:r w:rsidR="00410B50" w:rsidRPr="008E2E9F">
        <w:rPr>
          <w:rFonts w:ascii="Arial" w:eastAsia="Arial Unicode MS" w:hAnsi="Arial" w:cs="David" w:hint="cs"/>
          <w:snapToGrid w:val="0"/>
          <w:color w:val="auto"/>
          <w:spacing w:val="0"/>
          <w:sz w:val="20"/>
          <w:szCs w:val="26"/>
          <w:rtl/>
          <w:lang w:eastAsia="en-US"/>
        </w:rPr>
        <w:t>(</w:t>
      </w:r>
      <w:r w:rsidR="00410B50" w:rsidRPr="008E2E9F">
        <w:rPr>
          <w:rFonts w:ascii="Arial" w:eastAsia="Arial Unicode MS" w:hAnsi="Arial" w:cs="David" w:hint="cs"/>
          <w:snapToGrid w:val="0"/>
          <w:color w:val="auto"/>
          <w:spacing w:val="0"/>
          <w:sz w:val="20"/>
          <w:szCs w:val="26"/>
          <w:lang w:eastAsia="en-US"/>
        </w:rPr>
        <w:t>H</w:t>
      </w:r>
      <w:r w:rsidR="00410B50" w:rsidRPr="008E2E9F">
        <w:rPr>
          <w:rFonts w:ascii="Arial" w:eastAsia="Arial Unicode MS" w:hAnsi="Arial" w:cs="David"/>
          <w:snapToGrid w:val="0"/>
          <w:color w:val="auto"/>
          <w:spacing w:val="0"/>
          <w:sz w:val="20"/>
          <w:szCs w:val="26"/>
          <w:lang w:eastAsia="en-US"/>
        </w:rPr>
        <w:t>ate-Crime Legislation</w:t>
      </w:r>
      <w:r w:rsidR="00410B50" w:rsidRPr="008E2E9F">
        <w:rPr>
          <w:rFonts w:ascii="Arial" w:eastAsia="Arial Unicode MS" w:hAnsi="Arial" w:cs="David" w:hint="cs"/>
          <w:snapToGrid w:val="0"/>
          <w:color w:val="auto"/>
          <w:spacing w:val="0"/>
          <w:sz w:val="20"/>
          <w:szCs w:val="26"/>
          <w:rtl/>
          <w:lang w:eastAsia="en-US"/>
        </w:rPr>
        <w:t>).</w:t>
      </w:r>
    </w:p>
    <w:p w14:paraId="1F93AE30" w14:textId="48AA906F" w:rsidR="00410B50" w:rsidRPr="00410B50" w:rsidRDefault="00410B50" w:rsidP="002E68A0">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8E2E9F">
        <w:rPr>
          <w:rFonts w:ascii="Arial" w:eastAsia="Arial Unicode MS" w:hAnsi="Arial" w:cs="David" w:hint="cs"/>
          <w:snapToGrid w:val="0"/>
          <w:color w:val="auto"/>
          <w:spacing w:val="0"/>
          <w:sz w:val="20"/>
          <w:szCs w:val="26"/>
          <w:rtl/>
          <w:lang w:eastAsia="en-US"/>
        </w:rPr>
        <w:t>כך למשל, חוק זכויות האזרח בארצות הברית (</w:t>
      </w:r>
      <w:r w:rsidRPr="008E2E9F">
        <w:rPr>
          <w:rFonts w:ascii="Arial" w:eastAsia="Arial Unicode MS" w:hAnsi="Arial" w:cs="David"/>
          <w:snapToGrid w:val="0"/>
          <w:color w:val="auto"/>
          <w:spacing w:val="0"/>
          <w:sz w:val="20"/>
          <w:szCs w:val="26"/>
          <w:lang w:eastAsia="en-US"/>
        </w:rPr>
        <w:t>Civil Rights Act</w:t>
      </w:r>
      <w:r w:rsidRPr="008E2E9F">
        <w:rPr>
          <w:rFonts w:ascii="Arial" w:eastAsia="Arial Unicode MS" w:hAnsi="Arial" w:cs="David" w:hint="cs"/>
          <w:snapToGrid w:val="0"/>
          <w:color w:val="auto"/>
          <w:spacing w:val="0"/>
          <w:sz w:val="20"/>
          <w:szCs w:val="26"/>
          <w:rtl/>
          <w:lang w:eastAsia="en-US"/>
        </w:rPr>
        <w:t>) קבע איסור פדרלי לפצוע או לאיים על אדם בשל גזעו, צבעו, דתו או מוצאו הלאומי</w:t>
      </w:r>
      <w:r w:rsidR="001306E7" w:rsidRPr="008E2E9F">
        <w:rPr>
          <w:rFonts w:ascii="Arial" w:eastAsia="Arial Unicode MS" w:hAnsi="Arial" w:cs="David" w:hint="cs"/>
          <w:snapToGrid w:val="0"/>
          <w:color w:val="auto"/>
          <w:spacing w:val="0"/>
          <w:sz w:val="20"/>
          <w:szCs w:val="26"/>
          <w:rtl/>
          <w:lang w:eastAsia="en-US"/>
        </w:rPr>
        <w:t xml:space="preserve"> (</w:t>
      </w:r>
      <w:hyperlink r:id="rId11" w:history="1">
        <w:r w:rsidR="001306E7" w:rsidRPr="008E2E9F">
          <w:rPr>
            <w:rFonts w:ascii="Arial" w:eastAsia="Arial Unicode MS" w:hAnsi="Arial"/>
            <w:snapToGrid w:val="0"/>
            <w:spacing w:val="0"/>
            <w:sz w:val="20"/>
            <w:lang w:eastAsia="en-US"/>
          </w:rPr>
          <w:t>18 U.S.C.</w:t>
        </w:r>
      </w:hyperlink>
      <w:r w:rsidR="001306E7" w:rsidRPr="008E2E9F">
        <w:rPr>
          <w:rFonts w:ascii="Arial" w:eastAsia="Arial Unicode MS" w:hAnsi="Arial" w:cs="David"/>
          <w:snapToGrid w:val="0"/>
          <w:color w:val="auto"/>
          <w:spacing w:val="0"/>
          <w:sz w:val="20"/>
          <w:szCs w:val="26"/>
          <w:lang w:eastAsia="en-US"/>
        </w:rPr>
        <w:t> </w:t>
      </w:r>
      <w:hyperlink r:id="rId12" w:history="1">
        <w:r w:rsidR="001306E7" w:rsidRPr="008E2E9F">
          <w:rPr>
            <w:rFonts w:ascii="Arial" w:eastAsia="Arial Unicode MS" w:hAnsi="Arial"/>
            <w:snapToGrid w:val="0"/>
            <w:spacing w:val="0"/>
            <w:sz w:val="20"/>
            <w:lang w:eastAsia="en-US"/>
          </w:rPr>
          <w:t>§ 245</w:t>
        </w:r>
      </w:hyperlink>
      <w:r w:rsidR="001306E7" w:rsidRPr="008E2E9F">
        <w:rPr>
          <w:rFonts w:ascii="Arial" w:eastAsia="Arial Unicode MS" w:hAnsi="Arial" w:cs="David"/>
          <w:snapToGrid w:val="0"/>
          <w:color w:val="auto"/>
          <w:spacing w:val="0"/>
          <w:sz w:val="20"/>
          <w:szCs w:val="26"/>
          <w:lang w:eastAsia="en-US"/>
        </w:rPr>
        <w:t>(b)(2)</w:t>
      </w:r>
      <w:r w:rsidR="001306E7" w:rsidRPr="008E2E9F">
        <w:rPr>
          <w:rFonts w:ascii="Arial" w:eastAsia="Arial Unicode MS" w:hAnsi="Arial" w:cs="David" w:hint="cs"/>
          <w:snapToGrid w:val="0"/>
          <w:color w:val="auto"/>
          <w:spacing w:val="0"/>
          <w:sz w:val="20"/>
          <w:szCs w:val="26"/>
          <w:rtl/>
          <w:lang w:eastAsia="en-US"/>
        </w:rPr>
        <w:t>)</w:t>
      </w:r>
      <w:r w:rsidRPr="008E2E9F">
        <w:rPr>
          <w:rFonts w:ascii="Arial" w:eastAsia="Arial Unicode MS" w:hAnsi="Arial" w:cs="David" w:hint="cs"/>
          <w:snapToGrid w:val="0"/>
          <w:color w:val="auto"/>
          <w:spacing w:val="0"/>
          <w:sz w:val="20"/>
          <w:szCs w:val="26"/>
          <w:rtl/>
          <w:lang w:eastAsia="en-US"/>
        </w:rPr>
        <w:t>.</w:t>
      </w:r>
      <w:r w:rsidRPr="008E2E9F">
        <w:rPr>
          <w:rFonts w:ascii="Arial" w:eastAsia="Arial Unicode MS" w:hAnsi="Arial" w:cs="David" w:hint="cs"/>
          <w:snapToGrid w:val="0"/>
          <w:color w:val="auto"/>
          <w:spacing w:val="0"/>
          <w:sz w:val="20"/>
          <w:szCs w:val="26"/>
          <w:lang w:eastAsia="en-US"/>
        </w:rPr>
        <w:t xml:space="preserve"> </w:t>
      </w:r>
      <w:r w:rsidR="00285B32">
        <w:rPr>
          <w:rFonts w:ascii="Arial" w:eastAsia="Arial Unicode MS" w:hAnsi="Arial" w:cs="David" w:hint="cs"/>
          <w:snapToGrid w:val="0"/>
          <w:color w:val="auto"/>
          <w:spacing w:val="0"/>
          <w:sz w:val="20"/>
          <w:szCs w:val="26"/>
          <w:rtl/>
          <w:lang w:eastAsia="en-US"/>
        </w:rPr>
        <w:t>ה</w:t>
      </w:r>
      <w:r w:rsidRPr="00410B50">
        <w:rPr>
          <w:rFonts w:ascii="Arial" w:eastAsia="Arial Unicode MS" w:hAnsi="Arial" w:cs="David" w:hint="cs"/>
          <w:snapToGrid w:val="0"/>
          <w:color w:val="auto"/>
          <w:spacing w:val="0"/>
          <w:sz w:val="20"/>
          <w:szCs w:val="26"/>
          <w:rtl/>
          <w:lang w:eastAsia="en-US"/>
        </w:rPr>
        <w:t xml:space="preserve">חוק </w:t>
      </w:r>
      <w:r w:rsidR="00285B32">
        <w:rPr>
          <w:rFonts w:ascii="Arial" w:eastAsia="Arial Unicode MS" w:hAnsi="Arial" w:cs="David" w:hint="cs"/>
          <w:snapToGrid w:val="0"/>
          <w:color w:val="auto"/>
          <w:spacing w:val="0"/>
          <w:sz w:val="20"/>
          <w:szCs w:val="26"/>
          <w:rtl/>
          <w:lang w:eastAsia="en-US"/>
        </w:rPr>
        <w:t>לפיקוח על פשעי אלימות</w:t>
      </w:r>
      <w:r w:rsidRPr="00410B50">
        <w:rPr>
          <w:rFonts w:ascii="Arial" w:eastAsia="Arial Unicode MS" w:hAnsi="Arial" w:cs="David" w:hint="cs"/>
          <w:snapToGrid w:val="0"/>
          <w:color w:val="auto"/>
          <w:spacing w:val="0"/>
          <w:sz w:val="20"/>
          <w:szCs w:val="26"/>
          <w:rtl/>
          <w:lang w:eastAsia="en-US"/>
        </w:rPr>
        <w:t xml:space="preserve"> ואכיפ</w:t>
      </w:r>
      <w:r w:rsidR="00285B32">
        <w:rPr>
          <w:rFonts w:ascii="Arial" w:eastAsia="Arial Unicode MS" w:hAnsi="Arial" w:cs="David" w:hint="cs"/>
          <w:snapToGrid w:val="0"/>
          <w:color w:val="auto"/>
          <w:spacing w:val="0"/>
          <w:sz w:val="20"/>
          <w:szCs w:val="26"/>
          <w:rtl/>
          <w:lang w:eastAsia="en-US"/>
        </w:rPr>
        <w:t xml:space="preserve">ה </w:t>
      </w:r>
      <w:r w:rsidRPr="00410B50">
        <w:rPr>
          <w:rFonts w:ascii="Arial" w:eastAsia="Arial Unicode MS" w:hAnsi="Arial" w:cs="David" w:hint="cs"/>
          <w:snapToGrid w:val="0"/>
          <w:color w:val="auto"/>
          <w:spacing w:val="0"/>
          <w:sz w:val="20"/>
          <w:szCs w:val="26"/>
          <w:rtl/>
          <w:lang w:eastAsia="en-US"/>
        </w:rPr>
        <w:t>(</w:t>
      </w:r>
      <w:r w:rsidRPr="00410B50">
        <w:rPr>
          <w:rFonts w:ascii="Arial" w:eastAsia="Arial Unicode MS" w:hAnsi="Arial" w:cs="David"/>
          <w:snapToGrid w:val="0"/>
          <w:color w:val="auto"/>
          <w:spacing w:val="0"/>
          <w:sz w:val="20"/>
          <w:szCs w:val="26"/>
          <w:lang w:eastAsia="en-US"/>
        </w:rPr>
        <w:t>Violent Crime Control and Law enforcement Act</w:t>
      </w:r>
      <w:r w:rsidRPr="00410B50">
        <w:rPr>
          <w:rFonts w:ascii="Arial" w:eastAsia="Arial Unicode MS" w:hAnsi="Arial" w:cs="David" w:hint="cs"/>
          <w:snapToGrid w:val="0"/>
          <w:color w:val="auto"/>
          <w:spacing w:val="0"/>
          <w:sz w:val="20"/>
          <w:szCs w:val="26"/>
          <w:rtl/>
          <w:lang w:eastAsia="en-US"/>
        </w:rPr>
        <w:t>) קבע כי על הוועדה הממליצה על רמות הענישה ושיקולי הענישה לבתי המשפט הפדרליים בארצות הברית, להחמיר את העונשים עבור פשעי שנאה שבוצעו על בסיס גזע, צבע, דת, מוצא לאומי, אתניות ומין</w:t>
      </w:r>
      <w:r w:rsidR="002E68A0">
        <w:rPr>
          <w:rFonts w:ascii="Arial" w:eastAsia="Arial Unicode MS" w:hAnsi="Arial" w:cs="David"/>
          <w:snapToGrid w:val="0"/>
          <w:color w:val="auto"/>
          <w:spacing w:val="0"/>
          <w:sz w:val="20"/>
          <w:szCs w:val="26"/>
          <w:lang w:eastAsia="en-US"/>
        </w:rPr>
        <w:t>(</w:t>
      </w:r>
      <w:r w:rsidR="00C22B61">
        <w:rPr>
          <w:rFonts w:ascii="Arial" w:eastAsia="Arial Unicode MS" w:hAnsi="Arial" w:cs="David"/>
          <w:snapToGrid w:val="0"/>
          <w:color w:val="auto"/>
          <w:spacing w:val="0"/>
          <w:sz w:val="20"/>
          <w:szCs w:val="26"/>
          <w:lang w:eastAsia="en-US"/>
        </w:rPr>
        <w:t>Pub.L. 103-322, Title XXVIII,</w:t>
      </w:r>
      <w:r w:rsidR="001306E7" w:rsidRPr="00295992">
        <w:rPr>
          <w:rFonts w:ascii="Arial" w:eastAsia="Arial Unicode MS" w:hAnsi="Arial" w:cs="David"/>
          <w:snapToGrid w:val="0"/>
          <w:color w:val="auto"/>
          <w:spacing w:val="0"/>
          <w:sz w:val="20"/>
          <w:szCs w:val="26"/>
          <w:lang w:eastAsia="en-US"/>
        </w:rPr>
        <w:t xml:space="preserve"> </w:t>
      </w:r>
      <w:hyperlink r:id="rId13" w:history="1">
        <w:r w:rsidR="00C22B61" w:rsidRPr="00C22B61">
          <w:t xml:space="preserve"> </w:t>
        </w:r>
        <w:r w:rsidR="00C22B61" w:rsidRPr="00C22B61">
          <w:rPr>
            <w:rFonts w:ascii="Arial" w:eastAsia="Arial Unicode MS" w:hAnsi="Arial"/>
            <w:snapToGrid w:val="0"/>
            <w:spacing w:val="0"/>
            <w:sz w:val="20"/>
            <w:szCs w:val="26"/>
            <w:lang w:eastAsia="en-US"/>
          </w:rPr>
          <w:t>§</w:t>
        </w:r>
        <w:r w:rsidR="001306E7" w:rsidRPr="00295992">
          <w:rPr>
            <w:rFonts w:ascii="Arial" w:eastAsia="Arial Unicode MS" w:hAnsi="Arial"/>
            <w:snapToGrid w:val="0"/>
            <w:spacing w:val="0"/>
            <w:sz w:val="20"/>
            <w:szCs w:val="26"/>
            <w:lang w:eastAsia="en-US"/>
          </w:rPr>
          <w:t xml:space="preserve"> 280003</w:t>
        </w:r>
      </w:hyperlink>
      <w:r w:rsidR="00C22B61">
        <w:rPr>
          <w:rFonts w:ascii="Arial" w:eastAsia="Arial Unicode MS" w:hAnsi="Arial"/>
          <w:snapToGrid w:val="0"/>
          <w:spacing w:val="0"/>
          <w:sz w:val="20"/>
          <w:szCs w:val="26"/>
          <w:lang w:eastAsia="en-US"/>
        </w:rPr>
        <w:t>, 1994, 108 Stat. 2096</w:t>
      </w:r>
      <w:r w:rsidR="002E68A0">
        <w:rPr>
          <w:rFonts w:ascii="Arial" w:eastAsia="Arial Unicode MS" w:hAnsi="Arial" w:cs="David" w:hint="cs"/>
          <w:snapToGrid w:val="0"/>
          <w:color w:val="auto"/>
          <w:spacing w:val="0"/>
          <w:sz w:val="20"/>
          <w:szCs w:val="26"/>
          <w:rtl/>
          <w:lang w:eastAsia="en-US"/>
        </w:rPr>
        <w:t>)</w:t>
      </w:r>
      <w:r w:rsidRPr="00295992">
        <w:rPr>
          <w:rFonts w:ascii="Arial" w:eastAsia="Arial Unicode MS" w:hAnsi="Arial" w:cs="David" w:hint="cs"/>
          <w:snapToGrid w:val="0"/>
          <w:color w:val="auto"/>
          <w:spacing w:val="0"/>
          <w:sz w:val="20"/>
          <w:szCs w:val="26"/>
          <w:rtl/>
          <w:lang w:eastAsia="en-US"/>
        </w:rPr>
        <w:t xml:space="preserve">. דברים דומים אף קובעת החקיקה </w:t>
      </w:r>
      <w:r w:rsidR="00285B32">
        <w:rPr>
          <w:rFonts w:ascii="Arial" w:eastAsia="Arial Unicode MS" w:hAnsi="Arial" w:cs="David" w:hint="cs"/>
          <w:snapToGrid w:val="0"/>
          <w:color w:val="auto"/>
          <w:spacing w:val="0"/>
          <w:sz w:val="20"/>
          <w:szCs w:val="26"/>
          <w:rtl/>
          <w:lang w:eastAsia="en-US"/>
        </w:rPr>
        <w:t>בבריטניה</w:t>
      </w:r>
      <w:r w:rsidRPr="00295992">
        <w:rPr>
          <w:rFonts w:ascii="Arial" w:eastAsia="Arial Unicode MS" w:hAnsi="Arial" w:cs="David" w:hint="cs"/>
          <w:snapToGrid w:val="0"/>
          <w:color w:val="auto"/>
          <w:spacing w:val="0"/>
          <w:sz w:val="20"/>
          <w:szCs w:val="26"/>
          <w:rtl/>
          <w:lang w:eastAsia="en-US"/>
        </w:rPr>
        <w:t xml:space="preserve"> (</w:t>
      </w:r>
      <w:r w:rsidRPr="00295992">
        <w:rPr>
          <w:rFonts w:ascii="Arial" w:eastAsia="Arial Unicode MS" w:hAnsi="Arial" w:cs="David"/>
          <w:snapToGrid w:val="0"/>
          <w:color w:val="auto"/>
          <w:spacing w:val="0"/>
          <w:sz w:val="20"/>
          <w:szCs w:val="26"/>
          <w:lang w:eastAsia="en-US"/>
        </w:rPr>
        <w:t>Crime and Disorder Act 1998</w:t>
      </w:r>
      <w:r w:rsidR="001306E7" w:rsidRPr="00295992">
        <w:rPr>
          <w:rFonts w:ascii="Arial" w:eastAsia="Arial Unicode MS" w:hAnsi="Arial" w:cs="David" w:hint="cs"/>
          <w:snapToGrid w:val="0"/>
          <w:color w:val="auto"/>
          <w:spacing w:val="0"/>
          <w:sz w:val="20"/>
          <w:szCs w:val="26"/>
          <w:rtl/>
          <w:lang w:eastAsia="en-US"/>
        </w:rPr>
        <w:t xml:space="preserve"> - החקיקה </w:t>
      </w:r>
      <w:r w:rsidR="001306E7" w:rsidRPr="00295992">
        <w:rPr>
          <w:rFonts w:ascii="Arial" w:eastAsia="Arial Unicode MS" w:hAnsi="Arial" w:cs="David" w:hint="cs"/>
          <w:snapToGrid w:val="0"/>
          <w:color w:val="auto"/>
          <w:spacing w:val="0"/>
          <w:sz w:val="20"/>
          <w:szCs w:val="26"/>
          <w:rtl/>
          <w:lang w:eastAsia="en-US"/>
        </w:rPr>
        <w:lastRenderedPageBreak/>
        <w:t>קובעת כי פשע שבוצע בשל שנאה לקורבן על בסיס השתייכותו לקבוצה גזעית או דתית מהווה נסיבה לחומרה בענישה</w:t>
      </w:r>
      <w:r w:rsidRPr="00295992">
        <w:rPr>
          <w:rFonts w:ascii="Arial" w:eastAsia="Arial Unicode MS" w:hAnsi="Arial" w:cs="David" w:hint="cs"/>
          <w:snapToGrid w:val="0"/>
          <w:color w:val="auto"/>
          <w:spacing w:val="0"/>
          <w:sz w:val="20"/>
          <w:szCs w:val="26"/>
          <w:rtl/>
          <w:lang w:eastAsia="en-US"/>
        </w:rPr>
        <w:t>), בקנדה</w:t>
      </w:r>
      <w:r w:rsidR="001306E7" w:rsidRPr="00295992">
        <w:rPr>
          <w:rFonts w:ascii="Arial" w:eastAsia="Arial Unicode MS" w:hAnsi="Arial" w:cs="David" w:hint="cs"/>
          <w:snapToGrid w:val="0"/>
          <w:color w:val="auto"/>
          <w:spacing w:val="0"/>
          <w:sz w:val="20"/>
          <w:szCs w:val="26"/>
          <w:rtl/>
          <w:lang w:eastAsia="en-US"/>
        </w:rPr>
        <w:t xml:space="preserve"> (</w:t>
      </w:r>
      <w:r w:rsidR="001306E7" w:rsidRPr="00295992">
        <w:rPr>
          <w:rFonts w:ascii="Arial" w:eastAsia="Arial Unicode MS" w:hAnsi="Arial" w:cs="David" w:hint="cs"/>
          <w:snapToGrid w:val="0"/>
          <w:color w:val="auto"/>
          <w:spacing w:val="0"/>
          <w:sz w:val="20"/>
          <w:szCs w:val="26"/>
          <w:lang w:eastAsia="en-US"/>
        </w:rPr>
        <w:t>C</w:t>
      </w:r>
      <w:r w:rsidR="001306E7" w:rsidRPr="00295992">
        <w:rPr>
          <w:rFonts w:ascii="Arial" w:eastAsia="Arial Unicode MS" w:hAnsi="Arial" w:cs="David"/>
          <w:snapToGrid w:val="0"/>
          <w:color w:val="auto"/>
          <w:spacing w:val="0"/>
          <w:sz w:val="20"/>
          <w:szCs w:val="26"/>
          <w:lang w:eastAsia="en-US"/>
        </w:rPr>
        <w:t>riminal Code, Section 318(4)</w:t>
      </w:r>
      <w:r w:rsidR="001306E7" w:rsidRPr="00295992">
        <w:rPr>
          <w:rFonts w:ascii="Arial" w:eastAsia="Arial Unicode MS" w:hAnsi="Arial" w:cs="David" w:hint="cs"/>
          <w:snapToGrid w:val="0"/>
          <w:color w:val="auto"/>
          <w:spacing w:val="0"/>
          <w:sz w:val="20"/>
          <w:szCs w:val="26"/>
          <w:rtl/>
          <w:lang w:eastAsia="en-US"/>
        </w:rPr>
        <w:t>)</w:t>
      </w:r>
      <w:r w:rsidRPr="00295992">
        <w:rPr>
          <w:rFonts w:ascii="Arial" w:eastAsia="Arial Unicode MS" w:hAnsi="Arial" w:cs="David" w:hint="cs"/>
          <w:snapToGrid w:val="0"/>
          <w:color w:val="auto"/>
          <w:spacing w:val="0"/>
          <w:sz w:val="20"/>
          <w:szCs w:val="26"/>
          <w:rtl/>
          <w:lang w:eastAsia="en-US"/>
        </w:rPr>
        <w:t xml:space="preserve"> וביתר העולם המערבי.</w:t>
      </w:r>
    </w:p>
    <w:p w14:paraId="7F6961CB" w14:textId="270DADAC" w:rsidR="00E13C27" w:rsidRDefault="00285B32" w:rsidP="00285B32">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Pr>
          <w:rFonts w:ascii="Arial" w:eastAsia="Arial Unicode MS" w:hAnsi="Arial" w:cs="David" w:hint="cs"/>
          <w:snapToGrid w:val="0"/>
          <w:color w:val="auto"/>
          <w:spacing w:val="0"/>
          <w:sz w:val="20"/>
          <w:szCs w:val="26"/>
          <w:rtl/>
          <w:lang w:eastAsia="en-US"/>
        </w:rPr>
        <w:t xml:space="preserve">לפיכך, מוצע לקבוע בהגדרת </w:t>
      </w:r>
      <w:r w:rsidR="00410B50" w:rsidRPr="00410B50">
        <w:rPr>
          <w:rFonts w:ascii="Arial" w:eastAsia="Arial Unicode MS" w:hAnsi="Arial" w:cs="David" w:hint="cs"/>
          <w:snapToGrid w:val="0"/>
          <w:color w:val="auto"/>
          <w:spacing w:val="0"/>
          <w:sz w:val="20"/>
          <w:szCs w:val="26"/>
          <w:rtl/>
          <w:lang w:eastAsia="en-US"/>
        </w:rPr>
        <w:t xml:space="preserve">"גזענות" כי זו תחול גם על רדיפה, השפלה, ביזוי, גילוי איבה, עוינות או אלימות, או גרימת מדנים כלפי ציבור בשל השתייכות לקבוצה דתית. עוד מוצע </w:t>
      </w:r>
      <w:r>
        <w:rPr>
          <w:rFonts w:ascii="Arial" w:eastAsia="Arial Unicode MS" w:hAnsi="Arial" w:cs="David" w:hint="cs"/>
          <w:snapToGrid w:val="0"/>
          <w:color w:val="auto"/>
          <w:spacing w:val="0"/>
          <w:sz w:val="20"/>
          <w:szCs w:val="26"/>
          <w:rtl/>
          <w:lang w:eastAsia="en-US"/>
        </w:rPr>
        <w:t>להוסיף</w:t>
      </w:r>
      <w:r w:rsidR="00410B50" w:rsidRPr="00410B50">
        <w:rPr>
          <w:rFonts w:ascii="Arial" w:eastAsia="Arial Unicode MS" w:hAnsi="Arial" w:cs="David" w:hint="cs"/>
          <w:snapToGrid w:val="0"/>
          <w:color w:val="auto"/>
          <w:spacing w:val="0"/>
          <w:sz w:val="20"/>
          <w:szCs w:val="26"/>
          <w:rtl/>
          <w:lang w:eastAsia="en-US"/>
        </w:rPr>
        <w:t xml:space="preserve"> הגדרה ל</w:t>
      </w:r>
      <w:r>
        <w:rPr>
          <w:rFonts w:ascii="Arial" w:eastAsia="Arial Unicode MS" w:hAnsi="Arial" w:cs="David" w:hint="cs"/>
          <w:snapToGrid w:val="0"/>
          <w:color w:val="auto"/>
          <w:spacing w:val="0"/>
          <w:sz w:val="20"/>
          <w:szCs w:val="26"/>
          <w:rtl/>
          <w:lang w:eastAsia="en-US"/>
        </w:rPr>
        <w:t xml:space="preserve">מונח </w:t>
      </w:r>
      <w:r w:rsidR="00410B50" w:rsidRPr="00410B50">
        <w:rPr>
          <w:rFonts w:ascii="Arial" w:eastAsia="Arial Unicode MS" w:hAnsi="Arial" w:cs="David" w:hint="cs"/>
          <w:snapToGrid w:val="0"/>
          <w:color w:val="auto"/>
          <w:spacing w:val="0"/>
          <w:sz w:val="20"/>
          <w:szCs w:val="26"/>
          <w:rtl/>
          <w:lang w:eastAsia="en-US"/>
        </w:rPr>
        <w:t>"קבוצה דתית" אשר יבהיר כי זו מתייחסת הן לקבוצות בני דת מסוימת, למשל נוצרים או מוסלמים, והן לקבוצות אוכלוסייה המתאפיינות במנהגיהן הדתיים או באורחות חייהן ככל שאלו הונהגו בשל אמונה דתית או הלכות הדת.</w:t>
      </w:r>
    </w:p>
    <w:p w14:paraId="79AFE234" w14:textId="4400BB66" w:rsidR="006C4BBD" w:rsidRDefault="006C4BBD" w:rsidP="003B7BE2">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410B50">
        <w:rPr>
          <w:rFonts w:ascii="Arial" w:eastAsia="Arial Unicode MS" w:hAnsi="Arial" w:cs="David" w:hint="cs"/>
          <w:snapToGrid w:val="0"/>
          <w:color w:val="auto"/>
          <w:spacing w:val="0"/>
          <w:sz w:val="20"/>
          <w:szCs w:val="26"/>
          <w:rtl/>
          <w:lang w:eastAsia="en-US"/>
        </w:rPr>
        <w:t xml:space="preserve">הצעת חוק דומה בעיקרה הונחה על שולחן הכנסת העשרים על ידי חבר הכנסת מסעוד גנאים וקבוצת חברי </w:t>
      </w:r>
      <w:r w:rsidR="00232332">
        <w:rPr>
          <w:rFonts w:ascii="Arial" w:eastAsia="Arial Unicode MS" w:hAnsi="Arial" w:cs="David" w:hint="cs"/>
          <w:snapToGrid w:val="0"/>
          <w:color w:val="auto"/>
          <w:spacing w:val="0"/>
          <w:sz w:val="20"/>
          <w:szCs w:val="26"/>
          <w:rtl/>
          <w:lang w:eastAsia="en-US"/>
        </w:rPr>
        <w:t>ה</w:t>
      </w:r>
      <w:r w:rsidRPr="00410B50">
        <w:rPr>
          <w:rFonts w:ascii="Arial" w:eastAsia="Arial Unicode MS" w:hAnsi="Arial" w:cs="David" w:hint="cs"/>
          <w:snapToGrid w:val="0"/>
          <w:color w:val="auto"/>
          <w:spacing w:val="0"/>
          <w:sz w:val="20"/>
          <w:szCs w:val="26"/>
          <w:rtl/>
          <w:lang w:eastAsia="en-US"/>
        </w:rPr>
        <w:t>כנסת (פ/3454/20).</w:t>
      </w:r>
    </w:p>
    <w:p w14:paraId="6B2207C7" w14:textId="77777777" w:rsidR="00232332" w:rsidRDefault="00232332" w:rsidP="003B7BE2">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p>
    <w:p w14:paraId="4683D383" w14:textId="77777777" w:rsidR="00232332" w:rsidRPr="00D73212" w:rsidRDefault="00232332" w:rsidP="00232332">
      <w:pPr>
        <w:pStyle w:val="Hesber"/>
        <w:rPr>
          <w:color w:val="auto"/>
          <w:rtl/>
          <w:lang w:eastAsia="en-US"/>
        </w:rPr>
      </w:pPr>
      <w:r w:rsidRPr="00D73212">
        <w:rPr>
          <w:color w:val="auto"/>
          <w:rtl/>
          <w:lang w:eastAsia="en-US"/>
        </w:rPr>
        <w:t>---------------------------------</w:t>
      </w:r>
    </w:p>
    <w:p w14:paraId="4A561192" w14:textId="77777777" w:rsidR="00232332" w:rsidRPr="00D73212" w:rsidRDefault="00232332" w:rsidP="00232332">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2ECE4BB" w14:textId="77777777" w:rsidR="00232332" w:rsidRPr="00D73212" w:rsidRDefault="00232332" w:rsidP="00232332">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50FB9D8" w14:textId="77777777" w:rsidR="00232332" w:rsidRPr="00317312" w:rsidRDefault="00232332" w:rsidP="00232332">
      <w:pPr>
        <w:pStyle w:val="Hesber"/>
      </w:pPr>
      <w:r>
        <w:rPr>
          <w:rFonts w:hint="cs"/>
          <w:color w:val="auto"/>
          <w:rtl/>
          <w:lang w:eastAsia="en-US"/>
        </w:rPr>
        <w:t>ו' בחשוון</w:t>
      </w:r>
      <w:r w:rsidRPr="00D73212">
        <w:rPr>
          <w:color w:val="auto"/>
          <w:rtl/>
          <w:lang w:eastAsia="en-US"/>
        </w:rPr>
        <w:t xml:space="preserve"> </w:t>
      </w:r>
      <w:r>
        <w:rPr>
          <w:rFonts w:hint="cs"/>
          <w:color w:val="auto"/>
          <w:rtl/>
          <w:lang w:eastAsia="en-US"/>
        </w:rPr>
        <w:t xml:space="preserve">התש"ף </w:t>
      </w:r>
      <w:r w:rsidRPr="00D73212">
        <w:rPr>
          <w:color w:val="auto"/>
          <w:rtl/>
          <w:lang w:eastAsia="en-US"/>
        </w:rPr>
        <w:t>–</w:t>
      </w:r>
      <w:r>
        <w:rPr>
          <w:rFonts w:hint="cs"/>
          <w:color w:val="auto"/>
          <w:rtl/>
          <w:lang w:eastAsia="en-US"/>
        </w:rPr>
        <w:t xml:space="preserve"> 4.11</w:t>
      </w:r>
      <w:r w:rsidRPr="00D73212">
        <w:rPr>
          <w:color w:val="auto"/>
          <w:rtl/>
          <w:lang w:eastAsia="en-US"/>
        </w:rPr>
        <w:t>.</w:t>
      </w:r>
      <w:r>
        <w:rPr>
          <w:rFonts w:hint="cs"/>
          <w:color w:val="auto"/>
          <w:rtl/>
          <w:lang w:eastAsia="en-US"/>
        </w:rPr>
        <w:t xml:space="preserve">19  </w:t>
      </w:r>
    </w:p>
    <w:p w14:paraId="13914153" w14:textId="77777777" w:rsidR="00232332" w:rsidRPr="003B7BE2" w:rsidRDefault="00232332" w:rsidP="003B7BE2">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p>
    <w:sectPr w:rsidR="00232332" w:rsidRPr="003B7BE2" w:rsidSect="001207F8">
      <w:footerReference w:type="even" r:id="rId14"/>
      <w:footerReference w:type="default" r:id="rId15"/>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C26AD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9BB4E7A" w14:textId="77777777" w:rsidR="00410B50" w:rsidRDefault="00410B50" w:rsidP="008E6E4D">
      <w:pPr>
        <w:pStyle w:val="a4"/>
        <w:rPr>
          <w:rtl/>
        </w:rPr>
      </w:pPr>
      <w:r>
        <w:rPr>
          <w:rStyle w:val="a5"/>
        </w:rPr>
        <w:footnoteRef/>
      </w:r>
      <w:r>
        <w:rPr>
          <w:rtl/>
        </w:rPr>
        <w:t xml:space="preserve"> </w:t>
      </w:r>
      <w:r>
        <w:rPr>
          <w:rFonts w:hint="cs"/>
          <w:rtl/>
        </w:rPr>
        <w:t>ס"ח התשל"ז, עמ' 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306E7"/>
    <w:rsid w:val="0014195F"/>
    <w:rsid w:val="00152609"/>
    <w:rsid w:val="00153E1B"/>
    <w:rsid w:val="00184E24"/>
    <w:rsid w:val="001A0623"/>
    <w:rsid w:val="001C23B0"/>
    <w:rsid w:val="001D7AAF"/>
    <w:rsid w:val="00203A7F"/>
    <w:rsid w:val="0021633A"/>
    <w:rsid w:val="002200A1"/>
    <w:rsid w:val="00232332"/>
    <w:rsid w:val="002362BF"/>
    <w:rsid w:val="00241B97"/>
    <w:rsid w:val="002425D1"/>
    <w:rsid w:val="00246756"/>
    <w:rsid w:val="00251E58"/>
    <w:rsid w:val="00254605"/>
    <w:rsid w:val="00266D86"/>
    <w:rsid w:val="002728B4"/>
    <w:rsid w:val="0027600C"/>
    <w:rsid w:val="00285B32"/>
    <w:rsid w:val="00292712"/>
    <w:rsid w:val="00295992"/>
    <w:rsid w:val="002A487D"/>
    <w:rsid w:val="002C2E29"/>
    <w:rsid w:val="002C3041"/>
    <w:rsid w:val="002D1EE3"/>
    <w:rsid w:val="002E68A0"/>
    <w:rsid w:val="002F1D80"/>
    <w:rsid w:val="003232A2"/>
    <w:rsid w:val="00325C14"/>
    <w:rsid w:val="0036422C"/>
    <w:rsid w:val="003710F6"/>
    <w:rsid w:val="00386E88"/>
    <w:rsid w:val="00396585"/>
    <w:rsid w:val="003B7BE2"/>
    <w:rsid w:val="003D6E38"/>
    <w:rsid w:val="003D74A0"/>
    <w:rsid w:val="004033D8"/>
    <w:rsid w:val="004073F0"/>
    <w:rsid w:val="00410B50"/>
    <w:rsid w:val="00412A7D"/>
    <w:rsid w:val="00416B4D"/>
    <w:rsid w:val="00417CFC"/>
    <w:rsid w:val="0045481E"/>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6C4BB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3D13"/>
    <w:rsid w:val="008A6870"/>
    <w:rsid w:val="008C2DDC"/>
    <w:rsid w:val="008C7516"/>
    <w:rsid w:val="008E2E9F"/>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29B8"/>
    <w:rsid w:val="00A26BD6"/>
    <w:rsid w:val="00A443CF"/>
    <w:rsid w:val="00A46DDC"/>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2B61"/>
    <w:rsid w:val="00C23B1A"/>
    <w:rsid w:val="00C26ADA"/>
    <w:rsid w:val="00C310EB"/>
    <w:rsid w:val="00C9176A"/>
    <w:rsid w:val="00CF1AA2"/>
    <w:rsid w:val="00D142D3"/>
    <w:rsid w:val="00D17774"/>
    <w:rsid w:val="00D32438"/>
    <w:rsid w:val="00D63620"/>
    <w:rsid w:val="00D8410D"/>
    <w:rsid w:val="00D867D7"/>
    <w:rsid w:val="00DB7060"/>
    <w:rsid w:val="00DC2A21"/>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EF3B86"/>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8A8F36C-8401-4F17-AAD6-249704E3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Hyperlink">
    <w:name w:val="Hyperlink"/>
    <w:basedOn w:val="a0"/>
    <w:unhideWhenUsed/>
    <w:rsid w:val="00410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uscode/text/28/99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uscode/text/18/24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Title_18_of_the_United_States_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8EF06-C9F1-4EE3-ACD0-B8357C54E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02E860A-9966-493C-84A7-C8B82F8E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395</Words>
  <Characters>2258</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21</cp:revision>
  <cp:lastPrinted>2013-07-04T08:25:00Z</cp:lastPrinted>
  <dcterms:created xsi:type="dcterms:W3CDTF">2015-04-20T09:58:00Z</dcterms:created>
  <dcterms:modified xsi:type="dcterms:W3CDTF">2019-10-30T10:04:00Z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2081386</vt:r8>
  </property>
</Properties>
</file>