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2081335</w:t>
      </w:r>
      <w:bookmarkEnd w:id="0"/>
    </w:p>
    <w:p w14:paraId="7F6961A2" w14:textId="292E6DA1" w:rsidR="00E13C27" w:rsidRPr="00DB7060" w:rsidRDefault="00E13C27" w:rsidP="00A443CF">
      <w:pPr>
        <w:pStyle w:val="HeadHatzaotHok"/>
        <w:rPr>
          <w:sz w:val="28"/>
          <w:szCs w:val="28"/>
          <w:rtl/>
        </w:rPr>
      </w:pPr>
      <w:bookmarkStart w:id="1" w:name="LGS_Knesset_Num"/>
      <w:r>
        <w:rPr>
          <w:rFonts w:hint="cs"/>
          <w:sz w:val="28"/>
          <w:szCs w:val="28"/>
          <w:rtl/>
        </w:rPr>
        <w:t>הכנסת העשרים ושתיים</w:t>
      </w:r>
      <w:bookmarkEnd w:id="1"/>
    </w:p>
    <w:p w14:paraId="7F6961A3" w14:textId="77777777" w:rsidR="00E13C27" w:rsidRPr="00F67051" w:rsidRDefault="00E13C27" w:rsidP="00E13C27">
      <w:pPr>
        <w:rPr>
          <w:b/>
          <w:bCs/>
          <w:sz w:val="26"/>
          <w:szCs w:val="26"/>
          <w:rtl/>
        </w:rPr>
      </w:pPr>
    </w:p>
    <w:p w14:paraId="7F6961A6" w14:textId="77777777" w:rsidR="00E13C27" w:rsidRDefault="008F6665" w:rsidP="00930EFE">
      <w:pPr>
        <w:pStyle w:val="David"/>
        <w:ind w:left="3544"/>
        <w:rPr>
          <w:b/>
          <w:bCs/>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יזהר שי</w:t>
      </w:r>
      <w:bookmarkEnd w:id="3"/>
    </w:p>
    <w:p w14:paraId="7F6961AA" w14:textId="39F9D96B" w:rsidR="00E13C27" w:rsidRPr="00CF1AA2" w:rsidRDefault="007D585A" w:rsidP="0036422C">
      <w:pPr>
        <w:pStyle w:val="David"/>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58DADDD8" w:rsidR="00E13C27" w:rsidRPr="00E06736" w:rsidRDefault="00904591" w:rsidP="00FF187C">
      <w:pPr>
        <w:pStyle w:val="David"/>
        <w:spacing w:line="240" w:lineRule="auto"/>
        <w:ind w:left="6424" w:firstLine="56"/>
        <w:rPr>
          <w:rtl/>
        </w:rPr>
      </w:pPr>
      <w:bookmarkStart w:id="6" w:name="Private_Number"/>
      <w:r>
        <w:rPr>
          <w:rFonts w:hint="cs"/>
          <w:rtl/>
        </w:rPr>
        <w:t>פ/49/22</w:t>
      </w:r>
      <w:bookmarkEnd w:id="6"/>
    </w:p>
    <w:p w14:paraId="7F6961AC" w14:textId="77777777" w:rsidR="00E13C27" w:rsidRDefault="00E13C27" w:rsidP="00E13C27">
      <w:pPr>
        <w:ind w:left="2880" w:firstLine="720"/>
        <w:rPr>
          <w:sz w:val="26"/>
          <w:szCs w:val="26"/>
          <w:rtl/>
        </w:rPr>
      </w:pPr>
    </w:p>
    <w:p w14:paraId="7F6961AD" w14:textId="619E4BDA" w:rsidR="00E13C27" w:rsidRPr="00F67051" w:rsidRDefault="00A443CF" w:rsidP="00761442">
      <w:pPr>
        <w:pStyle w:val="HeadHatzaotHok"/>
        <w:rPr>
          <w:rtl/>
        </w:rPr>
      </w:pPr>
      <w:bookmarkStart w:id="7" w:name="LGS_Subject"/>
      <w:r>
        <w:rPr>
          <w:rFonts w:hint="cs"/>
          <w:rtl/>
        </w:rPr>
        <w:t xml:space="preserve">הצעת חוק פנייה לגופים ציבוריים באמצעי קשר דיגיטליים (תיקון – קביעת תור באמצעות האינטרנט), </w:t>
      </w:r>
      <w:proofErr w:type="spellStart"/>
      <w:r>
        <w:rPr>
          <w:rFonts w:hint="cs"/>
          <w:rtl/>
        </w:rPr>
        <w:t>התש"ף</w:t>
      </w:r>
      <w:proofErr w:type="spellEnd"/>
      <w:r w:rsidR="00761442">
        <w:rPr>
          <w:rFonts w:hint="eastAsia"/>
          <w:rtl/>
        </w:rPr>
        <w:t>–</w:t>
      </w:r>
      <w:r>
        <w:rPr>
          <w:rFonts w:hint="cs"/>
          <w:rtl/>
        </w:rPr>
        <w:t>2019</w:t>
      </w:r>
      <w:bookmarkEnd w:id="7"/>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624"/>
        <w:gridCol w:w="6519"/>
      </w:tblGrid>
      <w:tr w:rsidR="00D1218E" w:rsidRPr="00E3229D" w14:paraId="702C8821" w14:textId="77777777" w:rsidTr="00761442">
        <w:trPr>
          <w:cantSplit/>
        </w:trPr>
        <w:tc>
          <w:tcPr>
            <w:tcW w:w="1871" w:type="dxa"/>
            <w:shd w:val="clear" w:color="auto" w:fill="auto"/>
          </w:tcPr>
          <w:p w14:paraId="5E59D79D" w14:textId="77777777" w:rsidR="00D1218E" w:rsidRPr="006305A4" w:rsidRDefault="00D1218E" w:rsidP="00E2733D">
            <w:pPr>
              <w:pStyle w:val="TableSideHeading"/>
              <w:rPr>
                <w:rtl/>
              </w:rPr>
            </w:pPr>
            <w:r w:rsidRPr="006305A4">
              <w:rPr>
                <w:rFonts w:hint="cs"/>
                <w:rtl/>
              </w:rPr>
              <w:t>תיקון סעיף 2</w:t>
            </w:r>
          </w:p>
        </w:tc>
        <w:tc>
          <w:tcPr>
            <w:tcW w:w="624" w:type="dxa"/>
            <w:shd w:val="clear" w:color="auto" w:fill="auto"/>
          </w:tcPr>
          <w:p w14:paraId="37B18C0F" w14:textId="77777777" w:rsidR="00D1218E" w:rsidRPr="006305A4" w:rsidRDefault="00D1218E" w:rsidP="00E2733D">
            <w:pPr>
              <w:pStyle w:val="TableText"/>
              <w:jc w:val="both"/>
              <w:rPr>
                <w:rtl/>
              </w:rPr>
            </w:pPr>
            <w:r w:rsidRPr="006305A4">
              <w:rPr>
                <w:rFonts w:hint="cs"/>
                <w:rtl/>
              </w:rPr>
              <w:t>1.</w:t>
            </w:r>
          </w:p>
        </w:tc>
        <w:tc>
          <w:tcPr>
            <w:tcW w:w="7143" w:type="dxa"/>
            <w:gridSpan w:val="2"/>
            <w:shd w:val="clear" w:color="auto" w:fill="auto"/>
          </w:tcPr>
          <w:p w14:paraId="3156F61D" w14:textId="77777777" w:rsidR="00D1218E" w:rsidRPr="006305A4" w:rsidRDefault="00D1218E" w:rsidP="00761442">
            <w:pPr>
              <w:pStyle w:val="TableBlock"/>
              <w:rPr>
                <w:rtl/>
              </w:rPr>
            </w:pPr>
            <w:r w:rsidRPr="006305A4">
              <w:rPr>
                <w:rFonts w:hint="cs"/>
                <w:rtl/>
              </w:rPr>
              <w:t xml:space="preserve">בחוק פנייה לגופים ציבוריים באמצעי קשר דיגיטליים, </w:t>
            </w:r>
            <w:proofErr w:type="spellStart"/>
            <w:r w:rsidRPr="006305A4">
              <w:rPr>
                <w:rFonts w:hint="cs"/>
                <w:rtl/>
              </w:rPr>
              <w:t>התשע"ח</w:t>
            </w:r>
            <w:proofErr w:type="spellEnd"/>
            <w:r w:rsidRPr="006305A4">
              <w:rPr>
                <w:rFonts w:hint="eastAsia"/>
                <w:rtl/>
              </w:rPr>
              <w:t>–</w:t>
            </w:r>
            <w:r w:rsidRPr="006305A4">
              <w:rPr>
                <w:rFonts w:hint="cs"/>
                <w:rtl/>
              </w:rPr>
              <w:t>2018</w:t>
            </w:r>
            <w:r w:rsidRPr="00761442">
              <w:rPr>
                <w:rFonts w:ascii="David" w:hAnsi="David"/>
                <w:sz w:val="26"/>
                <w:vertAlign w:val="superscript"/>
                <w:rtl/>
              </w:rPr>
              <w:footnoteReference w:id="2"/>
            </w:r>
            <w:r w:rsidRPr="006305A4">
              <w:rPr>
                <w:rFonts w:hint="cs"/>
                <w:rtl/>
              </w:rPr>
              <w:t xml:space="preserve"> (להלן </w:t>
            </w:r>
            <w:r w:rsidRPr="006305A4">
              <w:rPr>
                <w:rtl/>
              </w:rPr>
              <w:t>–</w:t>
            </w:r>
            <w:r w:rsidRPr="006305A4">
              <w:rPr>
                <w:rFonts w:hint="cs"/>
                <w:rtl/>
              </w:rPr>
              <w:t xml:space="preserve"> החוק העיקרי), בסעיף 2 </w:t>
            </w:r>
            <w:r w:rsidRPr="006305A4">
              <w:rPr>
                <w:rFonts w:hint="eastAsia"/>
                <w:rtl/>
              </w:rPr>
              <w:t>–</w:t>
            </w:r>
          </w:p>
        </w:tc>
      </w:tr>
      <w:tr w:rsidR="00D1218E" w:rsidRPr="00E3229D" w14:paraId="05B3225C" w14:textId="77777777" w:rsidTr="00761442">
        <w:trPr>
          <w:cantSplit/>
        </w:trPr>
        <w:tc>
          <w:tcPr>
            <w:tcW w:w="1871" w:type="dxa"/>
            <w:shd w:val="clear" w:color="auto" w:fill="auto"/>
          </w:tcPr>
          <w:p w14:paraId="776F52C5" w14:textId="77777777" w:rsidR="00D1218E" w:rsidRPr="006305A4" w:rsidDel="008B5692" w:rsidRDefault="00D1218E" w:rsidP="00E2733D">
            <w:pPr>
              <w:pStyle w:val="TableSideHeading"/>
              <w:rPr>
                <w:rtl/>
              </w:rPr>
            </w:pPr>
          </w:p>
        </w:tc>
        <w:tc>
          <w:tcPr>
            <w:tcW w:w="624" w:type="dxa"/>
            <w:shd w:val="clear" w:color="auto" w:fill="auto"/>
          </w:tcPr>
          <w:p w14:paraId="04C74848" w14:textId="77777777" w:rsidR="00D1218E" w:rsidRPr="00E3229D" w:rsidRDefault="00D1218E" w:rsidP="00E2733D">
            <w:pPr>
              <w:pStyle w:val="TableText"/>
              <w:rPr>
                <w:rtl/>
              </w:rPr>
            </w:pPr>
          </w:p>
        </w:tc>
        <w:tc>
          <w:tcPr>
            <w:tcW w:w="7143" w:type="dxa"/>
            <w:gridSpan w:val="2"/>
            <w:shd w:val="clear" w:color="auto" w:fill="auto"/>
          </w:tcPr>
          <w:p w14:paraId="6C2C973E" w14:textId="77777777" w:rsidR="00D1218E" w:rsidRPr="006305A4" w:rsidDel="008B5692" w:rsidRDefault="00D1218E" w:rsidP="00761442">
            <w:pPr>
              <w:pStyle w:val="TableBlock"/>
              <w:rPr>
                <w:rtl/>
              </w:rPr>
            </w:pPr>
            <w:r w:rsidRPr="006305A4">
              <w:rPr>
                <w:rFonts w:hint="cs"/>
                <w:rtl/>
              </w:rPr>
              <w:t>(1)</w:t>
            </w:r>
            <w:r w:rsidRPr="006305A4">
              <w:rPr>
                <w:rtl/>
              </w:rPr>
              <w:tab/>
            </w:r>
            <w:r w:rsidRPr="006305A4">
              <w:rPr>
                <w:rFonts w:hint="cs"/>
                <w:rtl/>
              </w:rPr>
              <w:t>בכותרת השוליים, בסופה יבוא "וקביעת תור לקבלת שירות";</w:t>
            </w:r>
          </w:p>
        </w:tc>
      </w:tr>
      <w:tr w:rsidR="00D1218E" w:rsidRPr="00E3229D" w14:paraId="3C56B66D" w14:textId="77777777" w:rsidTr="00761442">
        <w:trPr>
          <w:cantSplit/>
        </w:trPr>
        <w:tc>
          <w:tcPr>
            <w:tcW w:w="1871" w:type="dxa"/>
            <w:shd w:val="clear" w:color="auto" w:fill="auto"/>
          </w:tcPr>
          <w:p w14:paraId="4439C836" w14:textId="77777777" w:rsidR="00D1218E" w:rsidRPr="006305A4" w:rsidDel="008B5692" w:rsidRDefault="00D1218E" w:rsidP="00E2733D">
            <w:pPr>
              <w:pStyle w:val="TableSideHeading"/>
              <w:rPr>
                <w:rtl/>
              </w:rPr>
            </w:pPr>
          </w:p>
        </w:tc>
        <w:tc>
          <w:tcPr>
            <w:tcW w:w="624" w:type="dxa"/>
            <w:shd w:val="clear" w:color="auto" w:fill="auto"/>
          </w:tcPr>
          <w:p w14:paraId="77C2A092" w14:textId="77777777" w:rsidR="00D1218E" w:rsidRPr="00E3229D" w:rsidRDefault="00D1218E" w:rsidP="00E2733D">
            <w:pPr>
              <w:pStyle w:val="TableText"/>
              <w:rPr>
                <w:rtl/>
              </w:rPr>
            </w:pPr>
          </w:p>
        </w:tc>
        <w:tc>
          <w:tcPr>
            <w:tcW w:w="7143" w:type="dxa"/>
            <w:gridSpan w:val="2"/>
            <w:shd w:val="clear" w:color="auto" w:fill="auto"/>
          </w:tcPr>
          <w:p w14:paraId="009702E5" w14:textId="77777777" w:rsidR="00D1218E" w:rsidRPr="006305A4" w:rsidDel="008B5692" w:rsidRDefault="00D1218E" w:rsidP="00761442">
            <w:pPr>
              <w:pStyle w:val="TableBlock"/>
              <w:rPr>
                <w:rtl/>
              </w:rPr>
            </w:pPr>
            <w:r w:rsidRPr="006305A4">
              <w:rPr>
                <w:rFonts w:hint="cs"/>
                <w:rtl/>
              </w:rPr>
              <w:t>(2)</w:t>
            </w:r>
            <w:r w:rsidRPr="006305A4">
              <w:rPr>
                <w:rtl/>
              </w:rPr>
              <w:tab/>
            </w:r>
            <w:r w:rsidRPr="006305A4">
              <w:rPr>
                <w:rFonts w:hint="cs"/>
                <w:rtl/>
              </w:rPr>
              <w:t>אחרי סעיף קטן (א) יבוא:</w:t>
            </w:r>
          </w:p>
        </w:tc>
      </w:tr>
      <w:tr w:rsidR="00D1218E" w14:paraId="4D981C80" w14:textId="77777777" w:rsidTr="00761442">
        <w:trPr>
          <w:cantSplit/>
        </w:trPr>
        <w:tc>
          <w:tcPr>
            <w:tcW w:w="1871" w:type="dxa"/>
          </w:tcPr>
          <w:p w14:paraId="65A14605" w14:textId="77777777" w:rsidR="00D1218E" w:rsidRDefault="00D1218E" w:rsidP="00E2733D">
            <w:pPr>
              <w:pStyle w:val="TableSideHeading"/>
            </w:pPr>
          </w:p>
        </w:tc>
        <w:tc>
          <w:tcPr>
            <w:tcW w:w="624" w:type="dxa"/>
          </w:tcPr>
          <w:p w14:paraId="77080BA0" w14:textId="77777777" w:rsidR="00D1218E" w:rsidRDefault="00D1218E" w:rsidP="00E2733D">
            <w:pPr>
              <w:pStyle w:val="TableText"/>
            </w:pPr>
          </w:p>
        </w:tc>
        <w:tc>
          <w:tcPr>
            <w:tcW w:w="624" w:type="dxa"/>
          </w:tcPr>
          <w:p w14:paraId="0AB2E2DA" w14:textId="77777777" w:rsidR="00D1218E" w:rsidRDefault="00D1218E" w:rsidP="00E2733D">
            <w:pPr>
              <w:pStyle w:val="TableText"/>
            </w:pPr>
          </w:p>
        </w:tc>
        <w:tc>
          <w:tcPr>
            <w:tcW w:w="6519" w:type="dxa"/>
          </w:tcPr>
          <w:p w14:paraId="0BB58410" w14:textId="77777777" w:rsidR="00D1218E" w:rsidRDefault="00D1218E" w:rsidP="00761442">
            <w:pPr>
              <w:pStyle w:val="TableBlock"/>
            </w:pPr>
            <w:r>
              <w:rPr>
                <w:rFonts w:hint="cs"/>
                <w:rtl/>
              </w:rPr>
              <w:t>"(א1)</w:t>
            </w:r>
            <w:r>
              <w:rPr>
                <w:rtl/>
              </w:rPr>
              <w:tab/>
            </w:r>
            <w:r>
              <w:rPr>
                <w:rFonts w:hint="cs"/>
                <w:rtl/>
              </w:rPr>
              <w:t>גוף ציבורי שנותן שירות לציבור גם באמצעות קבלת קהל יאפשר לכל אדם לקבוע תור לקבלת שירות באמצעות האינטרנט."</w:t>
            </w:r>
          </w:p>
        </w:tc>
      </w:tr>
      <w:tr w:rsidR="00D1218E" w14:paraId="269AB605" w14:textId="77777777" w:rsidTr="00761442">
        <w:trPr>
          <w:cantSplit/>
        </w:trPr>
        <w:tc>
          <w:tcPr>
            <w:tcW w:w="1871" w:type="dxa"/>
          </w:tcPr>
          <w:p w14:paraId="5F8A274D" w14:textId="77777777" w:rsidR="00D1218E" w:rsidRDefault="00D1218E" w:rsidP="00E2733D">
            <w:pPr>
              <w:pStyle w:val="TableSideHeading"/>
            </w:pPr>
            <w:r>
              <w:rPr>
                <w:rFonts w:hint="cs"/>
                <w:rtl/>
              </w:rPr>
              <w:t>תחילה</w:t>
            </w:r>
          </w:p>
        </w:tc>
        <w:tc>
          <w:tcPr>
            <w:tcW w:w="624" w:type="dxa"/>
          </w:tcPr>
          <w:p w14:paraId="521295C7" w14:textId="77777777" w:rsidR="00D1218E" w:rsidRDefault="00D1218E" w:rsidP="00E2733D">
            <w:pPr>
              <w:pStyle w:val="TableText"/>
            </w:pPr>
            <w:r>
              <w:rPr>
                <w:rFonts w:hint="cs"/>
                <w:rtl/>
              </w:rPr>
              <w:t>2.</w:t>
            </w:r>
          </w:p>
        </w:tc>
        <w:tc>
          <w:tcPr>
            <w:tcW w:w="7143" w:type="dxa"/>
            <w:gridSpan w:val="2"/>
          </w:tcPr>
          <w:p w14:paraId="2E08E735" w14:textId="77777777" w:rsidR="00D1218E" w:rsidRDefault="00D1218E" w:rsidP="00761442">
            <w:pPr>
              <w:pStyle w:val="TableBlock"/>
              <w:rPr>
                <w:rtl/>
              </w:rPr>
            </w:pPr>
            <w:r>
              <w:rPr>
                <w:rFonts w:hint="cs"/>
                <w:rtl/>
              </w:rPr>
              <w:t xml:space="preserve">תחילתו של חוק זה ביום תחילתו של החוק העיקרי. </w:t>
            </w:r>
          </w:p>
        </w:tc>
      </w:tr>
    </w:tbl>
    <w:p w14:paraId="7F6961AE" w14:textId="77777777" w:rsidR="00E13C27" w:rsidRPr="00D1218E" w:rsidRDefault="00E13C27" w:rsidP="0021633A">
      <w:pPr>
        <w:pStyle w:val="HeadDivreiHesber"/>
        <w:spacing w:before="0" w:after="0"/>
        <w:rPr>
          <w:rtl/>
        </w:rPr>
      </w:pPr>
    </w:p>
    <w:p w14:paraId="7F6961CA" w14:textId="77777777" w:rsidR="002D1EE3" w:rsidRDefault="002D1EE3" w:rsidP="002D1EE3">
      <w:pPr>
        <w:pStyle w:val="HeadDivreiHesber"/>
        <w:rPr>
          <w:rtl/>
        </w:rPr>
      </w:pPr>
      <w:r w:rsidRPr="0027450A">
        <w:rPr>
          <w:rFonts w:hint="cs"/>
          <w:rtl/>
        </w:rPr>
        <w:t>דברי הסבר</w:t>
      </w:r>
    </w:p>
    <w:p w14:paraId="68534E3B" w14:textId="77777777" w:rsidR="00D1218E" w:rsidRDefault="00D1218E" w:rsidP="00D1218E">
      <w:pPr>
        <w:pStyle w:val="Hesber"/>
        <w:rPr>
          <w:rFonts w:ascii="David" w:eastAsia="Times New Roman" w:hAnsi="David"/>
          <w:sz w:val="26"/>
          <w:bdr w:val="none" w:sz="0" w:space="0" w:color="auto" w:frame="1"/>
          <w:rtl/>
        </w:rPr>
      </w:pPr>
      <w:r>
        <w:rPr>
          <w:bdr w:val="none" w:sz="0" w:space="0" w:color="auto" w:frame="1"/>
          <w:rtl/>
        </w:rPr>
        <w:t>"המהפכה הדיגיטלית" או "מהפכת המידע"</w:t>
      </w:r>
      <w:r w:rsidRPr="006226C6">
        <w:rPr>
          <w:bdr w:val="none" w:sz="0" w:space="0" w:color="auto" w:frame="1"/>
          <w:rtl/>
        </w:rPr>
        <w:t xml:space="preserve"> מעודדת חדשנות במרחב העסקי ותורמת לצמיחה כלכלית, משפרת את איכות ונוחות החיים, מסייעת לייעול עבודת הממשלה ולשדרוג המוצרים הציבוריים וזאת תוך צמצום פערים גיאוגרפיים, חברתיים וכלכליים בחברה.</w:t>
      </w:r>
      <w:r w:rsidRPr="00160B10">
        <w:rPr>
          <w:bdr w:val="none" w:sz="0" w:space="0" w:color="auto" w:frame="1"/>
          <w:rtl/>
        </w:rPr>
        <w:t xml:space="preserve"> </w:t>
      </w:r>
    </w:p>
    <w:p w14:paraId="5EED1642" w14:textId="77777777" w:rsidR="00D1218E" w:rsidRDefault="00D1218E" w:rsidP="00D1218E">
      <w:pPr>
        <w:pStyle w:val="Hesber"/>
        <w:rPr>
          <w:rFonts w:ascii="David" w:eastAsia="Times New Roman" w:hAnsi="David"/>
          <w:color w:val="222222"/>
          <w:sz w:val="26"/>
          <w:rtl/>
        </w:rPr>
      </w:pPr>
      <w:r w:rsidRPr="006226C6">
        <w:rPr>
          <w:bdr w:val="none" w:sz="0" w:space="0" w:color="auto" w:frame="1"/>
          <w:rtl/>
        </w:rPr>
        <w:t xml:space="preserve">מדינות </w:t>
      </w:r>
      <w:r w:rsidRPr="006305A4">
        <w:rPr>
          <w:rtl/>
        </w:rPr>
        <w:t>שונות</w:t>
      </w:r>
      <w:r w:rsidRPr="006226C6">
        <w:rPr>
          <w:bdr w:val="none" w:sz="0" w:space="0" w:color="auto" w:frame="1"/>
          <w:rtl/>
        </w:rPr>
        <w:t xml:space="preserve"> בעולם, כמו דרום קוריאה, בריטניה, אסטוניה, שוודיה, דנמרק ונורבגיה זיהו את הצורך בהובלת רפורמה דיגיטלית לאומית מקיפה שתפעל להטמעת טכנולוגיות חדשניות בכל רבדי החברה והמשק. מדינות אלו נהנות מפריון גבוה יותר, צמיחה מהירה יותר ואיכות חיים טובה יותר לאזרחיהן, בהשוואה למדינות אחרות</w:t>
      </w:r>
      <w:r w:rsidRPr="006226C6">
        <w:rPr>
          <w:rtl/>
        </w:rPr>
        <w:t>. </w:t>
      </w:r>
      <w:r w:rsidRPr="006226C6">
        <w:rPr>
          <w:bdr w:val="none" w:sz="0" w:space="0" w:color="auto" w:frame="1"/>
          <w:rtl/>
        </w:rPr>
        <w:t xml:space="preserve">ישנו פוטנציאל משמעותי בקידום חדשנות </w:t>
      </w:r>
      <w:r>
        <w:rPr>
          <w:rFonts w:hint="cs"/>
          <w:bdr w:val="none" w:sz="0" w:space="0" w:color="auto" w:frame="1"/>
          <w:rtl/>
        </w:rPr>
        <w:t xml:space="preserve">טכנולוגית </w:t>
      </w:r>
      <w:proofErr w:type="spellStart"/>
      <w:r w:rsidRPr="006226C6">
        <w:rPr>
          <w:bdr w:val="none" w:sz="0" w:space="0" w:color="auto" w:frame="1"/>
          <w:rtl/>
        </w:rPr>
        <w:t>שתנגיש</w:t>
      </w:r>
      <w:proofErr w:type="spellEnd"/>
      <w:r w:rsidRPr="006226C6">
        <w:rPr>
          <w:bdr w:val="none" w:sz="0" w:space="0" w:color="auto" w:frame="1"/>
          <w:rtl/>
        </w:rPr>
        <w:t xml:space="preserve"> את השירותים הממשלתיים והשלטון המקומי לכל אזרחי המדינה.</w:t>
      </w:r>
      <w:r w:rsidRPr="00160B10">
        <w:rPr>
          <w:color w:val="222222"/>
          <w:rtl/>
        </w:rPr>
        <w:t xml:space="preserve"> למרות זאת, </w:t>
      </w:r>
      <w:r w:rsidRPr="006226C6">
        <w:rPr>
          <w:bdr w:val="none" w:sz="0" w:space="0" w:color="auto" w:frame="1"/>
          <w:rtl/>
        </w:rPr>
        <w:t>בהשוואה בין-לאומית, מצבה של ישראל בתחום הממשל הדיגיטלי אינו מספק</w:t>
      </w:r>
      <w:r>
        <w:rPr>
          <w:rFonts w:hint="cs"/>
          <w:bdr w:val="none" w:sz="0" w:space="0" w:color="auto" w:frame="1"/>
          <w:rtl/>
        </w:rPr>
        <w:t xml:space="preserve">, ונדרשת הרחבת </w:t>
      </w:r>
      <w:r w:rsidRPr="006226C6">
        <w:rPr>
          <w:bdr w:val="none" w:sz="0" w:space="0" w:color="auto" w:frame="1"/>
          <w:rtl/>
        </w:rPr>
        <w:t>היצע השירותים הממשלתיים המקוונים והגברת השימוש בהם בקרב הציבור, לצד האצת קצב אימוץ הכלים הדיגיטליים בתוך המשרדים הממשלתיים והמשך הפעילות להתרת הסבכים הבירוקרטיים.</w:t>
      </w:r>
      <w:r w:rsidRPr="00160B10">
        <w:rPr>
          <w:color w:val="222222"/>
          <w:rtl/>
        </w:rPr>
        <w:t xml:space="preserve"> </w:t>
      </w:r>
    </w:p>
    <w:p w14:paraId="487BC03C" w14:textId="77777777" w:rsidR="00D1218E" w:rsidRDefault="00D1218E" w:rsidP="00D1218E">
      <w:pPr>
        <w:pStyle w:val="Hesber"/>
        <w:rPr>
          <w:bdr w:val="none" w:sz="0" w:space="0" w:color="auto" w:frame="1"/>
          <w:rtl/>
        </w:rPr>
      </w:pPr>
      <w:r w:rsidRPr="006226C6">
        <w:rPr>
          <w:bdr w:val="none" w:sz="0" w:space="0" w:color="auto" w:frame="1"/>
          <w:rtl/>
        </w:rPr>
        <w:t xml:space="preserve">שימוש </w:t>
      </w:r>
      <w:r w:rsidRPr="006305A4">
        <w:rPr>
          <w:bdr w:val="none" w:sz="0" w:space="0" w:color="auto" w:frame="1"/>
          <w:rtl/>
        </w:rPr>
        <w:t>בכלים</w:t>
      </w:r>
      <w:r w:rsidRPr="006226C6">
        <w:rPr>
          <w:bdr w:val="none" w:sz="0" w:space="0" w:color="auto" w:frame="1"/>
          <w:rtl/>
        </w:rPr>
        <w:t xml:space="preserve"> דיגיטליים לייעול תהליכים במגזר הציבורי מאפשר להפחית את נטל הבירוקרטיה </w:t>
      </w:r>
      <w:r w:rsidRPr="006226C6">
        <w:rPr>
          <w:bdr w:val="none" w:sz="0" w:space="0" w:color="auto" w:frame="1"/>
          <w:rtl/>
        </w:rPr>
        <w:lastRenderedPageBreak/>
        <w:t>הקיים כיום, ליצור מקורות חסכון תקציבי משמעותיים ולהפוך את תהליכי קבלת ההחלטות למבוססי מידע. לצורך כך, חשוב לבצע תהליך רוחבי לגיוס ופיתוח הון אנושי איכותי בקרב המגזר הציבורי.</w:t>
      </w:r>
      <w:r w:rsidRPr="006305A4">
        <w:rPr>
          <w:bdr w:val="none" w:sz="0" w:space="0" w:color="auto" w:frame="1"/>
          <w:rtl/>
        </w:rPr>
        <w:t xml:space="preserve"> </w:t>
      </w:r>
    </w:p>
    <w:p w14:paraId="7F6961CB" w14:textId="14AB5787" w:rsidR="00E13C27" w:rsidRDefault="00D1218E" w:rsidP="00D1218E">
      <w:pPr>
        <w:pStyle w:val="Hesber"/>
        <w:rPr>
          <w:rtl/>
        </w:rPr>
      </w:pPr>
      <w:r>
        <w:rPr>
          <w:rFonts w:hint="cs"/>
          <w:bdr w:val="none" w:sz="0" w:space="0" w:color="auto" w:frame="1"/>
          <w:rtl/>
        </w:rPr>
        <w:t xml:space="preserve">בשנת 2018 חוקקה הכנסת את </w:t>
      </w:r>
      <w:r w:rsidRPr="006305A4">
        <w:rPr>
          <w:bdr w:val="none" w:sz="0" w:space="0" w:color="auto" w:frame="1"/>
          <w:rtl/>
        </w:rPr>
        <w:t xml:space="preserve">חוק פנייה לגופים ציבוריים באמצעי קשר דיגיטליים, </w:t>
      </w:r>
      <w:proofErr w:type="spellStart"/>
      <w:r w:rsidRPr="006305A4">
        <w:rPr>
          <w:bdr w:val="none" w:sz="0" w:space="0" w:color="auto" w:frame="1"/>
          <w:rtl/>
        </w:rPr>
        <w:t>התשע"ח</w:t>
      </w:r>
      <w:proofErr w:type="spellEnd"/>
      <w:r>
        <w:rPr>
          <w:rFonts w:hint="cs"/>
          <w:bdr w:val="none" w:sz="0" w:space="0" w:color="auto" w:frame="1"/>
          <w:rtl/>
        </w:rPr>
        <w:t xml:space="preserve">–2018 (להלן </w:t>
      </w:r>
      <w:r>
        <w:rPr>
          <w:bdr w:val="none" w:sz="0" w:space="0" w:color="auto" w:frame="1"/>
          <w:rtl/>
        </w:rPr>
        <w:t>–</w:t>
      </w:r>
      <w:r>
        <w:rPr>
          <w:rFonts w:hint="cs"/>
          <w:bdr w:val="none" w:sz="0" w:space="0" w:color="auto" w:frame="1"/>
          <w:rtl/>
        </w:rPr>
        <w:t xml:space="preserve"> החוק), החוק מסדיר את אפשרות פניית הציבור לגוף ציבורי  באמצעי קשר דיגיטליים ומוצע כעת להרחיבו ולאפשר לכל אדם לקבוע תור באמצעות האינטרנט בגוף ציבורי שנותן שירות לציבור גם באמצעות קבלת קהל. </w:t>
      </w:r>
      <w:r w:rsidRPr="006305A4">
        <w:rPr>
          <w:bdr w:val="none" w:sz="0" w:space="0" w:color="auto" w:frame="1"/>
          <w:rtl/>
        </w:rPr>
        <w:t xml:space="preserve"> </w:t>
      </w:r>
      <w:r>
        <w:rPr>
          <w:rFonts w:hint="cs"/>
          <w:bdr w:val="none" w:sz="0" w:space="0" w:color="auto" w:frame="1"/>
          <w:rtl/>
        </w:rPr>
        <w:t xml:space="preserve">כך ניתן יהיה גם </w:t>
      </w:r>
      <w:r w:rsidRPr="006305A4">
        <w:rPr>
          <w:bdr w:val="none" w:sz="0" w:space="0" w:color="auto" w:frame="1"/>
          <w:rtl/>
        </w:rPr>
        <w:t xml:space="preserve">לייעל ולהקל על תהליכים </w:t>
      </w:r>
      <w:r>
        <w:rPr>
          <w:rFonts w:hint="cs"/>
          <w:bdr w:val="none" w:sz="0" w:space="0" w:color="auto" w:frame="1"/>
          <w:rtl/>
        </w:rPr>
        <w:t>במגזר הציבורי,</w:t>
      </w:r>
      <w:r w:rsidRPr="006305A4">
        <w:rPr>
          <w:bdr w:val="none" w:sz="0" w:space="0" w:color="auto" w:frame="1"/>
          <w:rtl/>
        </w:rPr>
        <w:t xml:space="preserve"> </w:t>
      </w:r>
      <w:proofErr w:type="spellStart"/>
      <w:r w:rsidRPr="006305A4">
        <w:rPr>
          <w:bdr w:val="none" w:sz="0" w:space="0" w:color="auto" w:frame="1"/>
          <w:rtl/>
        </w:rPr>
        <w:t>להנגיש</w:t>
      </w:r>
      <w:proofErr w:type="spellEnd"/>
      <w:r w:rsidRPr="006305A4">
        <w:rPr>
          <w:bdr w:val="none" w:sz="0" w:space="0" w:color="auto" w:frame="1"/>
          <w:rtl/>
        </w:rPr>
        <w:t xml:space="preserve"> </w:t>
      </w:r>
      <w:r>
        <w:rPr>
          <w:rFonts w:hint="cs"/>
          <w:bdr w:val="none" w:sz="0" w:space="0" w:color="auto" w:frame="1"/>
          <w:rtl/>
        </w:rPr>
        <w:t xml:space="preserve">עוד </w:t>
      </w:r>
      <w:r w:rsidRPr="006305A4">
        <w:rPr>
          <w:bdr w:val="none" w:sz="0" w:space="0" w:color="auto" w:frame="1"/>
          <w:rtl/>
        </w:rPr>
        <w:t>את השירות הציבורי לאזרח ולהגביר את אמון הציבור בגופים הציבוריים המנויים בחוק. </w:t>
      </w:r>
      <w:r w:rsidRPr="006305A4" w:rsidDel="00824F52">
        <w:rPr>
          <w:bdr w:val="none" w:sz="0" w:space="0" w:color="auto" w:frame="1"/>
          <w:rtl/>
        </w:rPr>
        <w:t xml:space="preserve"> </w:t>
      </w:r>
    </w:p>
    <w:p w14:paraId="695C4AB8" w14:textId="1A73E4C6" w:rsidR="00D1218E" w:rsidRDefault="00D1218E" w:rsidP="00761442">
      <w:pPr>
        <w:pStyle w:val="Hesber"/>
        <w:rPr>
          <w:rtl/>
        </w:rPr>
      </w:pPr>
      <w:r>
        <w:rPr>
          <w:rFonts w:hint="cs"/>
          <w:rtl/>
        </w:rPr>
        <w:t xml:space="preserve">הצעת חוק זהה </w:t>
      </w:r>
      <w:r w:rsidR="00761442">
        <w:rPr>
          <w:rFonts w:hint="cs"/>
          <w:rtl/>
        </w:rPr>
        <w:t>הונחה על שולחן ה</w:t>
      </w:r>
      <w:r>
        <w:rPr>
          <w:rFonts w:hint="cs"/>
          <w:rtl/>
        </w:rPr>
        <w:t xml:space="preserve">כנסת העשרים ואחת על ידי חבר הכנסת יזהר שי (פ/169/21). </w:t>
      </w:r>
    </w:p>
    <w:p w14:paraId="6B35D610" w14:textId="77777777" w:rsidR="009B1694" w:rsidRDefault="009B1694" w:rsidP="00761442">
      <w:pPr>
        <w:pStyle w:val="Hesber"/>
        <w:rPr>
          <w:rtl/>
        </w:rPr>
      </w:pPr>
    </w:p>
    <w:p w14:paraId="4A1E97E6" w14:textId="77777777" w:rsidR="009B1694" w:rsidRPr="00D73212" w:rsidRDefault="009B1694" w:rsidP="009B1694">
      <w:pPr>
        <w:pStyle w:val="Hesber"/>
        <w:rPr>
          <w:rtl/>
        </w:rPr>
      </w:pPr>
      <w:r w:rsidRPr="00D73212">
        <w:rPr>
          <w:rtl/>
        </w:rPr>
        <w:t>---------------------------------</w:t>
      </w:r>
    </w:p>
    <w:p w14:paraId="12B63204" w14:textId="77777777" w:rsidR="009B1694" w:rsidRPr="00D73212" w:rsidRDefault="009B1694" w:rsidP="009B1694">
      <w:pPr>
        <w:pStyle w:val="Hesber"/>
        <w:rPr>
          <w:rtl/>
        </w:rPr>
      </w:pPr>
      <w:r w:rsidRPr="00D73212">
        <w:rPr>
          <w:rFonts w:hint="cs"/>
          <w:rtl/>
        </w:rPr>
        <w:t>הוגשה</w:t>
      </w:r>
      <w:r w:rsidRPr="00D73212">
        <w:rPr>
          <w:rtl/>
        </w:rPr>
        <w:t xml:space="preserve"> </w:t>
      </w:r>
      <w:r w:rsidRPr="00D73212">
        <w:rPr>
          <w:rFonts w:hint="cs"/>
          <w:rtl/>
        </w:rPr>
        <w:t>ליו</w:t>
      </w:r>
      <w:r w:rsidRPr="00D73212">
        <w:rPr>
          <w:rtl/>
        </w:rPr>
        <w:t>"</w:t>
      </w:r>
      <w:r w:rsidRPr="00D73212">
        <w:rPr>
          <w:rFonts w:hint="cs"/>
          <w:rtl/>
        </w:rPr>
        <w:t>ר</w:t>
      </w:r>
      <w:r w:rsidRPr="00D73212">
        <w:rPr>
          <w:rtl/>
        </w:rPr>
        <w:t xml:space="preserve"> </w:t>
      </w:r>
      <w:r w:rsidRPr="00D73212">
        <w:rPr>
          <w:rFonts w:hint="cs"/>
          <w:rtl/>
        </w:rPr>
        <w:t>הכנסת</w:t>
      </w:r>
      <w:r w:rsidRPr="00D73212">
        <w:rPr>
          <w:rtl/>
        </w:rPr>
        <w:t xml:space="preserve"> </w:t>
      </w:r>
      <w:r w:rsidRPr="00D73212">
        <w:rPr>
          <w:rFonts w:hint="cs"/>
          <w:rtl/>
        </w:rPr>
        <w:t>והסגנים</w:t>
      </w:r>
    </w:p>
    <w:p w14:paraId="72A986A9" w14:textId="77777777" w:rsidR="009B1694" w:rsidRPr="00D73212" w:rsidRDefault="009B1694" w:rsidP="009B1694">
      <w:pPr>
        <w:pStyle w:val="Hesber"/>
        <w:rPr>
          <w:rtl/>
        </w:rPr>
      </w:pPr>
      <w:r w:rsidRPr="00D73212">
        <w:rPr>
          <w:rFonts w:hint="cs"/>
          <w:rtl/>
        </w:rPr>
        <w:t>והונחה</w:t>
      </w:r>
      <w:r w:rsidRPr="00D73212">
        <w:rPr>
          <w:rtl/>
        </w:rPr>
        <w:t xml:space="preserve"> </w:t>
      </w:r>
      <w:r w:rsidRPr="00D73212">
        <w:rPr>
          <w:rFonts w:hint="cs"/>
          <w:rtl/>
        </w:rPr>
        <w:t>על</w:t>
      </w:r>
      <w:r w:rsidRPr="00D73212">
        <w:rPr>
          <w:rtl/>
        </w:rPr>
        <w:t xml:space="preserve"> </w:t>
      </w:r>
      <w:r w:rsidRPr="00D73212">
        <w:rPr>
          <w:rFonts w:hint="cs"/>
          <w:rtl/>
        </w:rPr>
        <w:t>שולחן</w:t>
      </w:r>
      <w:r w:rsidRPr="00D73212">
        <w:rPr>
          <w:rtl/>
        </w:rPr>
        <w:t xml:space="preserve"> </w:t>
      </w:r>
      <w:r w:rsidRPr="00D73212">
        <w:rPr>
          <w:rFonts w:hint="cs"/>
          <w:rtl/>
        </w:rPr>
        <w:t>הכנסת</w:t>
      </w:r>
      <w:r w:rsidRPr="00D73212">
        <w:rPr>
          <w:rtl/>
        </w:rPr>
        <w:t xml:space="preserve"> </w:t>
      </w:r>
      <w:r w:rsidRPr="00D73212">
        <w:rPr>
          <w:rFonts w:hint="cs"/>
          <w:rtl/>
        </w:rPr>
        <w:t>ביום</w:t>
      </w:r>
    </w:p>
    <w:p w14:paraId="6C9FFEF9" w14:textId="77777777" w:rsidR="009B1694" w:rsidRPr="00317312" w:rsidRDefault="009B1694" w:rsidP="009B1694">
      <w:pPr>
        <w:pStyle w:val="Hesber"/>
      </w:pPr>
      <w:r>
        <w:rPr>
          <w:rFonts w:hint="cs"/>
          <w:rtl/>
        </w:rPr>
        <w:t>ו' בחשוון</w:t>
      </w:r>
      <w:r w:rsidRPr="00D73212">
        <w:rPr>
          <w:rtl/>
        </w:rPr>
        <w:t xml:space="preserve"> </w:t>
      </w:r>
      <w:proofErr w:type="spellStart"/>
      <w:r>
        <w:rPr>
          <w:rFonts w:hint="cs"/>
          <w:rtl/>
        </w:rPr>
        <w:t>התש"ף</w:t>
      </w:r>
      <w:proofErr w:type="spellEnd"/>
      <w:r>
        <w:rPr>
          <w:rFonts w:hint="cs"/>
          <w:rtl/>
        </w:rPr>
        <w:t xml:space="preserve"> </w:t>
      </w:r>
      <w:r w:rsidRPr="00D73212">
        <w:rPr>
          <w:rtl/>
        </w:rPr>
        <w:t>–</w:t>
      </w:r>
      <w:r>
        <w:rPr>
          <w:rFonts w:hint="cs"/>
          <w:rtl/>
        </w:rPr>
        <w:t xml:space="preserve"> 4.11</w:t>
      </w:r>
      <w:r w:rsidRPr="00D73212">
        <w:rPr>
          <w:rtl/>
        </w:rPr>
        <w:t>.</w:t>
      </w:r>
      <w:r>
        <w:rPr>
          <w:rFonts w:hint="cs"/>
          <w:rtl/>
        </w:rPr>
        <w:t xml:space="preserve">19  </w:t>
      </w:r>
    </w:p>
    <w:p w14:paraId="0B620320" w14:textId="77777777" w:rsidR="009B1694" w:rsidRDefault="009B1694" w:rsidP="00761442">
      <w:pPr>
        <w:pStyle w:val="Hesber"/>
        <w:rPr>
          <w:rtl/>
        </w:rPr>
      </w:pPr>
      <w:bookmarkStart w:id="8" w:name="_GoBack"/>
      <w:bookmarkEnd w:id="8"/>
    </w:p>
    <w:sectPr w:rsidR="009B1694" w:rsidSect="00761442">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9B1694">
      <w:rPr>
        <w:rStyle w:val="aa"/>
        <w:noProof/>
        <w:rtl/>
      </w:rPr>
      <w:t>2</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sidP="00761442">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1845A886" w14:textId="77777777" w:rsidR="00D1218E" w:rsidRDefault="00D1218E" w:rsidP="00D1218E">
      <w:pPr>
        <w:pStyle w:val="a4"/>
      </w:pPr>
      <w:r>
        <w:rPr>
          <w:rStyle w:val="a5"/>
        </w:rPr>
        <w:footnoteRef/>
      </w:r>
      <w:r>
        <w:rPr>
          <w:rtl/>
        </w:rPr>
        <w:t xml:space="preserve"> </w:t>
      </w:r>
      <w:r>
        <w:rPr>
          <w:rFonts w:hint="cs"/>
          <w:rtl/>
        </w:rPr>
        <w:t xml:space="preserve">ס"ח </w:t>
      </w:r>
      <w:proofErr w:type="spellStart"/>
      <w:r>
        <w:rPr>
          <w:rFonts w:hint="cs"/>
          <w:rtl/>
        </w:rPr>
        <w:t>התשע"ח</w:t>
      </w:r>
      <w:proofErr w:type="spellEnd"/>
      <w:r>
        <w:rPr>
          <w:rFonts w:hint="cs"/>
          <w:rtl/>
        </w:rPr>
        <w:t>, עמ' 902.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1"/>
  </w:num>
  <w:num w:numId="14">
    <w:abstractNumId w:val="16"/>
  </w:num>
  <w:num w:numId="15">
    <w:abstractNumId w:val="13"/>
  </w:num>
  <w:num w:numId="16">
    <w:abstractNumId w:val="13"/>
    <w:lvlOverride w:ilvl="0">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C1D0D"/>
    <w:rsid w:val="0070601E"/>
    <w:rsid w:val="00712C72"/>
    <w:rsid w:val="00735FE9"/>
    <w:rsid w:val="00761442"/>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B1694"/>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F1AA2"/>
    <w:rsid w:val="00D1218E"/>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 w:val="00FF187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963D38C8-B422-4E9B-8A7B-86C317DB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1442"/>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761442"/>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761442"/>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761442"/>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761442"/>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761442"/>
    <w:pPr>
      <w:spacing w:line="259" w:lineRule="auto"/>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761442"/>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761442"/>
    <w:rPr>
      <w:sz w:val="36"/>
      <w:szCs w:val="52"/>
    </w:rPr>
  </w:style>
  <w:style w:type="paragraph" w:customStyle="1" w:styleId="Cover3-Haknesset">
    <w:name w:val="Cover 3-Haknesset"/>
    <w:basedOn w:val="Cover1-Reshumot"/>
    <w:rsid w:val="00761442"/>
    <w:rPr>
      <w:b/>
      <w:bCs/>
      <w:spacing w:val="60"/>
    </w:rPr>
  </w:style>
  <w:style w:type="paragraph" w:customStyle="1" w:styleId="Cover4-Date">
    <w:name w:val="Cover 4-Date"/>
    <w:basedOn w:val="a"/>
    <w:rsid w:val="00761442"/>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761442"/>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761442"/>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761442"/>
    <w:pPr>
      <w:spacing w:before="120" w:after="120"/>
    </w:pPr>
    <w:rPr>
      <w:color w:val="FF0000"/>
      <w:w w:val="80"/>
    </w:rPr>
  </w:style>
  <w:style w:type="paragraph" w:styleId="a3">
    <w:name w:val="endnote text"/>
    <w:basedOn w:val="a"/>
    <w:semiHidden/>
    <w:rsid w:val="00761442"/>
    <w:pPr>
      <w:ind w:left="227" w:hanging="227"/>
    </w:pPr>
    <w:rPr>
      <w:sz w:val="14"/>
      <w:szCs w:val="22"/>
    </w:rPr>
  </w:style>
  <w:style w:type="paragraph" w:customStyle="1" w:styleId="TableText">
    <w:name w:val="Table Text"/>
    <w:basedOn w:val="a"/>
    <w:rsid w:val="00761442"/>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761442"/>
    <w:pPr>
      <w:outlineLvl w:val="2"/>
    </w:pPr>
  </w:style>
  <w:style w:type="paragraph" w:customStyle="1" w:styleId="TableBlock">
    <w:name w:val="Table Block"/>
    <w:basedOn w:val="TableText"/>
    <w:rsid w:val="00761442"/>
    <w:pPr>
      <w:jc w:val="both"/>
    </w:pPr>
  </w:style>
  <w:style w:type="paragraph" w:customStyle="1" w:styleId="TableHead">
    <w:name w:val="Table Head"/>
    <w:basedOn w:val="TableText"/>
    <w:rsid w:val="00761442"/>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761442"/>
    <w:pPr>
      <w:outlineLvl w:val="9"/>
    </w:pPr>
  </w:style>
  <w:style w:type="paragraph" w:customStyle="1" w:styleId="Hesber">
    <w:name w:val="Hesber"/>
    <w:basedOn w:val="a"/>
    <w:rsid w:val="00761442"/>
    <w:pPr>
      <w:snapToGrid w:val="0"/>
      <w:ind w:left="0" w:firstLine="340"/>
    </w:pPr>
    <w:rPr>
      <w:rFonts w:ascii="Arial" w:eastAsia="Arial Unicode MS" w:hAnsi="Arial"/>
      <w:snapToGrid w:val="0"/>
      <w:sz w:val="20"/>
      <w:szCs w:val="26"/>
    </w:rPr>
  </w:style>
  <w:style w:type="paragraph" w:styleId="a4">
    <w:name w:val="footnote text"/>
    <w:basedOn w:val="a"/>
    <w:autoRedefine/>
    <w:semiHidden/>
    <w:rsid w:val="00761442"/>
    <w:pPr>
      <w:snapToGrid w:val="0"/>
      <w:spacing w:line="240" w:lineRule="auto"/>
      <w:ind w:left="0"/>
      <w:jc w:val="left"/>
    </w:pPr>
    <w:rPr>
      <w:rFonts w:ascii="Arial" w:eastAsia="Arial Unicode MS" w:hAnsi="Arial"/>
      <w:snapToGrid w:val="0"/>
      <w:sz w:val="14"/>
      <w:szCs w:val="20"/>
    </w:rPr>
  </w:style>
  <w:style w:type="character" w:styleId="a5">
    <w:name w:val="footnote reference"/>
    <w:aliases w:val="Footnote Reference"/>
    <w:basedOn w:val="a0"/>
    <w:semiHidden/>
    <w:rsid w:val="00761442"/>
    <w:rPr>
      <w:vertAlign w:val="superscript"/>
    </w:rPr>
  </w:style>
  <w:style w:type="paragraph" w:customStyle="1" w:styleId="HesberHeading">
    <w:name w:val="Hesber Heading"/>
    <w:basedOn w:val="Hesber"/>
    <w:rsid w:val="00761442"/>
    <w:pPr>
      <w:tabs>
        <w:tab w:val="left" w:pos="624"/>
        <w:tab w:val="left" w:pos="1247"/>
      </w:tabs>
    </w:pPr>
    <w:rPr>
      <w:b/>
      <w:bCs/>
    </w:rPr>
  </w:style>
  <w:style w:type="paragraph" w:customStyle="1" w:styleId="HesberWriters">
    <w:name w:val="Hesber Writers"/>
    <w:basedOn w:val="Hesber"/>
    <w:rsid w:val="00761442"/>
    <w:pPr>
      <w:spacing w:before="120" w:after="120"/>
      <w:ind w:left="1418"/>
      <w:jc w:val="right"/>
    </w:pPr>
    <w:rPr>
      <w:b/>
      <w:bCs/>
    </w:rPr>
  </w:style>
  <w:style w:type="paragraph" w:customStyle="1" w:styleId="Hesber1st">
    <w:name w:val="Hesber 1st"/>
    <w:basedOn w:val="Hesber"/>
    <w:rsid w:val="00761442"/>
    <w:pPr>
      <w:tabs>
        <w:tab w:val="left" w:pos="680"/>
        <w:tab w:val="left" w:pos="1020"/>
      </w:tabs>
      <w:ind w:firstLine="0"/>
    </w:pPr>
  </w:style>
  <w:style w:type="character" w:styleId="a6">
    <w:name w:val="endnote reference"/>
    <w:basedOn w:val="a0"/>
    <w:semiHidden/>
    <w:rsid w:val="00761442"/>
    <w:rPr>
      <w:vertAlign w:val="superscript"/>
    </w:rPr>
  </w:style>
  <w:style w:type="paragraph" w:customStyle="1" w:styleId="TableBlockOutdent">
    <w:name w:val="Table BlockOutdent"/>
    <w:basedOn w:val="TableBlock"/>
    <w:rsid w:val="00761442"/>
    <w:pPr>
      <w:ind w:left="624" w:hanging="624"/>
    </w:pPr>
  </w:style>
  <w:style w:type="paragraph" w:styleId="a7">
    <w:name w:val="header"/>
    <w:basedOn w:val="a"/>
    <w:rsid w:val="00761442"/>
    <w:pPr>
      <w:tabs>
        <w:tab w:val="center" w:pos="4153"/>
        <w:tab w:val="right" w:pos="8306"/>
      </w:tabs>
    </w:pPr>
  </w:style>
  <w:style w:type="paragraph" w:styleId="a8">
    <w:name w:val="footer"/>
    <w:basedOn w:val="a"/>
    <w:rsid w:val="00761442"/>
    <w:pPr>
      <w:tabs>
        <w:tab w:val="center" w:pos="4153"/>
        <w:tab w:val="right" w:pos="8306"/>
      </w:tabs>
    </w:pPr>
  </w:style>
  <w:style w:type="paragraph" w:customStyle="1" w:styleId="HeadDivreiHesber">
    <w:name w:val="Head DivreiHesber"/>
    <w:basedOn w:val="a"/>
    <w:rsid w:val="00761442"/>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761442"/>
    <w:pPr>
      <w:snapToGrid w:val="0"/>
      <w:jc w:val="left"/>
    </w:pPr>
    <w:rPr>
      <w:rFonts w:ascii="Arial" w:eastAsia="Arial Unicode MS" w:hAnsi="Arial"/>
      <w:snapToGrid w:val="0"/>
      <w:sz w:val="20"/>
      <w:szCs w:val="26"/>
    </w:rPr>
  </w:style>
  <w:style w:type="paragraph" w:styleId="a9">
    <w:name w:val="Title"/>
    <w:basedOn w:val="a"/>
    <w:qFormat/>
    <w:rsid w:val="00943386"/>
    <w:pPr>
      <w:jc w:val="center"/>
    </w:pPr>
    <w:rPr>
      <w:b/>
      <w:bCs/>
      <w:sz w:val="28"/>
      <w:szCs w:val="28"/>
      <w:u w:val="single"/>
    </w:rPr>
  </w:style>
  <w:style w:type="character" w:styleId="aa">
    <w:name w:val="page number"/>
    <w:basedOn w:val="a0"/>
    <w:rsid w:val="00761442"/>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b">
    <w:name w:val="Balloon Text"/>
    <w:basedOn w:val="a"/>
    <w:link w:val="ac"/>
    <w:semiHidden/>
    <w:unhideWhenUsed/>
    <w:rsid w:val="00325C14"/>
    <w:pPr>
      <w:spacing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 w:type="character" w:customStyle="1" w:styleId="10">
    <w:name w:val="כותרת 1 תו"/>
    <w:basedOn w:val="a0"/>
    <w:link w:val="1"/>
    <w:uiPriority w:val="9"/>
    <w:rsid w:val="00761442"/>
    <w:rPr>
      <w:rFonts w:asciiTheme="majorHAnsi" w:eastAsiaTheme="majorEastAsia" w:hAnsiTheme="majorHAnsi" w:cs="David"/>
      <w:bCs/>
      <w:sz w:val="32"/>
      <w:szCs w:val="36"/>
    </w:rPr>
  </w:style>
  <w:style w:type="character" w:customStyle="1" w:styleId="20">
    <w:name w:val="כותרת 2 תו"/>
    <w:basedOn w:val="a0"/>
    <w:link w:val="2"/>
    <w:rsid w:val="00761442"/>
    <w:rPr>
      <w:rFonts w:asciiTheme="majorHAnsi" w:eastAsiaTheme="majorEastAsia" w:hAnsiTheme="majorHAnsi" w:cs="David"/>
      <w:bCs/>
      <w:sz w:val="26"/>
      <w:szCs w:val="36"/>
      <w:u w:val="single"/>
    </w:rPr>
  </w:style>
  <w:style w:type="character" w:customStyle="1" w:styleId="30">
    <w:name w:val="כותרת 3 תו"/>
    <w:basedOn w:val="a0"/>
    <w:link w:val="3"/>
    <w:rsid w:val="00761442"/>
    <w:rPr>
      <w:rFonts w:asciiTheme="majorHAnsi" w:eastAsiaTheme="majorEastAsia" w:hAnsiTheme="majorHAnsi" w:cs="David"/>
      <w:sz w:val="24"/>
      <w:szCs w:val="28"/>
      <w:u w:val="double"/>
    </w:rPr>
  </w:style>
  <w:style w:type="character" w:customStyle="1" w:styleId="40">
    <w:name w:val="כותרת 4 תו"/>
    <w:basedOn w:val="a0"/>
    <w:link w:val="4"/>
    <w:uiPriority w:val="9"/>
    <w:rsid w:val="00761442"/>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761442"/>
    <w:rPr>
      <w:rFonts w:ascii="David" w:eastAsiaTheme="minorHAnsi" w:hAnsi="David" w:cs="David"/>
      <w:color w:val="000000" w:themeColor="text1"/>
      <w:sz w:val="24"/>
      <w:szCs w:val="24"/>
    </w:rPr>
  </w:style>
  <w:style w:type="paragraph" w:styleId="ad">
    <w:name w:val="TOC Heading"/>
    <w:basedOn w:val="1"/>
    <w:next w:val="a"/>
    <w:uiPriority w:val="39"/>
    <w:unhideWhenUsed/>
    <w:qFormat/>
    <w:rsid w:val="00761442"/>
    <w:pPr>
      <w:widowControl/>
      <w:spacing w:before="120" w:after="120"/>
      <w:outlineLvl w:val="9"/>
    </w:pPr>
    <w:rPr>
      <w:rtl/>
      <w:cs/>
    </w:rPr>
  </w:style>
  <w:style w:type="paragraph" w:styleId="TOC1">
    <w:name w:val="toc 1"/>
    <w:basedOn w:val="a"/>
    <w:next w:val="a"/>
    <w:autoRedefine/>
    <w:uiPriority w:val="39"/>
    <w:unhideWhenUsed/>
    <w:rsid w:val="00761442"/>
    <w:pPr>
      <w:tabs>
        <w:tab w:val="right" w:leader="dot" w:pos="9629"/>
      </w:tabs>
      <w:spacing w:after="100"/>
    </w:pPr>
    <w:rPr>
      <w:bCs/>
      <w:szCs w:val="22"/>
    </w:rPr>
  </w:style>
  <w:style w:type="paragraph" w:styleId="TOC2">
    <w:name w:val="toc 2"/>
    <w:basedOn w:val="a"/>
    <w:next w:val="a"/>
    <w:uiPriority w:val="39"/>
    <w:unhideWhenUsed/>
    <w:rsid w:val="00761442"/>
    <w:pPr>
      <w:tabs>
        <w:tab w:val="right" w:leader="dot" w:pos="9628"/>
      </w:tabs>
      <w:spacing w:after="100"/>
    </w:pPr>
    <w:rPr>
      <w:szCs w:val="22"/>
    </w:rPr>
  </w:style>
  <w:style w:type="character" w:styleId="Hyperlink">
    <w:name w:val="Hyperlink"/>
    <w:basedOn w:val="a0"/>
    <w:uiPriority w:val="99"/>
    <w:unhideWhenUsed/>
    <w:rsid w:val="00761442"/>
    <w:rPr>
      <w:color w:val="0000FF" w:themeColor="hyperlink"/>
      <w:u w:val="single"/>
    </w:rPr>
  </w:style>
  <w:style w:type="paragraph" w:styleId="TOC3">
    <w:name w:val="toc 3"/>
    <w:basedOn w:val="a"/>
    <w:next w:val="a"/>
    <w:uiPriority w:val="39"/>
    <w:unhideWhenUsed/>
    <w:rsid w:val="00761442"/>
    <w:pPr>
      <w:numPr>
        <w:numId w:val="21"/>
      </w:numPr>
      <w:tabs>
        <w:tab w:val="right" w:leader="dot" w:pos="9629"/>
      </w:tabs>
      <w:spacing w:after="100"/>
      <w:ind w:left="811" w:hanging="357"/>
    </w:pPr>
    <w:rPr>
      <w:szCs w:val="22"/>
    </w:rPr>
  </w:style>
  <w:style w:type="paragraph" w:styleId="TOC4">
    <w:name w:val="toc 4"/>
    <w:basedOn w:val="a"/>
    <w:next w:val="a"/>
    <w:autoRedefine/>
    <w:unhideWhenUsed/>
    <w:qFormat/>
    <w:rsid w:val="00761442"/>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761442"/>
    <w:pPr>
      <w:tabs>
        <w:tab w:val="right" w:leader="dot" w:pos="9628"/>
      </w:tabs>
      <w:spacing w:after="100"/>
      <w:ind w:left="567"/>
    </w:pPr>
    <w:rPr>
      <w:szCs w:val="22"/>
    </w:rPr>
  </w:style>
  <w:style w:type="paragraph" w:styleId="TOC6">
    <w:name w:val="toc 6"/>
    <w:basedOn w:val="a"/>
    <w:next w:val="a"/>
    <w:autoRedefine/>
    <w:semiHidden/>
    <w:unhideWhenUsed/>
    <w:rsid w:val="00761442"/>
    <w:pPr>
      <w:spacing w:after="100"/>
      <w:ind w:left="850"/>
    </w:pPr>
  </w:style>
  <w:style w:type="paragraph" w:styleId="TOC7">
    <w:name w:val="toc 7"/>
    <w:basedOn w:val="a"/>
    <w:next w:val="a"/>
    <w:autoRedefine/>
    <w:semiHidden/>
    <w:unhideWhenUsed/>
    <w:rsid w:val="00761442"/>
    <w:pPr>
      <w:spacing w:after="100"/>
      <w:ind w:left="1020"/>
    </w:pPr>
  </w:style>
  <w:style w:type="paragraph" w:styleId="TOC8">
    <w:name w:val="toc 8"/>
    <w:basedOn w:val="a"/>
    <w:next w:val="a"/>
    <w:autoRedefine/>
    <w:semiHidden/>
    <w:unhideWhenUsed/>
    <w:rsid w:val="00761442"/>
    <w:pPr>
      <w:spacing w:after="100"/>
      <w:ind w:left="1190"/>
    </w:pPr>
  </w:style>
  <w:style w:type="paragraph" w:styleId="TOC9">
    <w:name w:val="toc 9"/>
    <w:basedOn w:val="a"/>
    <w:next w:val="a"/>
    <w:autoRedefine/>
    <w:semiHidden/>
    <w:unhideWhenUsed/>
    <w:rsid w:val="00761442"/>
    <w:pPr>
      <w:spacing w:after="100"/>
      <w:ind w:left="1360"/>
    </w:pPr>
  </w:style>
  <w:style w:type="paragraph" w:customStyle="1" w:styleId="TableHead2">
    <w:name w:val="Table Head2"/>
    <w:basedOn w:val="TableHead"/>
    <w:qFormat/>
    <w:rsid w:val="00761442"/>
    <w:pPr>
      <w:outlineLvl w:val="9"/>
    </w:pPr>
  </w:style>
  <w:style w:type="paragraph" w:customStyle="1" w:styleId="TableSideHeading2">
    <w:name w:val="Table SideHeading2"/>
    <w:basedOn w:val="TableSideHeading"/>
    <w:autoRedefine/>
    <w:qFormat/>
    <w:rsid w:val="00761442"/>
    <w:pPr>
      <w:keepLines w:val="0"/>
      <w:outlineLvl w:val="9"/>
    </w:pPr>
  </w:style>
  <w:style w:type="paragraph" w:customStyle="1" w:styleId="0">
    <w:name w:val="סגנון שורה ראשונה:  0  ס''מ"/>
    <w:basedOn w:val="2"/>
    <w:rsid w:val="00761442"/>
    <w:rPr>
      <w:rFonts w:eastAsia="Times New Roman"/>
    </w:rPr>
  </w:style>
  <w:style w:type="paragraph" w:styleId="ae">
    <w:name w:val="List Paragraph"/>
    <w:basedOn w:val="a"/>
    <w:uiPriority w:val="34"/>
    <w:qFormat/>
    <w:rsid w:val="00761442"/>
    <w:pPr>
      <w:widowControl/>
      <w:spacing w:line="259" w:lineRule="auto"/>
    </w:pPr>
    <w:rPr>
      <w:rFonts w:asciiTheme="minorHAnsi" w:hAnsiTheme="minorHAnsi"/>
      <w:sz w:val="22"/>
    </w:rPr>
  </w:style>
  <w:style w:type="table" w:styleId="af">
    <w:name w:val="Table Grid"/>
    <w:basedOn w:val="a1"/>
    <w:rsid w:val="00761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76144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76144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0">
    <w:name w:val="טבלת חקיקה"/>
    <w:basedOn w:val="a1"/>
    <w:uiPriority w:val="99"/>
    <w:rsid w:val="00761442"/>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761442"/>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3A50981437779E428456932B2A638612" ma:contentTypeVersion="" ma:contentTypeDescription="צור מסמך חדש." ma:contentTypeScope="" ma:versionID="2df30a1b375d11bf545563b3a0868245">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AFE3-9455-419C-8851-785A55F4451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7766B763-55DE-4BEF-8BAC-924B1CC32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D07BADC-D14A-413F-932E-73CE3308E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356</Words>
  <Characters>2034</Characters>
  <Application>Microsoft Office Word</Application>
  <DocSecurity>0</DocSecurity>
  <Lines>16</Lines>
  <Paragraphs>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רשומות</vt:lpstr>
      <vt:lpstr>רשומות</vt:lpstr>
    </vt:vector>
  </TitlesOfParts>
  <Company>Knesset</Company>
  <LinksUpToDate>false</LinksUpToDate>
  <CharactersWithSpaces>2386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אילת וולברג</cp:lastModifiedBy>
  <cp:revision>7</cp:revision>
  <cp:lastPrinted>2013-07-04T08:25:00Z</cp:lastPrinted>
  <dcterms:created xsi:type="dcterms:W3CDTF">2015-04-20T09:58:00Z</dcterms:created>
  <dcterms:modified xsi:type="dcterms:W3CDTF">2019-10-29T11:38:00Z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0x0101003A50981437779E428456932B2A638612</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2081335</vt:r8>
  </property>
</Properties>
</file>