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2081290</w:t>
      </w:r>
      <w:bookmarkEnd w:id="0"/>
    </w:p>
    <w:p w14:paraId="7F6961A2" w14:textId="3A3314D3" w:rsidR="00E13C27" w:rsidRPr="00DB7060" w:rsidRDefault="00E13C27" w:rsidP="00A443CF">
      <w:pPr>
        <w:pStyle w:val="HeadHatzaotHok"/>
        <w:rPr>
          <w:sz w:val="28"/>
          <w:szCs w:val="28"/>
          <w:rtl/>
        </w:rPr>
      </w:pPr>
      <w:bookmarkStart w:id="1" w:name="LGS_Knesset_Num"/>
      <w:bookmarkStart w:id="2" w:name="_GoBack"/>
      <w:bookmarkEnd w:id="2"/>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יוזמת:</w:t>
      </w:r>
      <w:r>
        <w:tab/>
      </w:r>
      <w:r>
        <w:rPr>
          <w:b/>
          <w:bCs/>
          <w:rtl/>
        </w:rPr>
        <w:t xml:space="preserve">      חברת הכנסת</w:t>
      </w:r>
      <w:bookmarkEnd w:id="3"/>
      <w:r w:rsidR="00B35784" w:rsidRPr="00F67051">
        <w:rPr>
          <w:b/>
          <w:bCs/>
        </w:rPr>
        <w:tab/>
      </w:r>
      <w:bookmarkStart w:id="4" w:name="LGS_PM_Names"/>
      <w:r>
        <w:rPr>
          <w:rFonts w:hint="cs"/>
          <w:b/>
          <w:bCs/>
          <w:rtl/>
        </w:rPr>
        <w:t>אורלי פרומן</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______________________________________________</w:t>
      </w:r>
      <w:r>
        <w:br/>
      </w:r>
      <w:r>
        <w:rPr>
          <w:rtl/>
        </w:rPr>
        <w:t>מצטרפים: חברי הכנסת</w:t>
      </w:r>
      <w:bookmarkEnd w:id="5"/>
      <w:r w:rsidR="002200A1" w:rsidRPr="00CF1AA2">
        <w:rPr>
          <w:rFonts w:hint="cs"/>
          <w:rtl/>
        </w:rPr>
        <w:tab/>
      </w:r>
      <w:bookmarkStart w:id="6" w:name="LGS_PM_NamesJoin"/>
      <w:r>
        <w:rPr>
          <w:rFonts w:hint="cs"/>
          <w:rtl/>
        </w:rPr>
        <w:t xml:space="preserve">איתן </w:t>
      </w:r>
      <w:proofErr w:type="spellStart"/>
      <w:r>
        <w:rPr>
          <w:rFonts w:hint="cs"/>
          <w:rtl/>
        </w:rPr>
        <w:t>גינזבורג</w:t>
      </w:r>
      <w:proofErr w:type="spellEnd"/>
      <w:r>
        <w:br/>
      </w:r>
      <w:r>
        <w:rPr>
          <w:rFonts w:hint="cs"/>
          <w:rtl/>
        </w:rPr>
        <w:t xml:space="preserve"> </w:t>
      </w:r>
      <w:r>
        <w:tab/>
      </w:r>
      <w:r>
        <w:tab/>
      </w:r>
      <w:r>
        <w:tab/>
      </w:r>
      <w:r>
        <w:tab/>
      </w:r>
      <w:r>
        <w:rPr>
          <w:rFonts w:hint="cs"/>
          <w:rtl/>
        </w:rPr>
        <w:t>יעל גרמן</w:t>
      </w:r>
      <w:r>
        <w:br/>
      </w:r>
      <w:r>
        <w:rPr>
          <w:rFonts w:hint="cs"/>
          <w:rtl/>
        </w:rPr>
        <w:t xml:space="preserve"> </w:t>
      </w:r>
      <w:r>
        <w:tab/>
      </w:r>
      <w:r>
        <w:tab/>
      </w:r>
      <w:r>
        <w:tab/>
      </w:r>
      <w:r>
        <w:tab/>
      </w:r>
      <w:r>
        <w:rPr>
          <w:rFonts w:hint="cs"/>
          <w:rtl/>
        </w:rPr>
        <w:t>פנינה תמנו</w:t>
      </w:r>
      <w:r>
        <w:br/>
      </w:r>
      <w:r>
        <w:rPr>
          <w:rFonts w:hint="cs"/>
          <w:rtl/>
        </w:rPr>
        <w:t xml:space="preserve"> </w:t>
      </w:r>
      <w:r>
        <w:tab/>
      </w:r>
      <w:r>
        <w:tab/>
      </w:r>
      <w:r>
        <w:tab/>
      </w:r>
      <w:r>
        <w:tab/>
      </w:r>
      <w:r>
        <w:rPr>
          <w:rFonts w:hint="cs"/>
          <w:rtl/>
        </w:rPr>
        <w:t xml:space="preserve">חילי </w:t>
      </w:r>
      <w:proofErr w:type="spellStart"/>
      <w:r>
        <w:rPr>
          <w:rFonts w:hint="cs"/>
          <w:rtl/>
        </w:rPr>
        <w:t>טרופר</w:t>
      </w:r>
      <w:proofErr w:type="spellEnd"/>
      <w:r>
        <w:br/>
      </w:r>
      <w:r>
        <w:rPr>
          <w:rFonts w:hint="cs"/>
          <w:rtl/>
        </w:rPr>
        <w:t xml:space="preserve"> </w:t>
      </w:r>
      <w:r>
        <w:tab/>
      </w:r>
      <w:r>
        <w:tab/>
      </w:r>
      <w:r>
        <w:tab/>
      </w:r>
      <w:r>
        <w:tab/>
      </w:r>
      <w:proofErr w:type="spellStart"/>
      <w:r>
        <w:rPr>
          <w:rFonts w:hint="cs"/>
          <w:rtl/>
        </w:rPr>
        <w:t>דסטה</w:t>
      </w:r>
      <w:proofErr w:type="spellEnd"/>
      <w:r>
        <w:rPr>
          <w:rFonts w:hint="cs"/>
          <w:rtl/>
        </w:rPr>
        <w:t xml:space="preserve"> גדי </w:t>
      </w:r>
      <w:proofErr w:type="spellStart"/>
      <w:r>
        <w:rPr>
          <w:rFonts w:hint="cs"/>
          <w:rtl/>
        </w:rPr>
        <w:t>יברקן</w:t>
      </w:r>
      <w:proofErr w:type="spellEnd"/>
      <w:r>
        <w:br/>
      </w:r>
      <w:r>
        <w:rPr>
          <w:rFonts w:hint="cs"/>
          <w:rtl/>
        </w:rPr>
        <w:t xml:space="preserve"> </w:t>
      </w:r>
      <w:r>
        <w:tab/>
      </w:r>
      <w:r>
        <w:tab/>
      </w:r>
      <w:r>
        <w:tab/>
      </w:r>
      <w:r>
        <w:tab/>
      </w:r>
      <w:r>
        <w:rPr>
          <w:rFonts w:hint="cs"/>
          <w:rtl/>
        </w:rPr>
        <w:t>רם שפע</w:t>
      </w:r>
      <w:r>
        <w:br/>
      </w:r>
      <w:r>
        <w:rPr>
          <w:rFonts w:hint="cs"/>
          <w:rtl/>
        </w:rPr>
        <w:t xml:space="preserve"> </w:t>
      </w:r>
      <w:r>
        <w:tab/>
      </w:r>
      <w:r>
        <w:tab/>
      </w:r>
      <w:r>
        <w:tab/>
      </w:r>
      <w:r>
        <w:tab/>
      </w:r>
      <w:r>
        <w:rPr>
          <w:rFonts w:hint="cs"/>
          <w:rtl/>
        </w:rPr>
        <w:t xml:space="preserve">יואב </w:t>
      </w:r>
      <w:proofErr w:type="spellStart"/>
      <w:r>
        <w:rPr>
          <w:rFonts w:hint="cs"/>
          <w:rtl/>
        </w:rPr>
        <w:t>סגלוביץ</w:t>
      </w:r>
      <w:proofErr w:type="spellEnd"/>
      <w:r>
        <w:rPr>
          <w:rFonts w:hint="cs"/>
          <w:rtl/>
        </w:rPr>
        <w:t>'</w:t>
      </w:r>
      <w:r>
        <w:br/>
      </w:r>
      <w:r>
        <w:rPr>
          <w:rFonts w:hint="cs"/>
          <w:rtl/>
        </w:rPr>
        <w:t xml:space="preserve"> </w:t>
      </w:r>
      <w:r>
        <w:tab/>
      </w:r>
      <w:r>
        <w:tab/>
      </w:r>
      <w:r>
        <w:tab/>
      </w:r>
      <w:r>
        <w:tab/>
      </w:r>
      <w:r>
        <w:rPr>
          <w:rFonts w:hint="cs"/>
          <w:rtl/>
        </w:rPr>
        <w:t xml:space="preserve">אלון </w:t>
      </w:r>
      <w:proofErr w:type="spellStart"/>
      <w:r>
        <w:rPr>
          <w:rFonts w:hint="cs"/>
          <w:rtl/>
        </w:rPr>
        <w:t>שוסטר</w:t>
      </w:r>
      <w:proofErr w:type="spellEnd"/>
      <w:r>
        <w:br/>
      </w:r>
      <w:r>
        <w:rPr>
          <w:rFonts w:hint="cs"/>
          <w:rtl/>
        </w:rPr>
        <w:t xml:space="preserve"> </w:t>
      </w:r>
      <w:r>
        <w:tab/>
      </w:r>
      <w:r>
        <w:tab/>
      </w:r>
      <w:r>
        <w:tab/>
      </w:r>
      <w:r>
        <w:tab/>
      </w:r>
      <w:r>
        <w:rPr>
          <w:rFonts w:hint="cs"/>
          <w:rtl/>
        </w:rPr>
        <w:t xml:space="preserve">עומר </w:t>
      </w:r>
      <w:proofErr w:type="spellStart"/>
      <w:r>
        <w:rPr>
          <w:rFonts w:hint="cs"/>
          <w:rtl/>
        </w:rPr>
        <w:t>ינקלביץ</w:t>
      </w:r>
      <w:proofErr w:type="spellEnd"/>
      <w:r>
        <w:rPr>
          <w:rFonts w:hint="cs"/>
          <w:rtl/>
        </w:rPr>
        <w:t>'</w:t>
      </w:r>
      <w:r>
        <w:br/>
      </w:r>
      <w:r>
        <w:rPr>
          <w:rFonts w:hint="cs"/>
          <w:rtl/>
        </w:rPr>
        <w:t xml:space="preserve"> </w:t>
      </w:r>
      <w:r>
        <w:tab/>
      </w:r>
      <w:r>
        <w:tab/>
      </w:r>
      <w:r>
        <w:tab/>
      </w:r>
      <w:r>
        <w:tab/>
      </w:r>
      <w:r>
        <w:rPr>
          <w:rFonts w:hint="cs"/>
          <w:rtl/>
        </w:rPr>
        <w:t xml:space="preserve">יואל </w:t>
      </w:r>
      <w:proofErr w:type="spellStart"/>
      <w:r>
        <w:rPr>
          <w:rFonts w:hint="cs"/>
          <w:rtl/>
        </w:rPr>
        <w:t>רזבוזוב</w:t>
      </w:r>
      <w:bookmarkEnd w:id="6"/>
      <w:proofErr w:type="spellEnd"/>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3C1243A8" w:rsidR="00E13C27" w:rsidRDefault="00904591" w:rsidP="00206617">
      <w:pPr>
        <w:pStyle w:val="David"/>
        <w:spacing w:before="0" w:line="240" w:lineRule="auto"/>
        <w:ind w:left="3544"/>
        <w:rPr>
          <w:rtl/>
        </w:rPr>
      </w:pPr>
      <w:r>
        <w:t xml:space="preserve">                                            </w:t>
      </w:r>
      <w:r w:rsidR="008F1308">
        <w:t xml:space="preserve"> </w:t>
      </w:r>
      <w:bookmarkStart w:id="7" w:name="Private_Number"/>
      <w:r>
        <w:rPr>
          <w:rFonts w:hint="cs"/>
          <w:rtl/>
        </w:rPr>
        <w:t>פ/42/22</w:t>
      </w:r>
      <w:bookmarkEnd w:id="7"/>
    </w:p>
    <w:p w14:paraId="757E6B49" w14:textId="5783D515" w:rsidR="00BF75CE" w:rsidRDefault="00B919BF" w:rsidP="00074A04">
      <w:pPr>
        <w:pStyle w:val="HeadHatzaotHok"/>
        <w:rPr>
          <w:rtl/>
        </w:rPr>
      </w:pPr>
      <w:bookmarkStart w:id="8" w:name="LGS_Subject"/>
      <w:r>
        <w:rPr>
          <w:rFonts w:hint="cs"/>
          <w:rtl/>
        </w:rPr>
        <w:t xml:space="preserve">הצעת חוק לימוד חובה (תיקון </w:t>
      </w:r>
      <w:r w:rsidR="00074A04">
        <w:rPr>
          <w:rFonts w:hint="eastAsia"/>
          <w:rtl/>
        </w:rPr>
        <w:t>–</w:t>
      </w:r>
      <w:r>
        <w:rPr>
          <w:rFonts w:hint="cs"/>
          <w:rtl/>
        </w:rPr>
        <w:t xml:space="preserve"> חינוך חינם לפעוטות ולילדים), </w:t>
      </w:r>
      <w:proofErr w:type="spellStart"/>
      <w:r>
        <w:rPr>
          <w:rFonts w:hint="cs"/>
          <w:rtl/>
        </w:rPr>
        <w:t>התש"ף</w:t>
      </w:r>
      <w:proofErr w:type="spellEnd"/>
      <w:r w:rsidR="00074A04">
        <w:rPr>
          <w:rFonts w:hint="eastAsia"/>
          <w:rtl/>
        </w:rPr>
        <w:t>–</w:t>
      </w:r>
      <w:r>
        <w:rPr>
          <w:rFonts w:hint="cs"/>
          <w:rtl/>
        </w:rPr>
        <w:t>2019</w:t>
      </w:r>
      <w:bookmarkEnd w:id="8"/>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2"/>
        <w:gridCol w:w="624"/>
        <w:gridCol w:w="7142"/>
      </w:tblGrid>
      <w:tr w:rsidR="00132E3A" w14:paraId="12A1FB1C" w14:textId="77777777" w:rsidTr="00132E3A">
        <w:trPr>
          <w:cantSplit/>
        </w:trPr>
        <w:tc>
          <w:tcPr>
            <w:tcW w:w="1872" w:type="dxa"/>
            <w:tcBorders>
              <w:top w:val="nil"/>
              <w:left w:val="nil"/>
              <w:bottom w:val="nil"/>
              <w:right w:val="nil"/>
            </w:tcBorders>
          </w:tcPr>
          <w:p w14:paraId="15A1C94B" w14:textId="77777777" w:rsidR="00132E3A" w:rsidRPr="00E106A6" w:rsidRDefault="00132E3A" w:rsidP="001F3350">
            <w:pPr>
              <w:pStyle w:val="TableSideHeading"/>
            </w:pPr>
            <w:r w:rsidRPr="00E106A6">
              <w:rPr>
                <w:rtl/>
              </w:rPr>
              <w:t>תיקון סעיף 1</w:t>
            </w:r>
          </w:p>
        </w:tc>
        <w:tc>
          <w:tcPr>
            <w:tcW w:w="624" w:type="dxa"/>
            <w:tcBorders>
              <w:top w:val="nil"/>
              <w:left w:val="nil"/>
              <w:bottom w:val="nil"/>
              <w:right w:val="nil"/>
            </w:tcBorders>
          </w:tcPr>
          <w:p w14:paraId="7AB40C59" w14:textId="77777777" w:rsidR="00132E3A" w:rsidRPr="00E106A6" w:rsidRDefault="00132E3A" w:rsidP="001F3350">
            <w:pPr>
              <w:pStyle w:val="TableText"/>
              <w:jc w:val="both"/>
            </w:pPr>
            <w:r w:rsidRPr="00E106A6">
              <w:rPr>
                <w:rFonts w:hint="cs"/>
                <w:rtl/>
              </w:rPr>
              <w:t>1.</w:t>
            </w:r>
          </w:p>
        </w:tc>
        <w:tc>
          <w:tcPr>
            <w:tcW w:w="7142" w:type="dxa"/>
            <w:tcBorders>
              <w:top w:val="nil"/>
              <w:left w:val="nil"/>
              <w:bottom w:val="nil"/>
              <w:right w:val="nil"/>
            </w:tcBorders>
          </w:tcPr>
          <w:p w14:paraId="684AA4D2" w14:textId="77777777" w:rsidR="00132E3A" w:rsidRPr="00E106A6" w:rsidRDefault="00132E3A" w:rsidP="001F3350">
            <w:pPr>
              <w:pStyle w:val="TableBlock"/>
            </w:pPr>
            <w:r w:rsidRPr="00E106A6">
              <w:rPr>
                <w:rtl/>
              </w:rPr>
              <w:t xml:space="preserve">בחוק לימוד חובה, </w:t>
            </w:r>
            <w:proofErr w:type="spellStart"/>
            <w:r w:rsidRPr="00E106A6">
              <w:rPr>
                <w:rtl/>
              </w:rPr>
              <w:t>התש"ט</w:t>
            </w:r>
            <w:proofErr w:type="spellEnd"/>
            <w:r w:rsidRPr="00E106A6">
              <w:rPr>
                <w:rtl/>
              </w:rPr>
              <w:t>–1949</w:t>
            </w:r>
            <w:r w:rsidRPr="00870D0C">
              <w:rPr>
                <w:rFonts w:ascii="David" w:hAnsi="David"/>
                <w:sz w:val="26"/>
                <w:vertAlign w:val="superscript"/>
              </w:rPr>
              <w:footnoteReference w:id="2"/>
            </w:r>
            <w:r w:rsidRPr="00E106A6">
              <w:t xml:space="preserve"> </w:t>
            </w:r>
            <w:r w:rsidRPr="00E106A6">
              <w:rPr>
                <w:rtl/>
              </w:rPr>
              <w:t>(להלן – החוק העיקרי), בסעיף 1 –</w:t>
            </w:r>
          </w:p>
        </w:tc>
      </w:tr>
      <w:tr w:rsidR="00132E3A" w14:paraId="26A6E5E8" w14:textId="77777777" w:rsidTr="00132E3A">
        <w:trPr>
          <w:cantSplit/>
        </w:trPr>
        <w:tc>
          <w:tcPr>
            <w:tcW w:w="1872" w:type="dxa"/>
            <w:tcBorders>
              <w:top w:val="nil"/>
              <w:left w:val="nil"/>
              <w:bottom w:val="nil"/>
              <w:right w:val="nil"/>
            </w:tcBorders>
          </w:tcPr>
          <w:p w14:paraId="6B2B2D72" w14:textId="77777777" w:rsidR="00132E3A" w:rsidRPr="00E106A6" w:rsidRDefault="00132E3A" w:rsidP="001F3350">
            <w:pPr>
              <w:pStyle w:val="TableSideHeading"/>
            </w:pPr>
          </w:p>
        </w:tc>
        <w:tc>
          <w:tcPr>
            <w:tcW w:w="624" w:type="dxa"/>
            <w:tcBorders>
              <w:top w:val="nil"/>
              <w:left w:val="nil"/>
              <w:bottom w:val="nil"/>
              <w:right w:val="nil"/>
            </w:tcBorders>
          </w:tcPr>
          <w:p w14:paraId="727B6B2B" w14:textId="77777777" w:rsidR="00132E3A" w:rsidRPr="00E106A6" w:rsidRDefault="00132E3A" w:rsidP="001F3350">
            <w:pPr>
              <w:pStyle w:val="TableText"/>
              <w:jc w:val="both"/>
            </w:pPr>
          </w:p>
        </w:tc>
        <w:tc>
          <w:tcPr>
            <w:tcW w:w="7142" w:type="dxa"/>
            <w:tcBorders>
              <w:top w:val="nil"/>
              <w:left w:val="nil"/>
              <w:bottom w:val="nil"/>
              <w:right w:val="nil"/>
            </w:tcBorders>
          </w:tcPr>
          <w:p w14:paraId="03CB3B19" w14:textId="77777777" w:rsidR="00132E3A" w:rsidRPr="00E106A6" w:rsidRDefault="00132E3A" w:rsidP="001F3350">
            <w:pPr>
              <w:pStyle w:val="TableBlock"/>
            </w:pPr>
            <w:r w:rsidRPr="00E106A6">
              <w:rPr>
                <w:rtl/>
              </w:rPr>
              <w:t>(1)</w:t>
            </w:r>
            <w:r w:rsidRPr="00E106A6">
              <w:rPr>
                <w:rtl/>
              </w:rPr>
              <w:tab/>
              <w:t>אחרי ההגדרה "רשות חינוך מקומית" יבוא:</w:t>
            </w:r>
          </w:p>
        </w:tc>
      </w:tr>
      <w:tr w:rsidR="00132E3A" w14:paraId="3526A8CB" w14:textId="77777777" w:rsidTr="00132E3A">
        <w:trPr>
          <w:cantSplit/>
        </w:trPr>
        <w:tc>
          <w:tcPr>
            <w:tcW w:w="1872" w:type="dxa"/>
            <w:tcBorders>
              <w:top w:val="nil"/>
              <w:left w:val="nil"/>
              <w:bottom w:val="nil"/>
              <w:right w:val="nil"/>
            </w:tcBorders>
          </w:tcPr>
          <w:p w14:paraId="6BCEB51E" w14:textId="77777777" w:rsidR="00132E3A" w:rsidRPr="00E106A6" w:rsidRDefault="00132E3A" w:rsidP="001F3350">
            <w:pPr>
              <w:pStyle w:val="TableSideHeading"/>
            </w:pPr>
          </w:p>
        </w:tc>
        <w:tc>
          <w:tcPr>
            <w:tcW w:w="624" w:type="dxa"/>
            <w:tcBorders>
              <w:top w:val="nil"/>
              <w:left w:val="nil"/>
              <w:bottom w:val="nil"/>
              <w:right w:val="nil"/>
            </w:tcBorders>
          </w:tcPr>
          <w:p w14:paraId="740736CF" w14:textId="77777777" w:rsidR="00132E3A" w:rsidRPr="00E106A6" w:rsidRDefault="00132E3A" w:rsidP="001F3350">
            <w:pPr>
              <w:pStyle w:val="TableText"/>
              <w:jc w:val="both"/>
            </w:pPr>
          </w:p>
        </w:tc>
        <w:tc>
          <w:tcPr>
            <w:tcW w:w="7142" w:type="dxa"/>
            <w:tcBorders>
              <w:top w:val="nil"/>
              <w:left w:val="nil"/>
              <w:bottom w:val="nil"/>
              <w:right w:val="nil"/>
            </w:tcBorders>
          </w:tcPr>
          <w:p w14:paraId="53CE873A" w14:textId="77777777" w:rsidR="00132E3A" w:rsidRPr="00175D0A" w:rsidRDefault="00132E3A" w:rsidP="00175D0A">
            <w:pPr>
              <w:pStyle w:val="TableBlockOutdent"/>
            </w:pPr>
            <w:bookmarkStart w:id="9" w:name="_3dy6vkm" w:colFirst="0" w:colLast="0"/>
            <w:bookmarkEnd w:id="9"/>
            <w:r w:rsidRPr="00175D0A">
              <w:rPr>
                <w:rtl/>
              </w:rPr>
              <w:t>""פעוט" – אדם שבראשית שנת הלימודים היה באחד הגילים משלושה חודשים עד שלוש שנים;";</w:t>
            </w:r>
          </w:p>
        </w:tc>
      </w:tr>
      <w:tr w:rsidR="00132E3A" w14:paraId="1B1971E9" w14:textId="77777777" w:rsidTr="00132E3A">
        <w:trPr>
          <w:cantSplit/>
        </w:trPr>
        <w:tc>
          <w:tcPr>
            <w:tcW w:w="1872" w:type="dxa"/>
            <w:tcBorders>
              <w:top w:val="nil"/>
              <w:left w:val="nil"/>
              <w:bottom w:val="nil"/>
              <w:right w:val="nil"/>
            </w:tcBorders>
          </w:tcPr>
          <w:p w14:paraId="27263CBA" w14:textId="77777777" w:rsidR="00132E3A" w:rsidRPr="00E106A6" w:rsidRDefault="00132E3A" w:rsidP="001F3350">
            <w:pPr>
              <w:pStyle w:val="TableSideHeading"/>
            </w:pPr>
          </w:p>
        </w:tc>
        <w:tc>
          <w:tcPr>
            <w:tcW w:w="624" w:type="dxa"/>
            <w:tcBorders>
              <w:top w:val="nil"/>
              <w:left w:val="nil"/>
              <w:bottom w:val="nil"/>
              <w:right w:val="nil"/>
            </w:tcBorders>
          </w:tcPr>
          <w:p w14:paraId="00F48244" w14:textId="77777777" w:rsidR="00132E3A" w:rsidRPr="00E106A6" w:rsidRDefault="00132E3A" w:rsidP="001F3350">
            <w:pPr>
              <w:pStyle w:val="TableText"/>
              <w:jc w:val="both"/>
            </w:pPr>
          </w:p>
        </w:tc>
        <w:tc>
          <w:tcPr>
            <w:tcW w:w="7142" w:type="dxa"/>
            <w:tcBorders>
              <w:top w:val="nil"/>
              <w:left w:val="nil"/>
              <w:bottom w:val="nil"/>
              <w:right w:val="nil"/>
            </w:tcBorders>
          </w:tcPr>
          <w:p w14:paraId="3F362440" w14:textId="77777777" w:rsidR="00132E3A" w:rsidRPr="00E106A6" w:rsidRDefault="00132E3A" w:rsidP="001F3350">
            <w:pPr>
              <w:pStyle w:val="TableBlock"/>
            </w:pPr>
            <w:r w:rsidRPr="00E106A6">
              <w:rPr>
                <w:rtl/>
              </w:rPr>
              <w:t>(2)</w:t>
            </w:r>
            <w:r w:rsidRPr="00E106A6">
              <w:rPr>
                <w:rtl/>
              </w:rPr>
              <w:tab/>
              <w:t>בהגדרה "הורים", במקום "של ילד או של נער" יבוא "של פעוט, של ילד או של נער", במקום "של הילד או של הנער" יבוא "של הפעוט, של הילד או של הנער", ובמקום "שהילד או הנער" יבוא "שהפעוט, הילד או הנער;";</w:t>
            </w:r>
          </w:p>
        </w:tc>
      </w:tr>
      <w:tr w:rsidR="00132E3A" w14:paraId="32DAC81D" w14:textId="77777777" w:rsidTr="00132E3A">
        <w:trPr>
          <w:cantSplit/>
        </w:trPr>
        <w:tc>
          <w:tcPr>
            <w:tcW w:w="1872" w:type="dxa"/>
            <w:tcBorders>
              <w:top w:val="nil"/>
              <w:left w:val="nil"/>
              <w:bottom w:val="nil"/>
              <w:right w:val="nil"/>
            </w:tcBorders>
          </w:tcPr>
          <w:p w14:paraId="3A33C199" w14:textId="77777777" w:rsidR="00132E3A" w:rsidRPr="00E106A6" w:rsidRDefault="00132E3A" w:rsidP="001F3350">
            <w:pPr>
              <w:pStyle w:val="TableSideHeading"/>
            </w:pPr>
          </w:p>
        </w:tc>
        <w:tc>
          <w:tcPr>
            <w:tcW w:w="624" w:type="dxa"/>
            <w:tcBorders>
              <w:top w:val="nil"/>
              <w:left w:val="nil"/>
              <w:bottom w:val="nil"/>
              <w:right w:val="nil"/>
            </w:tcBorders>
          </w:tcPr>
          <w:p w14:paraId="6E96EF22" w14:textId="77777777" w:rsidR="00132E3A" w:rsidRPr="00E106A6" w:rsidRDefault="00132E3A" w:rsidP="001F3350">
            <w:pPr>
              <w:pStyle w:val="TableText"/>
              <w:jc w:val="both"/>
            </w:pPr>
          </w:p>
        </w:tc>
        <w:tc>
          <w:tcPr>
            <w:tcW w:w="7142" w:type="dxa"/>
            <w:tcBorders>
              <w:top w:val="nil"/>
              <w:left w:val="nil"/>
              <w:bottom w:val="nil"/>
              <w:right w:val="nil"/>
            </w:tcBorders>
          </w:tcPr>
          <w:p w14:paraId="2F60E26A" w14:textId="77777777" w:rsidR="00132E3A" w:rsidRPr="00E106A6" w:rsidRDefault="00132E3A" w:rsidP="001F3350">
            <w:pPr>
              <w:pStyle w:val="TableBlock"/>
            </w:pPr>
            <w:r w:rsidRPr="00E106A6">
              <w:rPr>
                <w:rtl/>
              </w:rPr>
              <w:t>(3)</w:t>
            </w:r>
            <w:r w:rsidRPr="00E106A6">
              <w:rPr>
                <w:rtl/>
              </w:rPr>
              <w:tab/>
              <w:t>בהגדרה "מוסד חינוך", אחרי "ללימוד שיטתי" יבוא "לפעוטות,".</w:t>
            </w:r>
          </w:p>
        </w:tc>
      </w:tr>
      <w:tr w:rsidR="00132E3A" w14:paraId="157B4440" w14:textId="77777777" w:rsidTr="00132E3A">
        <w:trPr>
          <w:cantSplit/>
        </w:trPr>
        <w:tc>
          <w:tcPr>
            <w:tcW w:w="1872" w:type="dxa"/>
            <w:tcBorders>
              <w:top w:val="nil"/>
              <w:left w:val="nil"/>
              <w:bottom w:val="nil"/>
              <w:right w:val="nil"/>
            </w:tcBorders>
          </w:tcPr>
          <w:p w14:paraId="0E3BBE94" w14:textId="77777777" w:rsidR="00132E3A" w:rsidRPr="00E106A6" w:rsidRDefault="00132E3A" w:rsidP="001F3350">
            <w:pPr>
              <w:pStyle w:val="TableSideHeading"/>
            </w:pPr>
            <w:r w:rsidRPr="00E106A6">
              <w:rPr>
                <w:rtl/>
              </w:rPr>
              <w:t>תיקון סעיף 6</w:t>
            </w:r>
          </w:p>
        </w:tc>
        <w:tc>
          <w:tcPr>
            <w:tcW w:w="624" w:type="dxa"/>
            <w:tcBorders>
              <w:top w:val="nil"/>
              <w:left w:val="nil"/>
              <w:bottom w:val="nil"/>
              <w:right w:val="nil"/>
            </w:tcBorders>
          </w:tcPr>
          <w:p w14:paraId="250AF687" w14:textId="77777777" w:rsidR="00132E3A" w:rsidRPr="00E106A6" w:rsidRDefault="00132E3A" w:rsidP="001F3350">
            <w:pPr>
              <w:pStyle w:val="TableText"/>
              <w:jc w:val="both"/>
            </w:pPr>
            <w:r w:rsidRPr="00E106A6">
              <w:rPr>
                <w:rFonts w:hint="cs"/>
                <w:rtl/>
              </w:rPr>
              <w:t>2.</w:t>
            </w:r>
          </w:p>
        </w:tc>
        <w:tc>
          <w:tcPr>
            <w:tcW w:w="7142" w:type="dxa"/>
            <w:tcBorders>
              <w:top w:val="nil"/>
              <w:left w:val="nil"/>
              <w:bottom w:val="nil"/>
              <w:right w:val="nil"/>
            </w:tcBorders>
          </w:tcPr>
          <w:p w14:paraId="30A06CD0" w14:textId="77777777" w:rsidR="00132E3A" w:rsidRPr="00E106A6" w:rsidRDefault="00132E3A" w:rsidP="001F3350">
            <w:pPr>
              <w:pStyle w:val="TableBlock"/>
            </w:pPr>
            <w:r w:rsidRPr="00E106A6">
              <w:rPr>
                <w:rtl/>
              </w:rPr>
              <w:t>בסעיף  6(א)(1) לחוק העיקרי, לפני "מי שחל עליו" יבוא "פעוט או".</w:t>
            </w:r>
          </w:p>
        </w:tc>
      </w:tr>
      <w:tr w:rsidR="00132E3A" w14:paraId="45851CCF" w14:textId="77777777" w:rsidTr="00132E3A">
        <w:trPr>
          <w:cantSplit/>
        </w:trPr>
        <w:tc>
          <w:tcPr>
            <w:tcW w:w="1872" w:type="dxa"/>
            <w:tcBorders>
              <w:top w:val="nil"/>
              <w:left w:val="nil"/>
              <w:bottom w:val="nil"/>
              <w:right w:val="nil"/>
            </w:tcBorders>
          </w:tcPr>
          <w:p w14:paraId="34F6192D" w14:textId="77777777" w:rsidR="00132E3A" w:rsidRPr="00E106A6" w:rsidRDefault="00132E3A" w:rsidP="001F3350">
            <w:pPr>
              <w:pStyle w:val="TableSideHeading"/>
            </w:pPr>
            <w:r w:rsidRPr="00E106A6">
              <w:rPr>
                <w:rtl/>
              </w:rPr>
              <w:t>תיקון סעיף 7</w:t>
            </w:r>
          </w:p>
        </w:tc>
        <w:tc>
          <w:tcPr>
            <w:tcW w:w="624" w:type="dxa"/>
            <w:tcBorders>
              <w:top w:val="nil"/>
              <w:left w:val="nil"/>
              <w:bottom w:val="nil"/>
              <w:right w:val="nil"/>
            </w:tcBorders>
          </w:tcPr>
          <w:p w14:paraId="6030A997" w14:textId="77777777" w:rsidR="00132E3A" w:rsidRPr="00E106A6" w:rsidRDefault="00132E3A" w:rsidP="001F3350">
            <w:pPr>
              <w:pStyle w:val="TableText"/>
              <w:jc w:val="both"/>
            </w:pPr>
            <w:r w:rsidRPr="00E106A6">
              <w:rPr>
                <w:rFonts w:hint="cs"/>
                <w:rtl/>
              </w:rPr>
              <w:t>3.</w:t>
            </w:r>
          </w:p>
        </w:tc>
        <w:tc>
          <w:tcPr>
            <w:tcW w:w="7142" w:type="dxa"/>
            <w:tcBorders>
              <w:top w:val="nil"/>
              <w:left w:val="nil"/>
              <w:bottom w:val="nil"/>
              <w:right w:val="nil"/>
            </w:tcBorders>
          </w:tcPr>
          <w:p w14:paraId="45E6E251" w14:textId="77777777" w:rsidR="00132E3A" w:rsidRPr="00E106A6" w:rsidRDefault="00132E3A" w:rsidP="001F3350">
            <w:pPr>
              <w:pStyle w:val="TableBlock"/>
            </w:pPr>
            <w:r w:rsidRPr="00E106A6">
              <w:rPr>
                <w:rtl/>
              </w:rPr>
              <w:t>בסעיף 7 לחוק העיקרי, בכל מקום, אחרי "לילדים ולנערים" יבוא "או חינוך חינם לפעוטות".</w:t>
            </w:r>
          </w:p>
        </w:tc>
      </w:tr>
      <w:tr w:rsidR="00132E3A" w14:paraId="4356EA85" w14:textId="77777777" w:rsidTr="00132E3A">
        <w:trPr>
          <w:cantSplit/>
        </w:trPr>
        <w:tc>
          <w:tcPr>
            <w:tcW w:w="1872" w:type="dxa"/>
            <w:tcBorders>
              <w:top w:val="nil"/>
              <w:left w:val="nil"/>
              <w:bottom w:val="nil"/>
              <w:right w:val="nil"/>
            </w:tcBorders>
          </w:tcPr>
          <w:p w14:paraId="1EAF13CF" w14:textId="77777777" w:rsidR="00132E3A" w:rsidRPr="00E106A6" w:rsidRDefault="00132E3A" w:rsidP="001F3350">
            <w:pPr>
              <w:pStyle w:val="TableSideHeading"/>
            </w:pPr>
            <w:r w:rsidRPr="00E106A6">
              <w:rPr>
                <w:rtl/>
              </w:rPr>
              <w:t>תיקון סעיף 7א</w:t>
            </w:r>
          </w:p>
        </w:tc>
        <w:tc>
          <w:tcPr>
            <w:tcW w:w="624" w:type="dxa"/>
            <w:tcBorders>
              <w:top w:val="nil"/>
              <w:left w:val="nil"/>
              <w:bottom w:val="nil"/>
              <w:right w:val="nil"/>
            </w:tcBorders>
          </w:tcPr>
          <w:p w14:paraId="3D97A12D" w14:textId="77777777" w:rsidR="00132E3A" w:rsidRPr="00E106A6" w:rsidRDefault="00132E3A" w:rsidP="001F3350">
            <w:pPr>
              <w:pStyle w:val="TableText"/>
              <w:jc w:val="both"/>
            </w:pPr>
            <w:r w:rsidRPr="00E106A6">
              <w:rPr>
                <w:rFonts w:hint="cs"/>
                <w:rtl/>
              </w:rPr>
              <w:t>4.</w:t>
            </w:r>
          </w:p>
        </w:tc>
        <w:tc>
          <w:tcPr>
            <w:tcW w:w="7142" w:type="dxa"/>
            <w:tcBorders>
              <w:top w:val="nil"/>
              <w:left w:val="nil"/>
              <w:bottom w:val="nil"/>
              <w:right w:val="nil"/>
            </w:tcBorders>
          </w:tcPr>
          <w:p w14:paraId="7D0EFEEE" w14:textId="77777777" w:rsidR="00132E3A" w:rsidRPr="00E106A6" w:rsidRDefault="00132E3A" w:rsidP="001F3350">
            <w:pPr>
              <w:pStyle w:val="TableBlock"/>
            </w:pPr>
            <w:r w:rsidRPr="00E106A6">
              <w:rPr>
                <w:rtl/>
              </w:rPr>
              <w:t>בסעיף 7א לחוק העיקרי –</w:t>
            </w:r>
          </w:p>
        </w:tc>
      </w:tr>
      <w:tr w:rsidR="00132E3A" w14:paraId="532A8382" w14:textId="77777777" w:rsidTr="00132E3A">
        <w:trPr>
          <w:cantSplit/>
        </w:trPr>
        <w:tc>
          <w:tcPr>
            <w:tcW w:w="1872" w:type="dxa"/>
            <w:tcBorders>
              <w:top w:val="nil"/>
              <w:left w:val="nil"/>
              <w:bottom w:val="nil"/>
              <w:right w:val="nil"/>
            </w:tcBorders>
          </w:tcPr>
          <w:p w14:paraId="786FC61B" w14:textId="77777777" w:rsidR="00132E3A" w:rsidRPr="00E106A6" w:rsidRDefault="00132E3A" w:rsidP="001F3350">
            <w:pPr>
              <w:pStyle w:val="TableSideHeading"/>
            </w:pPr>
          </w:p>
        </w:tc>
        <w:tc>
          <w:tcPr>
            <w:tcW w:w="624" w:type="dxa"/>
            <w:tcBorders>
              <w:top w:val="nil"/>
              <w:left w:val="nil"/>
              <w:bottom w:val="nil"/>
              <w:right w:val="nil"/>
            </w:tcBorders>
          </w:tcPr>
          <w:p w14:paraId="730FF92F" w14:textId="77777777" w:rsidR="00132E3A" w:rsidRPr="00E106A6" w:rsidRDefault="00132E3A" w:rsidP="001F3350">
            <w:pPr>
              <w:pStyle w:val="TableText"/>
              <w:jc w:val="both"/>
            </w:pPr>
          </w:p>
        </w:tc>
        <w:tc>
          <w:tcPr>
            <w:tcW w:w="7142" w:type="dxa"/>
            <w:tcBorders>
              <w:top w:val="nil"/>
              <w:left w:val="nil"/>
              <w:bottom w:val="nil"/>
              <w:right w:val="nil"/>
            </w:tcBorders>
          </w:tcPr>
          <w:p w14:paraId="46D7782F" w14:textId="77777777" w:rsidR="00132E3A" w:rsidRPr="00E106A6" w:rsidRDefault="00132E3A" w:rsidP="001F3350">
            <w:pPr>
              <w:pStyle w:val="TableBlock"/>
            </w:pPr>
            <w:r w:rsidRPr="00E106A6">
              <w:rPr>
                <w:rtl/>
              </w:rPr>
              <w:t>(1)</w:t>
            </w:r>
            <w:r w:rsidRPr="00E106A6">
              <w:rPr>
                <w:rtl/>
              </w:rPr>
              <w:tab/>
              <w:t>בכל מקום, במקום "ילד או נער" יבוא "פעוט, ילד או נער";</w:t>
            </w:r>
          </w:p>
        </w:tc>
      </w:tr>
      <w:tr w:rsidR="00132E3A" w14:paraId="67D07835" w14:textId="77777777" w:rsidTr="00132E3A">
        <w:trPr>
          <w:cantSplit/>
        </w:trPr>
        <w:tc>
          <w:tcPr>
            <w:tcW w:w="1872" w:type="dxa"/>
            <w:tcBorders>
              <w:top w:val="nil"/>
              <w:left w:val="nil"/>
              <w:bottom w:val="nil"/>
              <w:right w:val="nil"/>
            </w:tcBorders>
          </w:tcPr>
          <w:p w14:paraId="2103E34D" w14:textId="77777777" w:rsidR="00132E3A" w:rsidRPr="00E106A6" w:rsidRDefault="00132E3A" w:rsidP="001F3350">
            <w:pPr>
              <w:pStyle w:val="TableSideHeading"/>
            </w:pPr>
          </w:p>
        </w:tc>
        <w:tc>
          <w:tcPr>
            <w:tcW w:w="624" w:type="dxa"/>
            <w:tcBorders>
              <w:top w:val="nil"/>
              <w:left w:val="nil"/>
              <w:bottom w:val="nil"/>
              <w:right w:val="nil"/>
            </w:tcBorders>
          </w:tcPr>
          <w:p w14:paraId="2D33C8FB" w14:textId="77777777" w:rsidR="00132E3A" w:rsidRPr="00E106A6" w:rsidRDefault="00132E3A" w:rsidP="001F3350">
            <w:pPr>
              <w:pStyle w:val="TableText"/>
              <w:jc w:val="both"/>
            </w:pPr>
          </w:p>
        </w:tc>
        <w:tc>
          <w:tcPr>
            <w:tcW w:w="7142" w:type="dxa"/>
            <w:tcBorders>
              <w:top w:val="nil"/>
              <w:left w:val="nil"/>
              <w:bottom w:val="nil"/>
              <w:right w:val="nil"/>
            </w:tcBorders>
          </w:tcPr>
          <w:p w14:paraId="36B20E04" w14:textId="77777777" w:rsidR="00132E3A" w:rsidRPr="00E106A6" w:rsidRDefault="00132E3A" w:rsidP="001F3350">
            <w:pPr>
              <w:pStyle w:val="TableBlock"/>
            </w:pPr>
            <w:r w:rsidRPr="00E106A6">
              <w:rPr>
                <w:rtl/>
              </w:rPr>
              <w:t>(2)</w:t>
            </w:r>
            <w:r w:rsidRPr="00E106A6">
              <w:rPr>
                <w:rtl/>
              </w:rPr>
              <w:tab/>
              <w:t>בכל מקום, "הילד או הנער" יבוא "הפעוט, הילד או הנער";</w:t>
            </w:r>
          </w:p>
        </w:tc>
      </w:tr>
      <w:tr w:rsidR="00132E3A" w14:paraId="3871C1CC" w14:textId="77777777" w:rsidTr="00132E3A">
        <w:trPr>
          <w:cantSplit/>
        </w:trPr>
        <w:tc>
          <w:tcPr>
            <w:tcW w:w="1872" w:type="dxa"/>
            <w:tcBorders>
              <w:top w:val="nil"/>
              <w:left w:val="nil"/>
              <w:bottom w:val="nil"/>
              <w:right w:val="nil"/>
            </w:tcBorders>
          </w:tcPr>
          <w:p w14:paraId="43A07168" w14:textId="77777777" w:rsidR="00132E3A" w:rsidRPr="00E106A6" w:rsidRDefault="00132E3A" w:rsidP="001F3350">
            <w:pPr>
              <w:pStyle w:val="TableSideHeading"/>
            </w:pPr>
          </w:p>
        </w:tc>
        <w:tc>
          <w:tcPr>
            <w:tcW w:w="624" w:type="dxa"/>
            <w:tcBorders>
              <w:top w:val="nil"/>
              <w:left w:val="nil"/>
              <w:bottom w:val="nil"/>
              <w:right w:val="nil"/>
            </w:tcBorders>
          </w:tcPr>
          <w:p w14:paraId="7D2B68B0" w14:textId="77777777" w:rsidR="00132E3A" w:rsidRPr="00E106A6" w:rsidRDefault="00132E3A" w:rsidP="001F3350">
            <w:pPr>
              <w:pStyle w:val="TableText"/>
              <w:jc w:val="both"/>
            </w:pPr>
          </w:p>
        </w:tc>
        <w:tc>
          <w:tcPr>
            <w:tcW w:w="7142" w:type="dxa"/>
            <w:tcBorders>
              <w:top w:val="nil"/>
              <w:left w:val="nil"/>
              <w:bottom w:val="nil"/>
              <w:right w:val="nil"/>
            </w:tcBorders>
          </w:tcPr>
          <w:p w14:paraId="055C13D7" w14:textId="77777777" w:rsidR="00132E3A" w:rsidRPr="00E106A6" w:rsidRDefault="00132E3A" w:rsidP="001F3350">
            <w:pPr>
              <w:pStyle w:val="TableBlock"/>
            </w:pPr>
            <w:r w:rsidRPr="00E106A6">
              <w:rPr>
                <w:rtl/>
              </w:rPr>
              <w:t>(3)</w:t>
            </w:r>
            <w:r w:rsidRPr="00E106A6">
              <w:rPr>
                <w:rtl/>
              </w:rPr>
              <w:tab/>
              <w:t>במקום "ילדים או נערים" יבוא "פעוטות, ילדים או נערים".</w:t>
            </w:r>
          </w:p>
        </w:tc>
      </w:tr>
      <w:tr w:rsidR="00132E3A" w14:paraId="49619A8F" w14:textId="77777777" w:rsidTr="00132E3A">
        <w:trPr>
          <w:cantSplit/>
        </w:trPr>
        <w:tc>
          <w:tcPr>
            <w:tcW w:w="1872" w:type="dxa"/>
            <w:tcBorders>
              <w:top w:val="nil"/>
              <w:left w:val="nil"/>
              <w:bottom w:val="nil"/>
              <w:right w:val="nil"/>
            </w:tcBorders>
          </w:tcPr>
          <w:p w14:paraId="7F248CC4" w14:textId="78E031FF" w:rsidR="00132E3A" w:rsidRPr="00E106A6" w:rsidRDefault="00132E3A" w:rsidP="001F3350">
            <w:pPr>
              <w:pStyle w:val="TableSideHeading"/>
            </w:pPr>
            <w:r>
              <w:rPr>
                <w:rFonts w:hint="cs"/>
                <w:rtl/>
              </w:rPr>
              <w:t>תחילה</w:t>
            </w:r>
          </w:p>
        </w:tc>
        <w:tc>
          <w:tcPr>
            <w:tcW w:w="624" w:type="dxa"/>
            <w:tcBorders>
              <w:top w:val="nil"/>
              <w:left w:val="nil"/>
              <w:bottom w:val="nil"/>
              <w:right w:val="nil"/>
            </w:tcBorders>
          </w:tcPr>
          <w:p w14:paraId="38393D5B" w14:textId="77777777" w:rsidR="00132E3A" w:rsidRPr="00E106A6" w:rsidRDefault="00132E3A" w:rsidP="001F3350">
            <w:pPr>
              <w:pStyle w:val="TableText"/>
              <w:jc w:val="both"/>
            </w:pPr>
            <w:r w:rsidRPr="00E106A6">
              <w:rPr>
                <w:rFonts w:hint="cs"/>
                <w:rtl/>
              </w:rPr>
              <w:t>5.</w:t>
            </w:r>
          </w:p>
        </w:tc>
        <w:tc>
          <w:tcPr>
            <w:tcW w:w="7142" w:type="dxa"/>
            <w:tcBorders>
              <w:top w:val="nil"/>
              <w:left w:val="nil"/>
              <w:bottom w:val="nil"/>
              <w:right w:val="nil"/>
            </w:tcBorders>
          </w:tcPr>
          <w:p w14:paraId="06F3932B" w14:textId="39F2FC5C" w:rsidR="00132E3A" w:rsidRPr="00E106A6" w:rsidRDefault="00132E3A" w:rsidP="001F3350">
            <w:pPr>
              <w:pStyle w:val="TableBlock"/>
              <w:rPr>
                <w:rtl/>
              </w:rPr>
            </w:pPr>
            <w:r>
              <w:rPr>
                <w:rFonts w:hint="cs"/>
                <w:rtl/>
              </w:rPr>
              <w:t xml:space="preserve">תחילתו של חוק זה בשנת הלימודים </w:t>
            </w:r>
            <w:proofErr w:type="spellStart"/>
            <w:r>
              <w:rPr>
                <w:rFonts w:hint="cs"/>
                <w:rtl/>
              </w:rPr>
              <w:t>התש"ף</w:t>
            </w:r>
            <w:proofErr w:type="spellEnd"/>
            <w:r>
              <w:rPr>
                <w:rFonts w:hint="cs"/>
                <w:rtl/>
              </w:rPr>
              <w:t>.</w:t>
            </w:r>
          </w:p>
        </w:tc>
      </w:tr>
    </w:tbl>
    <w:p w14:paraId="23378FF2" w14:textId="77777777" w:rsidR="009867D1" w:rsidRPr="00B70F68" w:rsidRDefault="009867D1" w:rsidP="009867D1">
      <w:pPr>
        <w:pStyle w:val="HeadDivreiHesber"/>
        <w:rPr>
          <w:rtl/>
        </w:rPr>
      </w:pPr>
      <w:r w:rsidRPr="00B70F68">
        <w:rPr>
          <w:rFonts w:hint="cs"/>
          <w:rtl/>
        </w:rPr>
        <w:t>דברי הסבר</w:t>
      </w:r>
    </w:p>
    <w:p w14:paraId="032DA385" w14:textId="77777777" w:rsidR="00132E3A" w:rsidRPr="00132E3A" w:rsidRDefault="00132E3A" w:rsidP="00132E3A">
      <w:pPr>
        <w:pStyle w:val="Hesber"/>
      </w:pPr>
      <w:r w:rsidRPr="00132E3A">
        <w:rPr>
          <w:rtl/>
        </w:rPr>
        <w:t xml:space="preserve">הזכות לחינוך היא זכות יסוד בסיסית, ואחריות המדינה על מימושה באמצעות קיום לימוד חובה וחינם עוגנה בחקיקה, ואף הורחבה במהלך השנים. כך, עד שנת 1984 לימוד החובה חל על ילדים בגילאים חמש ומעלה. עם כניסתו לתוקף של תיקון מספר 16 לחוק לימוד חובה, </w:t>
      </w:r>
      <w:proofErr w:type="spellStart"/>
      <w:r w:rsidRPr="00132E3A">
        <w:rPr>
          <w:rtl/>
        </w:rPr>
        <w:t>התש"ט</w:t>
      </w:r>
      <w:proofErr w:type="spellEnd"/>
      <w:r w:rsidRPr="00132E3A">
        <w:rPr>
          <w:rtl/>
        </w:rPr>
        <w:t xml:space="preserve">–1949 (להלן – החוק), הורחבה תחולת הוראות החוק לילדים בגילאים שלוש ומעלה ונקבעה תחולה הדרגתית של הוראות אלה, אך רק בשנת הלימודים </w:t>
      </w:r>
      <w:proofErr w:type="spellStart"/>
      <w:r w:rsidRPr="00132E3A">
        <w:rPr>
          <w:rtl/>
        </w:rPr>
        <w:t>התשע"ו</w:t>
      </w:r>
      <w:proofErr w:type="spellEnd"/>
      <w:r w:rsidRPr="00132E3A">
        <w:rPr>
          <w:rtl/>
        </w:rPr>
        <w:t xml:space="preserve"> הושלמה החלה זו. </w:t>
      </w:r>
    </w:p>
    <w:p w14:paraId="08E6D2F4" w14:textId="77777777" w:rsidR="00132E3A" w:rsidRPr="00132E3A" w:rsidRDefault="00132E3A" w:rsidP="00132E3A">
      <w:pPr>
        <w:pStyle w:val="Hesber"/>
      </w:pPr>
      <w:r w:rsidRPr="00132E3A">
        <w:rPr>
          <w:rtl/>
        </w:rPr>
        <w:t>גם לחינוך בגיל הרך נודעת השפעה מכרעת על התפתחות האדם. החינוך לו זוכים פעוטות (מגילאי לידה עד גיל שלוש) משמעותי ביותר להתפתחותם הפיזית, הקוגניטיבית והנפשית. ללא טיפול נאות וסביבה תומכת ומאתגרת, התפתחות הפעוט עלולה להיפגע. למרבה הצער, פעוטות רבים אינם זוכים לחינוך וטיפול ראויים, והמדינה אינה מספקת מענה מתאים.</w:t>
      </w:r>
    </w:p>
    <w:p w14:paraId="1A377F83" w14:textId="77777777" w:rsidR="00132E3A" w:rsidRPr="00132E3A" w:rsidRDefault="00132E3A" w:rsidP="00132E3A">
      <w:pPr>
        <w:pStyle w:val="Hesber"/>
      </w:pPr>
      <w:r w:rsidRPr="00132E3A">
        <w:rPr>
          <w:rtl/>
        </w:rPr>
        <w:t>מעונות לפעוטות עולים הון עתק בישראל, החל מ-2,300 שקלים חדשים לחודש במעונות שמפוקחים על ידי משרד הכלכלה והתעשייה ועד 4,000 שקלים חדשים לחודש במעונות יום פרטיים. יש להדגיש כי מספר המקומות בגנים המפוקחים מוגבל, לכן בפני ההורים עומדת ברירה קשה: לרשום את ילדיהם למעון פרטי ולקרוס תחת הנטל הכלכלי או לחילופין לוותר על רישום הפעוט למעון ובכך למנוע ממנו את זכות היסוד והסביבה התומכת לה הוא זקוק.</w:t>
      </w:r>
    </w:p>
    <w:p w14:paraId="5E2376C8" w14:textId="77777777" w:rsidR="00132E3A" w:rsidRPr="00132E3A" w:rsidRDefault="00132E3A" w:rsidP="00132E3A">
      <w:pPr>
        <w:pStyle w:val="Hesber"/>
      </w:pPr>
      <w:r w:rsidRPr="00132E3A">
        <w:rPr>
          <w:rtl/>
        </w:rPr>
        <w:t>המצב הקיים מגדיל פערים חברתיים-כלכליים ויוצר אי שוויון בהזדמנויות לפעוטות כבר בתחילת חייהם ובשלב משמעותי בהתפתחותם. על המדינה מוטלת החובה לאפשר שוויון הזדמנויות בחינוך, שיווין אשר ניתן לקדם רק על ידי מתן חינוך חינם נאות לפעוטות. יודגש שהצעת החוק אינה מחילה חובת לימוד על הפעוטות, אלא מחייבת את המדינה לספק לימוד חינם לפעוטות שהוריהם מעוניינים בכך.</w:t>
      </w:r>
    </w:p>
    <w:p w14:paraId="1190BC13" w14:textId="77777777" w:rsidR="00132E3A" w:rsidRPr="00132E3A" w:rsidRDefault="00132E3A" w:rsidP="00132E3A">
      <w:pPr>
        <w:pStyle w:val="Hesber"/>
      </w:pPr>
      <w:r w:rsidRPr="00132E3A">
        <w:rPr>
          <w:rtl/>
        </w:rPr>
        <w:t>העלות הכספית של החוק המוצע אמנם רבה, אך חלק ניכר מעלות זאת יכוסה על ידי כניסת הורים שכיום נאלצים להישאר בבית עם ילדיהם, למעגל העבודה. כיוון שמדובר באוכלוסייה שהיא נשית ברובה, השתלבותן של נשים אלו במעגל העבודה תגדיל את השוויון המגדרי ותעצים את מעמד האישה. הכניסה למעגל העבודה תשפר את מצבן הכלכלי של המשפחות, ובכך תוריד את תלותן בקצבאות הביטוח הלאומי, וכן תתרום להגדלת התוצר הלאומי ולגידול בגביית המסים.</w:t>
      </w:r>
    </w:p>
    <w:p w14:paraId="788BE5CA" w14:textId="02EFA469" w:rsidR="00132E3A" w:rsidRPr="00132E3A" w:rsidRDefault="00132E3A" w:rsidP="00132E3A">
      <w:pPr>
        <w:pStyle w:val="Hesber"/>
        <w:rPr>
          <w:rtl/>
        </w:rPr>
      </w:pPr>
      <w:r w:rsidRPr="00132E3A">
        <w:rPr>
          <w:rtl/>
        </w:rPr>
        <w:t xml:space="preserve">הצעות חוק דומות בעיקרן הונחו </w:t>
      </w:r>
      <w:r w:rsidRPr="00132E3A">
        <w:rPr>
          <w:rFonts w:hint="cs"/>
          <w:rtl/>
        </w:rPr>
        <w:t xml:space="preserve">על </w:t>
      </w:r>
      <w:r w:rsidRPr="00132E3A">
        <w:rPr>
          <w:rtl/>
        </w:rPr>
        <w:t>שולחן הכנסת התשע-עשרה על ידי חבר הכנסת ניצן הורוביץ וקבוצת חברי הכנסת (פ/680/19)</w:t>
      </w:r>
      <w:r w:rsidRPr="00132E3A">
        <w:rPr>
          <w:rFonts w:hint="cs"/>
          <w:rtl/>
        </w:rPr>
        <w:t xml:space="preserve">, </w:t>
      </w:r>
      <w:r w:rsidRPr="00132E3A">
        <w:rPr>
          <w:rtl/>
        </w:rPr>
        <w:t>על שולחן הכנסת העשרים על ידי חבר הכנסת אילן גילאון וקבוצת חברי הכנסת (פ/506/20)</w:t>
      </w:r>
      <w:r w:rsidRPr="00132E3A">
        <w:rPr>
          <w:rFonts w:hint="cs"/>
          <w:rtl/>
        </w:rPr>
        <w:t xml:space="preserve">, </w:t>
      </w:r>
      <w:r w:rsidRPr="00132E3A">
        <w:rPr>
          <w:rtl/>
        </w:rPr>
        <w:t xml:space="preserve">על ידי חברת הכנסת מרב מיכאלי (פ/507/20; הוסרה מסדר היום ביום י"ד בתמוז </w:t>
      </w:r>
      <w:proofErr w:type="spellStart"/>
      <w:r w:rsidRPr="00132E3A">
        <w:rPr>
          <w:rtl/>
        </w:rPr>
        <w:t>התשע"ח</w:t>
      </w:r>
      <w:proofErr w:type="spellEnd"/>
      <w:r w:rsidRPr="00132E3A">
        <w:rPr>
          <w:rtl/>
        </w:rPr>
        <w:t xml:space="preserve"> (27 ביוני 2018))</w:t>
      </w:r>
      <w:r w:rsidRPr="00132E3A">
        <w:rPr>
          <w:rFonts w:hint="cs"/>
          <w:rtl/>
        </w:rPr>
        <w:t xml:space="preserve">, </w:t>
      </w:r>
      <w:r w:rsidRPr="00132E3A">
        <w:rPr>
          <w:rtl/>
        </w:rPr>
        <w:t xml:space="preserve">על ידי חבר הכנסת יוסי יונה (פ/1617/20; הוסרה מסדר היום ביום י"ד בתמוז </w:t>
      </w:r>
      <w:proofErr w:type="spellStart"/>
      <w:r w:rsidRPr="00132E3A">
        <w:rPr>
          <w:rtl/>
        </w:rPr>
        <w:t>התשע"ח</w:t>
      </w:r>
      <w:proofErr w:type="spellEnd"/>
      <w:r w:rsidRPr="00132E3A">
        <w:rPr>
          <w:rtl/>
        </w:rPr>
        <w:t xml:space="preserve"> (27 ביוני 2018))</w:t>
      </w:r>
      <w:r w:rsidRPr="00132E3A">
        <w:rPr>
          <w:rFonts w:hint="cs"/>
          <w:rtl/>
        </w:rPr>
        <w:t>,</w:t>
      </w:r>
      <w:r w:rsidRPr="00132E3A">
        <w:rPr>
          <w:rtl/>
        </w:rPr>
        <w:t xml:space="preserve"> על ידי חבר הכנסת עודד פורר וקבוצת חברי הכנסת (פ/3386/20; הוסרה מסדר היום ביום י"ד בתמוז </w:t>
      </w:r>
      <w:proofErr w:type="spellStart"/>
      <w:r w:rsidRPr="00132E3A">
        <w:rPr>
          <w:rtl/>
        </w:rPr>
        <w:t>התשע"ח</w:t>
      </w:r>
      <w:proofErr w:type="spellEnd"/>
      <w:r w:rsidRPr="00132E3A">
        <w:rPr>
          <w:rtl/>
        </w:rPr>
        <w:t xml:space="preserve"> (27 ביוני 2018))</w:t>
      </w:r>
      <w:r w:rsidRPr="00132E3A">
        <w:rPr>
          <w:rFonts w:hint="cs"/>
          <w:rtl/>
        </w:rPr>
        <w:t xml:space="preserve">, </w:t>
      </w:r>
      <w:r w:rsidRPr="00132E3A">
        <w:rPr>
          <w:rtl/>
        </w:rPr>
        <w:t xml:space="preserve">על ידי חבר הכנסת דב </w:t>
      </w:r>
      <w:proofErr w:type="spellStart"/>
      <w:r w:rsidRPr="00132E3A">
        <w:rPr>
          <w:rtl/>
        </w:rPr>
        <w:t>חנין</w:t>
      </w:r>
      <w:proofErr w:type="spellEnd"/>
      <w:r w:rsidRPr="00132E3A">
        <w:rPr>
          <w:rtl/>
        </w:rPr>
        <w:t xml:space="preserve"> וקבוצת חברי </w:t>
      </w:r>
      <w:r w:rsidRPr="00132E3A">
        <w:rPr>
          <w:rtl/>
        </w:rPr>
        <w:lastRenderedPageBreak/>
        <w:t xml:space="preserve">הכנסת (פ/3585/20; הוסרה מסדר היום ביום י"ד בתמוז </w:t>
      </w:r>
      <w:proofErr w:type="spellStart"/>
      <w:r w:rsidRPr="00132E3A">
        <w:rPr>
          <w:rtl/>
        </w:rPr>
        <w:t>התשע"ח</w:t>
      </w:r>
      <w:proofErr w:type="spellEnd"/>
      <w:r w:rsidRPr="00132E3A">
        <w:rPr>
          <w:rtl/>
        </w:rPr>
        <w:t xml:space="preserve"> (27 ביוני 2018)</w:t>
      </w:r>
      <w:r w:rsidRPr="00132E3A">
        <w:rPr>
          <w:rFonts w:hint="cs"/>
          <w:rtl/>
        </w:rPr>
        <w:t>; פ/5616/20</w:t>
      </w:r>
      <w:r w:rsidRPr="00132E3A">
        <w:rPr>
          <w:rtl/>
        </w:rPr>
        <w:t>)</w:t>
      </w:r>
      <w:r w:rsidR="000255CE">
        <w:rPr>
          <w:rFonts w:hint="cs"/>
          <w:rtl/>
        </w:rPr>
        <w:t>,</w:t>
      </w:r>
      <w:r w:rsidRPr="00132E3A">
        <w:rPr>
          <w:rFonts w:hint="cs"/>
          <w:rtl/>
        </w:rPr>
        <w:t xml:space="preserve"> ועל שולחן הכנסת העשרים ואחת על ידי חבר </w:t>
      </w:r>
      <w:r w:rsidR="00C95925">
        <w:rPr>
          <w:rFonts w:hint="cs"/>
          <w:rtl/>
        </w:rPr>
        <w:t xml:space="preserve">הכנסת אבי </w:t>
      </w:r>
      <w:proofErr w:type="spellStart"/>
      <w:r w:rsidR="00C95925">
        <w:rPr>
          <w:rFonts w:hint="cs"/>
          <w:rtl/>
        </w:rPr>
        <w:t>ניסנקורן</w:t>
      </w:r>
      <w:proofErr w:type="spellEnd"/>
      <w:r w:rsidR="00C95925">
        <w:rPr>
          <w:rFonts w:hint="cs"/>
          <w:rtl/>
        </w:rPr>
        <w:t xml:space="preserve"> (פ/274/21), </w:t>
      </w:r>
      <w:r w:rsidRPr="00132E3A">
        <w:rPr>
          <w:rFonts w:hint="cs"/>
          <w:rtl/>
        </w:rPr>
        <w:t>על ידי חבר הכנסת אילן גילאו</w:t>
      </w:r>
      <w:r w:rsidR="00C95925">
        <w:rPr>
          <w:rFonts w:hint="cs"/>
          <w:rtl/>
        </w:rPr>
        <w:t>ן וקבוצת חברי הכנסת (פ/277/21)</w:t>
      </w:r>
      <w:r w:rsidR="000255CE">
        <w:rPr>
          <w:rFonts w:hint="cs"/>
          <w:rtl/>
        </w:rPr>
        <w:t>,</w:t>
      </w:r>
      <w:r w:rsidR="00C95925">
        <w:rPr>
          <w:rFonts w:hint="cs"/>
          <w:rtl/>
        </w:rPr>
        <w:t xml:space="preserve"> </w:t>
      </w:r>
      <w:r w:rsidRPr="00132E3A">
        <w:rPr>
          <w:rFonts w:hint="cs"/>
          <w:rtl/>
        </w:rPr>
        <w:t xml:space="preserve">ועל ידי חבר הכנסת עודד פורר וקבוצת חברי הכנסת (פ/294/21). </w:t>
      </w:r>
    </w:p>
    <w:p w14:paraId="29FB5BC3" w14:textId="3E82FF6D" w:rsidR="00132E3A" w:rsidRDefault="00132E3A" w:rsidP="00B919BF">
      <w:pPr>
        <w:pStyle w:val="Hesber"/>
        <w:rPr>
          <w:rtl/>
        </w:rPr>
      </w:pPr>
      <w:r w:rsidRPr="00132E3A">
        <w:rPr>
          <w:rFonts w:hint="cs"/>
          <w:rtl/>
        </w:rPr>
        <w:t>הצע</w:t>
      </w:r>
      <w:r>
        <w:rPr>
          <w:rFonts w:hint="cs"/>
          <w:rtl/>
        </w:rPr>
        <w:t>ות חוק זהות הונחו</w:t>
      </w:r>
      <w:r w:rsidRPr="00132E3A">
        <w:rPr>
          <w:rFonts w:hint="cs"/>
          <w:rtl/>
        </w:rPr>
        <w:t xml:space="preserve"> על שולחן הכנסת העשרים על ידי חבר</w:t>
      </w:r>
      <w:r>
        <w:rPr>
          <w:rFonts w:hint="cs"/>
          <w:rtl/>
        </w:rPr>
        <w:t>ת הכנסת מירב מיכאלי (פ/5581/20)</w:t>
      </w:r>
      <w:r w:rsidR="000255CE">
        <w:rPr>
          <w:rFonts w:hint="cs"/>
          <w:rtl/>
        </w:rPr>
        <w:t>,</w:t>
      </w:r>
      <w:r w:rsidR="00296146">
        <w:rPr>
          <w:rFonts w:hint="cs"/>
          <w:rtl/>
        </w:rPr>
        <w:t xml:space="preserve"> ו</w:t>
      </w:r>
      <w:r>
        <w:rPr>
          <w:rFonts w:hint="cs"/>
          <w:rtl/>
        </w:rPr>
        <w:t xml:space="preserve">על שולחן הכנסת העשרים ואחת על ידי חברת הכנסת מיכל </w:t>
      </w:r>
      <w:proofErr w:type="spellStart"/>
      <w:r>
        <w:rPr>
          <w:rFonts w:hint="cs"/>
          <w:rtl/>
        </w:rPr>
        <w:t>רוזין</w:t>
      </w:r>
      <w:proofErr w:type="spellEnd"/>
      <w:r>
        <w:rPr>
          <w:rFonts w:hint="cs"/>
          <w:rtl/>
        </w:rPr>
        <w:t xml:space="preserve"> (פ/299/21)</w:t>
      </w:r>
      <w:r w:rsidR="00B919BF">
        <w:rPr>
          <w:rFonts w:hint="cs"/>
          <w:rtl/>
        </w:rPr>
        <w:t>.</w:t>
      </w:r>
    </w:p>
    <w:p w14:paraId="428DC3AE" w14:textId="77777777" w:rsidR="000255CE" w:rsidRDefault="000255CE" w:rsidP="00B919BF">
      <w:pPr>
        <w:pStyle w:val="Hesber"/>
        <w:rPr>
          <w:rtl/>
        </w:rPr>
      </w:pPr>
    </w:p>
    <w:p w14:paraId="245E72A6" w14:textId="77777777" w:rsidR="000255CE" w:rsidRPr="00D73212" w:rsidRDefault="000255CE" w:rsidP="000255CE">
      <w:pPr>
        <w:pStyle w:val="Hesber"/>
        <w:rPr>
          <w:color w:val="auto"/>
          <w:rtl/>
          <w:lang w:eastAsia="en-US"/>
        </w:rPr>
      </w:pPr>
      <w:r w:rsidRPr="00D73212">
        <w:rPr>
          <w:color w:val="auto"/>
          <w:rtl/>
          <w:lang w:eastAsia="en-US"/>
        </w:rPr>
        <w:t>---------------------------------</w:t>
      </w:r>
    </w:p>
    <w:p w14:paraId="56611C46" w14:textId="77777777" w:rsidR="000255CE" w:rsidRPr="00D73212" w:rsidRDefault="000255CE" w:rsidP="000255CE">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6869EB1" w14:textId="77777777" w:rsidR="000255CE" w:rsidRPr="00D73212" w:rsidRDefault="000255CE" w:rsidP="000255CE">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5582D067" w14:textId="77777777" w:rsidR="000255CE" w:rsidRPr="00317312" w:rsidRDefault="000255CE" w:rsidP="000255CE">
      <w:pPr>
        <w:pStyle w:val="Hesber"/>
      </w:pPr>
      <w:r>
        <w:rPr>
          <w:rFonts w:hint="cs"/>
          <w:color w:val="auto"/>
          <w:rtl/>
          <w:lang w:eastAsia="en-US"/>
        </w:rPr>
        <w:t>ו'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4.11</w:t>
      </w:r>
      <w:r w:rsidRPr="00D73212">
        <w:rPr>
          <w:color w:val="auto"/>
          <w:rtl/>
          <w:lang w:eastAsia="en-US"/>
        </w:rPr>
        <w:t>.</w:t>
      </w:r>
      <w:r>
        <w:rPr>
          <w:rFonts w:hint="cs"/>
          <w:color w:val="auto"/>
          <w:rtl/>
          <w:lang w:eastAsia="en-US"/>
        </w:rPr>
        <w:t xml:space="preserve">19  </w:t>
      </w:r>
    </w:p>
    <w:p w14:paraId="5398B4D7" w14:textId="77777777" w:rsidR="000255CE" w:rsidRPr="00132E3A" w:rsidRDefault="000255CE" w:rsidP="00B919BF">
      <w:pPr>
        <w:pStyle w:val="Hesber"/>
        <w:rPr>
          <w:rtl/>
        </w:rPr>
      </w:pPr>
    </w:p>
    <w:p w14:paraId="7B09FBE8" w14:textId="77777777" w:rsidR="009867D1" w:rsidRPr="00E66441" w:rsidRDefault="009867D1" w:rsidP="009867D1">
      <w:pPr>
        <w:pStyle w:val="Hesber"/>
        <w:rPr>
          <w:rtl/>
        </w:rPr>
      </w:pPr>
    </w:p>
    <w:p w14:paraId="4911F4E8" w14:textId="77777777" w:rsidR="009867D1" w:rsidRPr="002E04B9" w:rsidRDefault="009867D1" w:rsidP="009867D1">
      <w:pPr>
        <w:ind w:firstLine="0"/>
        <w:rPr>
          <w:rtl/>
          <w:lang w:eastAsia="en-US"/>
        </w:rPr>
      </w:pPr>
    </w:p>
    <w:p w14:paraId="7F6961CB" w14:textId="77777777" w:rsidR="00E13C27" w:rsidRDefault="00E13C27" w:rsidP="009867D1">
      <w:pPr>
        <w:pStyle w:val="HeadDivreiHesber"/>
        <w:spacing w:before="0" w:after="0"/>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214563">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07333CB" w14:textId="77777777" w:rsidR="00132E3A" w:rsidRPr="00010B70" w:rsidRDefault="00132E3A" w:rsidP="00132E3A">
      <w:pPr>
        <w:pBdr>
          <w:top w:val="nil"/>
          <w:left w:val="nil"/>
          <w:bottom w:val="nil"/>
          <w:right w:val="nil"/>
          <w:between w:val="nil"/>
        </w:pBdr>
        <w:ind w:left="227" w:hanging="227"/>
        <w:jc w:val="left"/>
        <w:rPr>
          <w:rFonts w:ascii="Arial" w:eastAsia="Arial" w:hAnsi="Arial"/>
          <w:sz w:val="20"/>
          <w:szCs w:val="20"/>
        </w:rPr>
      </w:pPr>
      <w:r w:rsidRPr="00010B70">
        <w:rPr>
          <w:sz w:val="20"/>
          <w:szCs w:val="20"/>
          <w:vertAlign w:val="superscript"/>
        </w:rPr>
        <w:footnoteRef/>
      </w:r>
      <w:r w:rsidRPr="00010B70">
        <w:rPr>
          <w:rFonts w:ascii="Arial" w:eastAsia="Arial" w:hAnsi="Arial"/>
          <w:sz w:val="20"/>
          <w:szCs w:val="20"/>
          <w:rtl/>
        </w:rPr>
        <w:t xml:space="preserve"> ס"ח </w:t>
      </w:r>
      <w:proofErr w:type="spellStart"/>
      <w:r w:rsidRPr="00010B70">
        <w:rPr>
          <w:rFonts w:ascii="Arial" w:eastAsia="Arial" w:hAnsi="Arial"/>
          <w:sz w:val="20"/>
          <w:szCs w:val="20"/>
          <w:rtl/>
        </w:rPr>
        <w:t>התש"ט</w:t>
      </w:r>
      <w:proofErr w:type="spellEnd"/>
      <w:r w:rsidRPr="00010B70">
        <w:rPr>
          <w:rFonts w:ascii="Arial" w:eastAsia="Arial" w:hAnsi="Arial"/>
          <w:sz w:val="20"/>
          <w:szCs w:val="20"/>
          <w:rtl/>
        </w:rPr>
        <w:t>, עמ' 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55CE"/>
    <w:rsid w:val="00063A3E"/>
    <w:rsid w:val="00072CAC"/>
    <w:rsid w:val="00074A04"/>
    <w:rsid w:val="0007681A"/>
    <w:rsid w:val="00095063"/>
    <w:rsid w:val="000A542E"/>
    <w:rsid w:val="00102B6B"/>
    <w:rsid w:val="001052D4"/>
    <w:rsid w:val="0010644B"/>
    <w:rsid w:val="001207F8"/>
    <w:rsid w:val="00121924"/>
    <w:rsid w:val="001279A8"/>
    <w:rsid w:val="00132E3A"/>
    <w:rsid w:val="0014195F"/>
    <w:rsid w:val="00152609"/>
    <w:rsid w:val="00153E1B"/>
    <w:rsid w:val="00175D0A"/>
    <w:rsid w:val="001A0623"/>
    <w:rsid w:val="001C23B0"/>
    <w:rsid w:val="001D7AAF"/>
    <w:rsid w:val="00203A7F"/>
    <w:rsid w:val="00206617"/>
    <w:rsid w:val="00214563"/>
    <w:rsid w:val="0021633A"/>
    <w:rsid w:val="002200A1"/>
    <w:rsid w:val="002362BF"/>
    <w:rsid w:val="00241B97"/>
    <w:rsid w:val="002425D1"/>
    <w:rsid w:val="00246756"/>
    <w:rsid w:val="00251E58"/>
    <w:rsid w:val="00254605"/>
    <w:rsid w:val="002551E1"/>
    <w:rsid w:val="00266D86"/>
    <w:rsid w:val="002728B4"/>
    <w:rsid w:val="0027600C"/>
    <w:rsid w:val="00292712"/>
    <w:rsid w:val="00296146"/>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867D1"/>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19BF"/>
    <w:rsid w:val="00B975AD"/>
    <w:rsid w:val="00BC45FB"/>
    <w:rsid w:val="00BF148D"/>
    <w:rsid w:val="00BF75CE"/>
    <w:rsid w:val="00C23B1A"/>
    <w:rsid w:val="00C310EB"/>
    <w:rsid w:val="00C9176A"/>
    <w:rsid w:val="00C95925"/>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C696AB1-9126-4900-84FA-8686CBDC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767D-5518-4680-A8A7-858445246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DFA6B27B-08C4-42F5-99F2-463FFE6F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649</Words>
  <Characters>3700</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15</cp:revision>
  <cp:lastPrinted>2019-10-10T08:57:00Z</cp:lastPrinted>
  <dcterms:created xsi:type="dcterms:W3CDTF">2015-04-20T09:58:00Z</dcterms:created>
  <dcterms:modified xsi:type="dcterms:W3CDTF">2019-10-29T10:13:00Z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2081290</vt:r8>
  </property>
</Properties>
</file>