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2079502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מיקי לוי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פ/406/21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לתיקון פקודת מס הכנסה (אישור זיכוי מס), התשע"ט–2019</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5274"/>
      </w:tblGrid>
      <w:tr w:rsidR="005626F0" w14:paraId="7A7F4FA7" w14:textId="77777777" w:rsidTr="00EA1799">
        <w:trPr>
          <w:cantSplit/>
          <w:trHeight w:val="60"/>
        </w:trPr>
        <w:tc>
          <w:tcPr>
            <w:tcW w:w="1871" w:type="dxa"/>
          </w:tcPr>
          <w:p w14:paraId="654F3803" w14:textId="77777777" w:rsidR="005626F0" w:rsidRDefault="005626F0" w:rsidP="00EA1799">
            <w:pPr>
              <w:pStyle w:val="TableSideHeading"/>
              <w:keepLines w:val="0"/>
            </w:pPr>
            <w:r>
              <w:rPr>
                <w:rtl/>
              </w:rPr>
              <w:t>תיקון סעיף 9</w:t>
            </w:r>
          </w:p>
        </w:tc>
        <w:tc>
          <w:tcPr>
            <w:tcW w:w="624" w:type="dxa"/>
          </w:tcPr>
          <w:p w14:paraId="2B24B411" w14:textId="77777777" w:rsidR="005626F0" w:rsidRDefault="005626F0" w:rsidP="00EA1799">
            <w:pPr>
              <w:pStyle w:val="TableText"/>
              <w:keepLines w:val="0"/>
              <w:tabs>
                <w:tab w:val="num" w:pos="0"/>
              </w:tabs>
            </w:pPr>
            <w:r>
              <w:rPr>
                <w:rtl/>
              </w:rPr>
              <w:t>1.</w:t>
            </w:r>
          </w:p>
        </w:tc>
        <w:tc>
          <w:tcPr>
            <w:tcW w:w="7146" w:type="dxa"/>
            <w:gridSpan w:val="4"/>
          </w:tcPr>
          <w:p w14:paraId="3A1CB602" w14:textId="77777777" w:rsidR="005626F0" w:rsidRDefault="005626F0" w:rsidP="00EA1799">
            <w:pPr>
              <w:pStyle w:val="TableBlock"/>
              <w:keepLines w:val="0"/>
            </w:pPr>
            <w:r>
              <w:rPr>
                <w:rtl/>
              </w:rPr>
              <w:t>בפקודת מס הכנסה</w:t>
            </w:r>
            <w:r w:rsidRPr="00FE5C52">
              <w:rPr>
                <w:rStyle w:val="a6"/>
                <w:rtl/>
              </w:rPr>
              <w:footnoteReference w:id="2"/>
            </w:r>
            <w:r>
              <w:rPr>
                <w:rtl/>
              </w:rPr>
              <w:t xml:space="preserve"> (להלן – הפקודה), בסעיף 9(2)(ב)</w:t>
            </w:r>
            <w:r>
              <w:rPr>
                <w:rFonts w:hint="cs"/>
                <w:rtl/>
              </w:rPr>
              <w:t xml:space="preserve"> </w:t>
            </w:r>
            <w:r>
              <w:rPr>
                <w:rFonts w:hint="eastAsia"/>
                <w:rtl/>
              </w:rPr>
              <w:t xml:space="preserve">– </w:t>
            </w:r>
            <w:r>
              <w:rPr>
                <w:rtl/>
              </w:rPr>
              <w:t xml:space="preserve"> </w:t>
            </w:r>
          </w:p>
        </w:tc>
      </w:tr>
      <w:tr w:rsidR="005626F0" w14:paraId="7AFB01EE" w14:textId="77777777" w:rsidTr="00EA1799">
        <w:trPr>
          <w:cantSplit/>
          <w:trHeight w:val="60"/>
        </w:trPr>
        <w:tc>
          <w:tcPr>
            <w:tcW w:w="1871" w:type="dxa"/>
          </w:tcPr>
          <w:p w14:paraId="011FAD36" w14:textId="77777777" w:rsidR="005626F0" w:rsidRDefault="005626F0" w:rsidP="00EA1799">
            <w:pPr>
              <w:pStyle w:val="TableSideHeading"/>
              <w:keepLines w:val="0"/>
              <w:rPr>
                <w:rtl/>
              </w:rPr>
            </w:pPr>
          </w:p>
        </w:tc>
        <w:tc>
          <w:tcPr>
            <w:tcW w:w="624" w:type="dxa"/>
          </w:tcPr>
          <w:p w14:paraId="3744A7B1" w14:textId="77777777" w:rsidR="005626F0" w:rsidRDefault="005626F0" w:rsidP="00EA1799">
            <w:pPr>
              <w:pStyle w:val="TableText"/>
              <w:rPr>
                <w:rtl/>
              </w:rPr>
            </w:pPr>
          </w:p>
        </w:tc>
        <w:tc>
          <w:tcPr>
            <w:tcW w:w="7146" w:type="dxa"/>
            <w:gridSpan w:val="4"/>
          </w:tcPr>
          <w:p w14:paraId="5FE1F82F" w14:textId="77777777" w:rsidR="005626F0" w:rsidRDefault="005626F0" w:rsidP="00EA1799">
            <w:pPr>
              <w:pStyle w:val="TableBlock"/>
              <w:keepLines w:val="0"/>
              <w:rPr>
                <w:rtl/>
              </w:rPr>
            </w:pPr>
            <w:r>
              <w:rPr>
                <w:rFonts w:hint="cs"/>
                <w:rtl/>
              </w:rPr>
              <w:t>(1)</w:t>
            </w:r>
            <w:r>
              <w:rPr>
                <w:rtl/>
              </w:rPr>
              <w:tab/>
              <w:t>במקום ההגדרה "מוסד ציבורי" יבוא:</w:t>
            </w:r>
          </w:p>
        </w:tc>
      </w:tr>
      <w:tr w:rsidR="005626F0" w14:paraId="508FC492" w14:textId="77777777" w:rsidTr="00EA1799">
        <w:trPr>
          <w:cantSplit/>
          <w:trHeight w:val="60"/>
        </w:trPr>
        <w:tc>
          <w:tcPr>
            <w:tcW w:w="1871" w:type="dxa"/>
          </w:tcPr>
          <w:p w14:paraId="0A860605" w14:textId="77777777" w:rsidR="005626F0" w:rsidRDefault="005626F0" w:rsidP="00EA1799">
            <w:pPr>
              <w:pStyle w:val="TableSideHeading"/>
            </w:pPr>
          </w:p>
        </w:tc>
        <w:tc>
          <w:tcPr>
            <w:tcW w:w="624" w:type="dxa"/>
          </w:tcPr>
          <w:p w14:paraId="52A19959" w14:textId="77777777" w:rsidR="005626F0" w:rsidRDefault="005626F0" w:rsidP="00EA1799">
            <w:pPr>
              <w:pStyle w:val="TableText"/>
            </w:pPr>
          </w:p>
        </w:tc>
        <w:tc>
          <w:tcPr>
            <w:tcW w:w="624" w:type="dxa"/>
          </w:tcPr>
          <w:p w14:paraId="1C84D9A1" w14:textId="77777777" w:rsidR="005626F0" w:rsidRDefault="005626F0" w:rsidP="00EA1799">
            <w:pPr>
              <w:pStyle w:val="TableText"/>
            </w:pPr>
          </w:p>
        </w:tc>
        <w:tc>
          <w:tcPr>
            <w:tcW w:w="6522" w:type="dxa"/>
            <w:gridSpan w:val="3"/>
          </w:tcPr>
          <w:p w14:paraId="2F9DB75A" w14:textId="77777777" w:rsidR="005626F0" w:rsidRPr="00C12152" w:rsidRDefault="005626F0" w:rsidP="00EA1799">
            <w:pPr>
              <w:pStyle w:val="TableBlockOutdent"/>
            </w:pPr>
            <w:r>
              <w:rPr>
                <w:rtl/>
              </w:rPr>
              <w:t>""מוסד ציבורי" – כל אחד מאלה, ובלבד שהוא קיים ופועל למטרות ציבוריות בלבד, מגיש דין וחשבון שנתי לגבי נכסיו, הכנסותיו והוצאותיו להנחת דעתו של פקיד השומה על פי תקנות שהתקין שר האוצר:</w:t>
            </w:r>
          </w:p>
        </w:tc>
      </w:tr>
      <w:tr w:rsidR="005626F0" w14:paraId="3F44F3E7" w14:textId="77777777" w:rsidTr="00EA1799">
        <w:trPr>
          <w:cantSplit/>
          <w:trHeight w:val="60"/>
        </w:trPr>
        <w:tc>
          <w:tcPr>
            <w:tcW w:w="1871" w:type="dxa"/>
          </w:tcPr>
          <w:p w14:paraId="3674FCD1" w14:textId="77777777" w:rsidR="005626F0" w:rsidRDefault="005626F0" w:rsidP="00EA1799">
            <w:pPr>
              <w:pStyle w:val="TableSideHeading"/>
            </w:pPr>
          </w:p>
        </w:tc>
        <w:tc>
          <w:tcPr>
            <w:tcW w:w="624" w:type="dxa"/>
          </w:tcPr>
          <w:p w14:paraId="4113A75B" w14:textId="77777777" w:rsidR="005626F0" w:rsidRDefault="005626F0" w:rsidP="00EA1799">
            <w:pPr>
              <w:pStyle w:val="TableText"/>
            </w:pPr>
          </w:p>
        </w:tc>
        <w:tc>
          <w:tcPr>
            <w:tcW w:w="624" w:type="dxa"/>
          </w:tcPr>
          <w:p w14:paraId="2A082833" w14:textId="77777777" w:rsidR="005626F0" w:rsidRDefault="005626F0" w:rsidP="00EA1799">
            <w:pPr>
              <w:pStyle w:val="TableText"/>
            </w:pPr>
          </w:p>
        </w:tc>
        <w:tc>
          <w:tcPr>
            <w:tcW w:w="624" w:type="dxa"/>
          </w:tcPr>
          <w:p w14:paraId="15FAF3B6" w14:textId="77777777" w:rsidR="005626F0" w:rsidRDefault="005626F0" w:rsidP="00EA1799">
            <w:pPr>
              <w:pStyle w:val="TableText"/>
            </w:pPr>
          </w:p>
        </w:tc>
        <w:tc>
          <w:tcPr>
            <w:tcW w:w="5898" w:type="dxa"/>
            <w:gridSpan w:val="2"/>
          </w:tcPr>
          <w:p w14:paraId="57645605" w14:textId="77777777" w:rsidR="005626F0" w:rsidRPr="00973031" w:rsidRDefault="005626F0" w:rsidP="00EA1799">
            <w:pPr>
              <w:pStyle w:val="TableBlock"/>
            </w:pPr>
            <w:r w:rsidRPr="00973031">
              <w:rPr>
                <w:rtl/>
              </w:rPr>
              <w:t>(1)</w:t>
            </w:r>
            <w:r w:rsidRPr="00973031">
              <w:rPr>
                <w:rtl/>
              </w:rPr>
              <w:tab/>
              <w:t xml:space="preserve">חברה לתועלת הציבור </w:t>
            </w:r>
            <w:r w:rsidRPr="00973031">
              <w:rPr>
                <w:rFonts w:hint="cs"/>
                <w:rtl/>
              </w:rPr>
              <w:t>או קרן לתועלת הציבור כמשמעותן בחוק החברות, התשנ"ט–1999</w:t>
            </w:r>
            <w:r w:rsidRPr="00973031">
              <w:rPr>
                <w:szCs w:val="20"/>
                <w:rtl/>
              </w:rPr>
              <w:footnoteReference w:id="3"/>
            </w:r>
            <w:r w:rsidRPr="00973031">
              <w:rPr>
                <w:rtl/>
              </w:rPr>
              <w:t>;</w:t>
            </w:r>
          </w:p>
        </w:tc>
      </w:tr>
      <w:tr w:rsidR="005626F0" w14:paraId="749B91E1" w14:textId="77777777" w:rsidTr="00EA1799">
        <w:trPr>
          <w:cantSplit/>
          <w:trHeight w:val="60"/>
        </w:trPr>
        <w:tc>
          <w:tcPr>
            <w:tcW w:w="1871" w:type="dxa"/>
          </w:tcPr>
          <w:p w14:paraId="534DC8F2" w14:textId="77777777" w:rsidR="005626F0" w:rsidRDefault="005626F0" w:rsidP="00EA1799">
            <w:pPr>
              <w:pStyle w:val="TableSideHeading"/>
            </w:pPr>
          </w:p>
        </w:tc>
        <w:tc>
          <w:tcPr>
            <w:tcW w:w="624" w:type="dxa"/>
          </w:tcPr>
          <w:p w14:paraId="6A22D88F" w14:textId="77777777" w:rsidR="005626F0" w:rsidRDefault="005626F0" w:rsidP="00EA1799">
            <w:pPr>
              <w:pStyle w:val="TableText"/>
            </w:pPr>
          </w:p>
        </w:tc>
        <w:tc>
          <w:tcPr>
            <w:tcW w:w="624" w:type="dxa"/>
          </w:tcPr>
          <w:p w14:paraId="55DACE53" w14:textId="77777777" w:rsidR="005626F0" w:rsidRDefault="005626F0" w:rsidP="00EA1799">
            <w:pPr>
              <w:pStyle w:val="TableText"/>
            </w:pPr>
          </w:p>
        </w:tc>
        <w:tc>
          <w:tcPr>
            <w:tcW w:w="624" w:type="dxa"/>
          </w:tcPr>
          <w:p w14:paraId="462A20F7" w14:textId="77777777" w:rsidR="005626F0" w:rsidRDefault="005626F0" w:rsidP="00EA1799">
            <w:pPr>
              <w:pStyle w:val="TableText"/>
            </w:pPr>
          </w:p>
        </w:tc>
        <w:tc>
          <w:tcPr>
            <w:tcW w:w="5898" w:type="dxa"/>
            <w:gridSpan w:val="2"/>
          </w:tcPr>
          <w:p w14:paraId="593F8343" w14:textId="77777777" w:rsidR="005626F0" w:rsidRPr="00973031" w:rsidRDefault="005626F0" w:rsidP="00EA1799">
            <w:pPr>
              <w:pStyle w:val="TableBlock"/>
              <w:rPr>
                <w:rtl/>
              </w:rPr>
            </w:pPr>
            <w:r w:rsidRPr="00973031">
              <w:rPr>
                <w:rtl/>
              </w:rPr>
              <w:t>(</w:t>
            </w:r>
            <w:r w:rsidRPr="00973031">
              <w:rPr>
                <w:rFonts w:hint="cs"/>
                <w:rtl/>
              </w:rPr>
              <w:t>2</w:t>
            </w:r>
            <w:r w:rsidRPr="00973031">
              <w:rPr>
                <w:rtl/>
              </w:rPr>
              <w:t>)</w:t>
            </w:r>
            <w:r w:rsidRPr="00973031">
              <w:rPr>
                <w:rtl/>
              </w:rPr>
              <w:tab/>
              <w:t>עמותה שבה חמישה חברי ועד מנהל לפחות שרובם אינם קרובים זה לזה ושבעה חברי עמותה;</w:t>
            </w:r>
          </w:p>
        </w:tc>
      </w:tr>
      <w:tr w:rsidR="005626F0" w14:paraId="3FE6F218" w14:textId="77777777" w:rsidTr="00EA1799">
        <w:trPr>
          <w:cantSplit/>
          <w:trHeight w:val="60"/>
        </w:trPr>
        <w:tc>
          <w:tcPr>
            <w:tcW w:w="1871" w:type="dxa"/>
          </w:tcPr>
          <w:p w14:paraId="0F385E33" w14:textId="77777777" w:rsidR="005626F0" w:rsidRDefault="005626F0" w:rsidP="00EA1799">
            <w:pPr>
              <w:pStyle w:val="TableSideHeading"/>
            </w:pPr>
          </w:p>
        </w:tc>
        <w:tc>
          <w:tcPr>
            <w:tcW w:w="624" w:type="dxa"/>
          </w:tcPr>
          <w:p w14:paraId="00828EF1" w14:textId="77777777" w:rsidR="005626F0" w:rsidRDefault="005626F0" w:rsidP="00EA1799">
            <w:pPr>
              <w:pStyle w:val="TableText"/>
            </w:pPr>
          </w:p>
        </w:tc>
        <w:tc>
          <w:tcPr>
            <w:tcW w:w="624" w:type="dxa"/>
          </w:tcPr>
          <w:p w14:paraId="2BB260CF" w14:textId="77777777" w:rsidR="005626F0" w:rsidRDefault="005626F0" w:rsidP="00EA1799">
            <w:pPr>
              <w:pStyle w:val="TableText"/>
            </w:pPr>
          </w:p>
        </w:tc>
        <w:tc>
          <w:tcPr>
            <w:tcW w:w="624" w:type="dxa"/>
          </w:tcPr>
          <w:p w14:paraId="7538B3F2" w14:textId="77777777" w:rsidR="005626F0" w:rsidRDefault="005626F0" w:rsidP="00EA1799">
            <w:pPr>
              <w:pStyle w:val="TableText"/>
            </w:pPr>
          </w:p>
        </w:tc>
        <w:tc>
          <w:tcPr>
            <w:tcW w:w="5898" w:type="dxa"/>
            <w:gridSpan w:val="2"/>
          </w:tcPr>
          <w:p w14:paraId="1B5C52F3" w14:textId="77777777" w:rsidR="005626F0" w:rsidRPr="00973031" w:rsidRDefault="005626F0" w:rsidP="00EA1799">
            <w:pPr>
              <w:pStyle w:val="TableBlock"/>
              <w:rPr>
                <w:rtl/>
              </w:rPr>
            </w:pPr>
            <w:r w:rsidRPr="00973031">
              <w:rPr>
                <w:rtl/>
              </w:rPr>
              <w:t>(</w:t>
            </w:r>
            <w:r w:rsidRPr="00973031">
              <w:rPr>
                <w:rFonts w:hint="cs"/>
                <w:rtl/>
              </w:rPr>
              <w:t>3</w:t>
            </w:r>
            <w:r w:rsidRPr="00973031">
              <w:rPr>
                <w:rtl/>
              </w:rPr>
              <w:t>)</w:t>
            </w:r>
            <w:r w:rsidRPr="00973031">
              <w:rPr>
                <w:rtl/>
              </w:rPr>
              <w:tab/>
              <w:t>תאגיד שהוקם בחוק הרשאי לקבל תרומות לפי כל דין;</w:t>
            </w:r>
          </w:p>
        </w:tc>
      </w:tr>
      <w:tr w:rsidR="005626F0" w14:paraId="12210F69" w14:textId="77777777" w:rsidTr="00EA1799">
        <w:trPr>
          <w:cantSplit/>
          <w:trHeight w:val="60"/>
        </w:trPr>
        <w:tc>
          <w:tcPr>
            <w:tcW w:w="1871" w:type="dxa"/>
          </w:tcPr>
          <w:p w14:paraId="19E256F1" w14:textId="77777777" w:rsidR="005626F0" w:rsidRDefault="005626F0" w:rsidP="00EA1799">
            <w:pPr>
              <w:pStyle w:val="TableSideHeading"/>
            </w:pPr>
          </w:p>
        </w:tc>
        <w:tc>
          <w:tcPr>
            <w:tcW w:w="624" w:type="dxa"/>
          </w:tcPr>
          <w:p w14:paraId="1B2E1553" w14:textId="77777777" w:rsidR="005626F0" w:rsidRDefault="005626F0" w:rsidP="00EA1799">
            <w:pPr>
              <w:pStyle w:val="TableText"/>
            </w:pPr>
          </w:p>
        </w:tc>
        <w:tc>
          <w:tcPr>
            <w:tcW w:w="624" w:type="dxa"/>
          </w:tcPr>
          <w:p w14:paraId="51F4C65A" w14:textId="77777777" w:rsidR="005626F0" w:rsidRDefault="005626F0" w:rsidP="00EA1799">
            <w:pPr>
              <w:pStyle w:val="TableText"/>
            </w:pPr>
          </w:p>
        </w:tc>
        <w:tc>
          <w:tcPr>
            <w:tcW w:w="624" w:type="dxa"/>
          </w:tcPr>
          <w:p w14:paraId="366A4330" w14:textId="77777777" w:rsidR="005626F0" w:rsidRDefault="005626F0" w:rsidP="00EA1799">
            <w:pPr>
              <w:pStyle w:val="TableText"/>
            </w:pPr>
          </w:p>
        </w:tc>
        <w:tc>
          <w:tcPr>
            <w:tcW w:w="5898" w:type="dxa"/>
            <w:gridSpan w:val="2"/>
          </w:tcPr>
          <w:p w14:paraId="25A04FC5" w14:textId="77777777" w:rsidR="005626F0" w:rsidRPr="00973031" w:rsidRDefault="005626F0" w:rsidP="00EA1799">
            <w:pPr>
              <w:pStyle w:val="TableBlock"/>
              <w:rPr>
                <w:rtl/>
              </w:rPr>
            </w:pPr>
            <w:r w:rsidRPr="00973031">
              <w:rPr>
                <w:rtl/>
              </w:rPr>
              <w:t>(</w:t>
            </w:r>
            <w:r w:rsidRPr="00973031">
              <w:rPr>
                <w:rFonts w:hint="cs"/>
                <w:rtl/>
              </w:rPr>
              <w:t>4</w:t>
            </w:r>
            <w:r w:rsidRPr="00973031">
              <w:rPr>
                <w:rtl/>
              </w:rPr>
              <w:t>)</w:t>
            </w:r>
            <w:r w:rsidRPr="00973031">
              <w:rPr>
                <w:rtl/>
              </w:rPr>
              <w:tab/>
              <w:t>הקדש ציבורי או דתי הרשומים כנדרש שבו לפחות שני נאמנים שמרביתם אינם קרובים זה לזה;</w:t>
            </w:r>
          </w:p>
        </w:tc>
      </w:tr>
      <w:tr w:rsidR="005626F0" w14:paraId="04CC4E61" w14:textId="77777777" w:rsidTr="00EA1799">
        <w:trPr>
          <w:cantSplit/>
          <w:trHeight w:val="60"/>
        </w:trPr>
        <w:tc>
          <w:tcPr>
            <w:tcW w:w="1871" w:type="dxa"/>
          </w:tcPr>
          <w:p w14:paraId="1958F6A1" w14:textId="77777777" w:rsidR="005626F0" w:rsidRDefault="005626F0" w:rsidP="00EA1799">
            <w:pPr>
              <w:pStyle w:val="TableSideHeading"/>
            </w:pPr>
          </w:p>
        </w:tc>
        <w:tc>
          <w:tcPr>
            <w:tcW w:w="624" w:type="dxa"/>
          </w:tcPr>
          <w:p w14:paraId="04FA3CE8" w14:textId="77777777" w:rsidR="005626F0" w:rsidRDefault="005626F0" w:rsidP="00EA1799">
            <w:pPr>
              <w:pStyle w:val="TableText"/>
            </w:pPr>
          </w:p>
        </w:tc>
        <w:tc>
          <w:tcPr>
            <w:tcW w:w="624" w:type="dxa"/>
          </w:tcPr>
          <w:p w14:paraId="0EFF4F86" w14:textId="77777777" w:rsidR="005626F0" w:rsidRDefault="005626F0" w:rsidP="00EA1799">
            <w:pPr>
              <w:pStyle w:val="TableText"/>
            </w:pPr>
          </w:p>
        </w:tc>
        <w:tc>
          <w:tcPr>
            <w:tcW w:w="624" w:type="dxa"/>
          </w:tcPr>
          <w:p w14:paraId="739A86D7" w14:textId="77777777" w:rsidR="005626F0" w:rsidRDefault="005626F0" w:rsidP="00EA1799">
            <w:pPr>
              <w:pStyle w:val="TableText"/>
            </w:pPr>
          </w:p>
        </w:tc>
        <w:tc>
          <w:tcPr>
            <w:tcW w:w="5898" w:type="dxa"/>
            <w:gridSpan w:val="2"/>
          </w:tcPr>
          <w:p w14:paraId="0A33EB08" w14:textId="77777777" w:rsidR="005626F0" w:rsidRPr="00973031" w:rsidRDefault="005626F0" w:rsidP="00EA1799">
            <w:pPr>
              <w:pStyle w:val="TableBlock"/>
              <w:rPr>
                <w:rtl/>
              </w:rPr>
            </w:pPr>
            <w:r w:rsidRPr="00973031">
              <w:rPr>
                <w:rtl/>
              </w:rPr>
              <w:t>(</w:t>
            </w:r>
            <w:r w:rsidRPr="00973031">
              <w:rPr>
                <w:rFonts w:hint="cs"/>
                <w:rtl/>
              </w:rPr>
              <w:t>5</w:t>
            </w:r>
            <w:r w:rsidRPr="00973031">
              <w:rPr>
                <w:rtl/>
              </w:rPr>
              <w:t>)</w:t>
            </w:r>
            <w:r w:rsidRPr="00973031">
              <w:rPr>
                <w:rtl/>
              </w:rPr>
              <w:tab/>
              <w:t>קופת חולים, בית חולים ממשלתי</w:t>
            </w:r>
            <w:r w:rsidRPr="00973031">
              <w:rPr>
                <w:rFonts w:hint="cs"/>
                <w:rtl/>
              </w:rPr>
              <w:t>, בית חולים שבבעלות רשות מקומית</w:t>
            </w:r>
            <w:r w:rsidRPr="00973031">
              <w:rPr>
                <w:rtl/>
              </w:rPr>
              <w:t>, בית חולים שבבעלות קופת חולים; בפסקה זו –</w:t>
            </w:r>
          </w:p>
        </w:tc>
      </w:tr>
      <w:tr w:rsidR="005626F0" w14:paraId="5A742B37" w14:textId="77777777" w:rsidTr="00EA1799">
        <w:trPr>
          <w:cantSplit/>
          <w:trHeight w:val="60"/>
        </w:trPr>
        <w:tc>
          <w:tcPr>
            <w:tcW w:w="1871" w:type="dxa"/>
          </w:tcPr>
          <w:p w14:paraId="2CE782C1" w14:textId="77777777" w:rsidR="005626F0" w:rsidRDefault="005626F0" w:rsidP="00EA1799">
            <w:pPr>
              <w:pStyle w:val="TableSideHeading"/>
            </w:pPr>
          </w:p>
        </w:tc>
        <w:tc>
          <w:tcPr>
            <w:tcW w:w="624" w:type="dxa"/>
          </w:tcPr>
          <w:p w14:paraId="489003B3" w14:textId="77777777" w:rsidR="005626F0" w:rsidRDefault="005626F0" w:rsidP="00EA1799">
            <w:pPr>
              <w:pStyle w:val="TableText"/>
            </w:pPr>
          </w:p>
        </w:tc>
        <w:tc>
          <w:tcPr>
            <w:tcW w:w="624" w:type="dxa"/>
          </w:tcPr>
          <w:p w14:paraId="57EABED8" w14:textId="77777777" w:rsidR="005626F0" w:rsidRDefault="005626F0" w:rsidP="00EA1799">
            <w:pPr>
              <w:pStyle w:val="TableText"/>
            </w:pPr>
          </w:p>
        </w:tc>
        <w:tc>
          <w:tcPr>
            <w:tcW w:w="624" w:type="dxa"/>
          </w:tcPr>
          <w:p w14:paraId="63A855FC" w14:textId="77777777" w:rsidR="005626F0" w:rsidRDefault="005626F0" w:rsidP="00EA1799">
            <w:pPr>
              <w:pStyle w:val="TableText"/>
            </w:pPr>
          </w:p>
        </w:tc>
        <w:tc>
          <w:tcPr>
            <w:tcW w:w="624" w:type="dxa"/>
          </w:tcPr>
          <w:p w14:paraId="4BF78581" w14:textId="77777777" w:rsidR="005626F0" w:rsidRDefault="005626F0" w:rsidP="00EA1799">
            <w:pPr>
              <w:pStyle w:val="TableText"/>
            </w:pPr>
          </w:p>
        </w:tc>
        <w:tc>
          <w:tcPr>
            <w:tcW w:w="5274" w:type="dxa"/>
          </w:tcPr>
          <w:p w14:paraId="71C98159" w14:textId="77777777" w:rsidR="005626F0" w:rsidRPr="002A56B3" w:rsidRDefault="005626F0" w:rsidP="00EA1799">
            <w:pPr>
              <w:pStyle w:val="TableBlockOutdent"/>
            </w:pPr>
            <w:r w:rsidRPr="002A56B3">
              <w:rPr>
                <w:rtl/>
              </w:rPr>
              <w:t xml:space="preserve">"בית חולים ממשלתי" – לרבות </w:t>
            </w:r>
            <w:r>
              <w:rPr>
                <w:rFonts w:hint="cs"/>
                <w:rtl/>
              </w:rPr>
              <w:t xml:space="preserve">פעילות המתבצעת בו בידי </w:t>
            </w:r>
            <w:r w:rsidRPr="002A56B3">
              <w:rPr>
                <w:rtl/>
              </w:rPr>
              <w:t>תאגיד בריאות;</w:t>
            </w:r>
          </w:p>
        </w:tc>
      </w:tr>
      <w:tr w:rsidR="005626F0" w14:paraId="4E600462" w14:textId="77777777" w:rsidTr="00EA1799">
        <w:trPr>
          <w:cantSplit/>
          <w:trHeight w:val="60"/>
        </w:trPr>
        <w:tc>
          <w:tcPr>
            <w:tcW w:w="1871" w:type="dxa"/>
          </w:tcPr>
          <w:p w14:paraId="35AACECC" w14:textId="77777777" w:rsidR="005626F0" w:rsidRDefault="005626F0" w:rsidP="00EA1799">
            <w:pPr>
              <w:pStyle w:val="TableSideHeading"/>
            </w:pPr>
          </w:p>
        </w:tc>
        <w:tc>
          <w:tcPr>
            <w:tcW w:w="624" w:type="dxa"/>
          </w:tcPr>
          <w:p w14:paraId="74CC3E93" w14:textId="77777777" w:rsidR="005626F0" w:rsidRDefault="005626F0" w:rsidP="00EA1799">
            <w:pPr>
              <w:pStyle w:val="TableText"/>
            </w:pPr>
          </w:p>
        </w:tc>
        <w:tc>
          <w:tcPr>
            <w:tcW w:w="624" w:type="dxa"/>
          </w:tcPr>
          <w:p w14:paraId="5A897EC4" w14:textId="77777777" w:rsidR="005626F0" w:rsidRDefault="005626F0" w:rsidP="00EA1799">
            <w:pPr>
              <w:pStyle w:val="TableText"/>
            </w:pPr>
          </w:p>
        </w:tc>
        <w:tc>
          <w:tcPr>
            <w:tcW w:w="624" w:type="dxa"/>
          </w:tcPr>
          <w:p w14:paraId="67D11EA9" w14:textId="77777777" w:rsidR="005626F0" w:rsidRDefault="005626F0" w:rsidP="00EA1799">
            <w:pPr>
              <w:pStyle w:val="TableText"/>
            </w:pPr>
          </w:p>
        </w:tc>
        <w:tc>
          <w:tcPr>
            <w:tcW w:w="624" w:type="dxa"/>
          </w:tcPr>
          <w:p w14:paraId="5C922417" w14:textId="77777777" w:rsidR="005626F0" w:rsidRDefault="005626F0" w:rsidP="00EA1799">
            <w:pPr>
              <w:pStyle w:val="TableText"/>
            </w:pPr>
          </w:p>
        </w:tc>
        <w:tc>
          <w:tcPr>
            <w:tcW w:w="5274" w:type="dxa"/>
          </w:tcPr>
          <w:p w14:paraId="6D7F795E" w14:textId="77777777" w:rsidR="005626F0" w:rsidRPr="002A56B3" w:rsidRDefault="005626F0" w:rsidP="00EA1799">
            <w:pPr>
              <w:pStyle w:val="TableBlockOutdent"/>
              <w:rPr>
                <w:rtl/>
              </w:rPr>
            </w:pPr>
            <w:r w:rsidRPr="002A56B3">
              <w:rPr>
                <w:rtl/>
              </w:rPr>
              <w:t>"קופת חולים" – כמשמעותה בחוק ביטוח בריאות ממלכתי, התשנ"ד–1994</w:t>
            </w:r>
            <w:r w:rsidRPr="00FE5C52">
              <w:rPr>
                <w:vertAlign w:val="superscript"/>
                <w:rtl/>
              </w:rPr>
              <w:footnoteReference w:id="4"/>
            </w:r>
            <w:r w:rsidRPr="002A56B3">
              <w:rPr>
                <w:rtl/>
              </w:rPr>
              <w:t>;</w:t>
            </w:r>
          </w:p>
        </w:tc>
      </w:tr>
      <w:tr w:rsidR="005626F0" w14:paraId="3715E074" w14:textId="77777777" w:rsidTr="00EA1799">
        <w:trPr>
          <w:cantSplit/>
          <w:trHeight w:val="60"/>
        </w:trPr>
        <w:tc>
          <w:tcPr>
            <w:tcW w:w="1871" w:type="dxa"/>
          </w:tcPr>
          <w:p w14:paraId="5494F98B" w14:textId="77777777" w:rsidR="005626F0" w:rsidRDefault="005626F0" w:rsidP="00EA1799">
            <w:pPr>
              <w:pStyle w:val="TableSideHeading"/>
            </w:pPr>
          </w:p>
        </w:tc>
        <w:tc>
          <w:tcPr>
            <w:tcW w:w="624" w:type="dxa"/>
          </w:tcPr>
          <w:p w14:paraId="72363072" w14:textId="77777777" w:rsidR="005626F0" w:rsidRDefault="005626F0" w:rsidP="00EA1799">
            <w:pPr>
              <w:pStyle w:val="TableText"/>
            </w:pPr>
          </w:p>
        </w:tc>
        <w:tc>
          <w:tcPr>
            <w:tcW w:w="624" w:type="dxa"/>
          </w:tcPr>
          <w:p w14:paraId="23ED7549" w14:textId="77777777" w:rsidR="005626F0" w:rsidRDefault="005626F0" w:rsidP="00EA1799">
            <w:pPr>
              <w:pStyle w:val="TableText"/>
            </w:pPr>
          </w:p>
        </w:tc>
        <w:tc>
          <w:tcPr>
            <w:tcW w:w="624" w:type="dxa"/>
          </w:tcPr>
          <w:p w14:paraId="67B92C56" w14:textId="77777777" w:rsidR="005626F0" w:rsidRDefault="005626F0" w:rsidP="00EA1799">
            <w:pPr>
              <w:pStyle w:val="TableText"/>
            </w:pPr>
          </w:p>
        </w:tc>
        <w:tc>
          <w:tcPr>
            <w:tcW w:w="624" w:type="dxa"/>
          </w:tcPr>
          <w:p w14:paraId="45E6CFA2" w14:textId="77777777" w:rsidR="005626F0" w:rsidRDefault="005626F0" w:rsidP="00EA1799">
            <w:pPr>
              <w:pStyle w:val="TableText"/>
            </w:pPr>
          </w:p>
        </w:tc>
        <w:tc>
          <w:tcPr>
            <w:tcW w:w="5274" w:type="dxa"/>
          </w:tcPr>
          <w:p w14:paraId="42B86560" w14:textId="77777777" w:rsidR="005626F0" w:rsidRPr="002A56B3" w:rsidRDefault="005626F0" w:rsidP="00EA1799">
            <w:pPr>
              <w:pStyle w:val="TableBlockOutdent"/>
              <w:rPr>
                <w:rtl/>
              </w:rPr>
            </w:pPr>
            <w:r w:rsidRPr="002A56B3">
              <w:rPr>
                <w:rtl/>
              </w:rPr>
              <w:t xml:space="preserve">"תאגיד בריאות" – כהגדרתו בסעיף 21 לחוק יסודות התקציב, </w:t>
            </w:r>
            <w:r w:rsidRPr="000F6772">
              <w:rPr>
                <w:rtl/>
              </w:rPr>
              <w:t>התשמ</w:t>
            </w:r>
            <w:r w:rsidRPr="002A56B3">
              <w:rPr>
                <w:rtl/>
              </w:rPr>
              <w:t>"ה–1985</w:t>
            </w:r>
            <w:r w:rsidRPr="00FE5C52">
              <w:rPr>
                <w:vertAlign w:val="superscript"/>
                <w:rtl/>
              </w:rPr>
              <w:footnoteReference w:id="5"/>
            </w:r>
            <w:r w:rsidRPr="002A56B3">
              <w:rPr>
                <w:rtl/>
              </w:rPr>
              <w:t>;</w:t>
            </w:r>
          </w:p>
        </w:tc>
      </w:tr>
      <w:tr w:rsidR="005626F0" w14:paraId="071C7DAC" w14:textId="77777777" w:rsidTr="00EA1799">
        <w:trPr>
          <w:cantSplit/>
          <w:trHeight w:val="60"/>
        </w:trPr>
        <w:tc>
          <w:tcPr>
            <w:tcW w:w="1871" w:type="dxa"/>
          </w:tcPr>
          <w:p w14:paraId="5D508E0B" w14:textId="77777777" w:rsidR="005626F0" w:rsidRDefault="005626F0" w:rsidP="00EA1799">
            <w:pPr>
              <w:pStyle w:val="TableSideHeading"/>
            </w:pPr>
          </w:p>
        </w:tc>
        <w:tc>
          <w:tcPr>
            <w:tcW w:w="624" w:type="dxa"/>
          </w:tcPr>
          <w:p w14:paraId="766615E8" w14:textId="77777777" w:rsidR="005626F0" w:rsidRDefault="005626F0" w:rsidP="00EA1799">
            <w:pPr>
              <w:pStyle w:val="TableText"/>
            </w:pPr>
          </w:p>
        </w:tc>
        <w:tc>
          <w:tcPr>
            <w:tcW w:w="624" w:type="dxa"/>
          </w:tcPr>
          <w:p w14:paraId="45636449" w14:textId="77777777" w:rsidR="005626F0" w:rsidRDefault="005626F0" w:rsidP="00EA1799">
            <w:pPr>
              <w:pStyle w:val="TableText"/>
            </w:pPr>
          </w:p>
        </w:tc>
        <w:tc>
          <w:tcPr>
            <w:tcW w:w="624" w:type="dxa"/>
          </w:tcPr>
          <w:p w14:paraId="110B19DE" w14:textId="77777777" w:rsidR="005626F0" w:rsidRDefault="005626F0" w:rsidP="00EA1799">
            <w:pPr>
              <w:pStyle w:val="TableText"/>
            </w:pPr>
          </w:p>
        </w:tc>
        <w:tc>
          <w:tcPr>
            <w:tcW w:w="5898" w:type="dxa"/>
            <w:gridSpan w:val="2"/>
          </w:tcPr>
          <w:p w14:paraId="71EC08DA" w14:textId="77777777" w:rsidR="005626F0" w:rsidRPr="002A56B3" w:rsidRDefault="005626F0" w:rsidP="00EA1799">
            <w:pPr>
              <w:pStyle w:val="TableBlock"/>
              <w:rPr>
                <w:rtl/>
              </w:rPr>
            </w:pPr>
            <w:r w:rsidRPr="002A56B3">
              <w:rPr>
                <w:rtl/>
              </w:rPr>
              <w:t>(</w:t>
            </w:r>
            <w:r>
              <w:rPr>
                <w:rFonts w:hint="cs"/>
                <w:rtl/>
              </w:rPr>
              <w:t>6</w:t>
            </w:r>
            <w:r w:rsidRPr="002A56B3">
              <w:rPr>
                <w:rtl/>
              </w:rPr>
              <w:t>)</w:t>
            </w:r>
            <w:r w:rsidRPr="002A56B3">
              <w:rPr>
                <w:rtl/>
              </w:rPr>
              <w:tab/>
              <w:t>גוף אחד שפעילותו מכוונת לקידום או למימון מטרות ציבוריות ומתקיימים לגביו תנאים שקבע השר</w:t>
            </w:r>
            <w:r>
              <w:rPr>
                <w:rtl/>
              </w:rPr>
              <w:t>,</w:t>
            </w:r>
            <w:r w:rsidRPr="002A56B3">
              <w:rPr>
                <w:rtl/>
              </w:rPr>
              <w:t xml:space="preserve"> באישור ועדת הכספים של הכנסת;</w:t>
            </w:r>
          </w:p>
        </w:tc>
      </w:tr>
      <w:tr w:rsidR="005626F0" w14:paraId="4C42E352" w14:textId="77777777" w:rsidTr="00EA1799">
        <w:trPr>
          <w:cantSplit/>
          <w:trHeight w:val="60"/>
        </w:trPr>
        <w:tc>
          <w:tcPr>
            <w:tcW w:w="1871" w:type="dxa"/>
          </w:tcPr>
          <w:p w14:paraId="6B0DE74E" w14:textId="77777777" w:rsidR="005626F0" w:rsidRDefault="005626F0" w:rsidP="00EA1799">
            <w:pPr>
              <w:pStyle w:val="TableSideHeading"/>
            </w:pPr>
          </w:p>
        </w:tc>
        <w:tc>
          <w:tcPr>
            <w:tcW w:w="624" w:type="dxa"/>
          </w:tcPr>
          <w:p w14:paraId="0F6F818B" w14:textId="77777777" w:rsidR="005626F0" w:rsidRDefault="005626F0" w:rsidP="00EA1799">
            <w:pPr>
              <w:pStyle w:val="TableText"/>
            </w:pPr>
          </w:p>
        </w:tc>
        <w:tc>
          <w:tcPr>
            <w:tcW w:w="624" w:type="dxa"/>
          </w:tcPr>
          <w:p w14:paraId="43C95BAE" w14:textId="77777777" w:rsidR="005626F0" w:rsidRDefault="005626F0" w:rsidP="00EA1799">
            <w:pPr>
              <w:pStyle w:val="TableText"/>
            </w:pPr>
          </w:p>
        </w:tc>
        <w:tc>
          <w:tcPr>
            <w:tcW w:w="624" w:type="dxa"/>
          </w:tcPr>
          <w:p w14:paraId="1ECF062B" w14:textId="77777777" w:rsidR="005626F0" w:rsidRDefault="005626F0" w:rsidP="00EA1799">
            <w:pPr>
              <w:pStyle w:val="TableText"/>
            </w:pPr>
          </w:p>
        </w:tc>
        <w:tc>
          <w:tcPr>
            <w:tcW w:w="5898" w:type="dxa"/>
            <w:gridSpan w:val="2"/>
          </w:tcPr>
          <w:p w14:paraId="072C5EF0" w14:textId="77777777" w:rsidR="005626F0" w:rsidRPr="002A56B3" w:rsidRDefault="005626F0" w:rsidP="00EA1799">
            <w:pPr>
              <w:pStyle w:val="TableBlock"/>
              <w:rPr>
                <w:rtl/>
              </w:rPr>
            </w:pPr>
            <w:r w:rsidRPr="002A56B3">
              <w:rPr>
                <w:rtl/>
              </w:rPr>
              <w:t>(</w:t>
            </w:r>
            <w:r>
              <w:rPr>
                <w:rFonts w:hint="cs"/>
                <w:rtl/>
              </w:rPr>
              <w:t>7</w:t>
            </w:r>
            <w:r w:rsidRPr="002A56B3">
              <w:rPr>
                <w:rtl/>
              </w:rPr>
              <w:t>)</w:t>
            </w:r>
            <w:r w:rsidRPr="002A56B3">
              <w:rPr>
                <w:rtl/>
              </w:rPr>
              <w:tab/>
              <w:t>מוסד להשכלה גבוהה והוא אחד מאלה:</w:t>
            </w:r>
          </w:p>
        </w:tc>
      </w:tr>
      <w:tr w:rsidR="005626F0" w14:paraId="4B0EF35A" w14:textId="77777777" w:rsidTr="00EA1799">
        <w:trPr>
          <w:cantSplit/>
          <w:trHeight w:val="60"/>
        </w:trPr>
        <w:tc>
          <w:tcPr>
            <w:tcW w:w="1871" w:type="dxa"/>
          </w:tcPr>
          <w:p w14:paraId="3D179B3A" w14:textId="77777777" w:rsidR="005626F0" w:rsidRDefault="005626F0" w:rsidP="00EA1799">
            <w:pPr>
              <w:pStyle w:val="TableSideHeading"/>
            </w:pPr>
          </w:p>
        </w:tc>
        <w:tc>
          <w:tcPr>
            <w:tcW w:w="624" w:type="dxa"/>
          </w:tcPr>
          <w:p w14:paraId="4DAAE320" w14:textId="77777777" w:rsidR="005626F0" w:rsidRDefault="005626F0" w:rsidP="00EA1799">
            <w:pPr>
              <w:pStyle w:val="TableText"/>
            </w:pPr>
          </w:p>
        </w:tc>
        <w:tc>
          <w:tcPr>
            <w:tcW w:w="624" w:type="dxa"/>
          </w:tcPr>
          <w:p w14:paraId="2FD82169" w14:textId="77777777" w:rsidR="005626F0" w:rsidRDefault="005626F0" w:rsidP="00EA1799">
            <w:pPr>
              <w:pStyle w:val="TableText"/>
            </w:pPr>
          </w:p>
        </w:tc>
        <w:tc>
          <w:tcPr>
            <w:tcW w:w="624" w:type="dxa"/>
          </w:tcPr>
          <w:p w14:paraId="11868A5F" w14:textId="77777777" w:rsidR="005626F0" w:rsidRDefault="005626F0" w:rsidP="00EA1799">
            <w:pPr>
              <w:pStyle w:val="TableText"/>
            </w:pPr>
          </w:p>
        </w:tc>
        <w:tc>
          <w:tcPr>
            <w:tcW w:w="624" w:type="dxa"/>
          </w:tcPr>
          <w:p w14:paraId="71770E17" w14:textId="77777777" w:rsidR="005626F0" w:rsidRDefault="005626F0" w:rsidP="00EA1799">
            <w:pPr>
              <w:pStyle w:val="TableText"/>
            </w:pPr>
          </w:p>
        </w:tc>
        <w:tc>
          <w:tcPr>
            <w:tcW w:w="5274" w:type="dxa"/>
          </w:tcPr>
          <w:p w14:paraId="7F646F4E" w14:textId="77777777" w:rsidR="005626F0" w:rsidRPr="002A56B3" w:rsidRDefault="005626F0" w:rsidP="00EA1799">
            <w:pPr>
              <w:pStyle w:val="TableBlock"/>
            </w:pPr>
            <w:r w:rsidRPr="002A56B3">
              <w:rPr>
                <w:rtl/>
              </w:rPr>
              <w:t>(</w:t>
            </w:r>
            <w:r>
              <w:rPr>
                <w:rtl/>
              </w:rPr>
              <w:t>א</w:t>
            </w:r>
            <w:r w:rsidRPr="002A56B3">
              <w:rPr>
                <w:rtl/>
              </w:rPr>
              <w:t>)</w:t>
            </w:r>
            <w:r w:rsidRPr="002A56B3">
              <w:rPr>
                <w:rtl/>
              </w:rPr>
              <w:tab/>
              <w:t>מוסד שהוכר לפי סעיף 9 לחוק המועצה להשכלה גבוהה, התשי"ח–1958</w:t>
            </w:r>
            <w:r w:rsidRPr="00FE5C52">
              <w:rPr>
                <w:vertAlign w:val="superscript"/>
                <w:rtl/>
              </w:rPr>
              <w:footnoteReference w:id="6"/>
            </w:r>
            <w:r w:rsidRPr="002A56B3">
              <w:rPr>
                <w:rtl/>
              </w:rPr>
              <w:t xml:space="preserve"> (להלן – חוק המועצה להשכלה גבוהה);</w:t>
            </w:r>
          </w:p>
        </w:tc>
      </w:tr>
      <w:tr w:rsidR="005626F0" w14:paraId="291DE67E" w14:textId="77777777" w:rsidTr="00EA1799">
        <w:trPr>
          <w:cantSplit/>
          <w:trHeight w:val="60"/>
        </w:trPr>
        <w:tc>
          <w:tcPr>
            <w:tcW w:w="1871" w:type="dxa"/>
          </w:tcPr>
          <w:p w14:paraId="179AB2D1" w14:textId="77777777" w:rsidR="005626F0" w:rsidRDefault="005626F0" w:rsidP="00EA1799">
            <w:pPr>
              <w:pStyle w:val="TableSideHeading"/>
            </w:pPr>
          </w:p>
        </w:tc>
        <w:tc>
          <w:tcPr>
            <w:tcW w:w="624" w:type="dxa"/>
          </w:tcPr>
          <w:p w14:paraId="24CABDB7" w14:textId="77777777" w:rsidR="005626F0" w:rsidRDefault="005626F0" w:rsidP="00EA1799">
            <w:pPr>
              <w:pStyle w:val="TableText"/>
            </w:pPr>
          </w:p>
        </w:tc>
        <w:tc>
          <w:tcPr>
            <w:tcW w:w="624" w:type="dxa"/>
          </w:tcPr>
          <w:p w14:paraId="10DCDB64" w14:textId="77777777" w:rsidR="005626F0" w:rsidRDefault="005626F0" w:rsidP="00EA1799">
            <w:pPr>
              <w:pStyle w:val="TableText"/>
            </w:pPr>
          </w:p>
        </w:tc>
        <w:tc>
          <w:tcPr>
            <w:tcW w:w="624" w:type="dxa"/>
          </w:tcPr>
          <w:p w14:paraId="03D950DE" w14:textId="77777777" w:rsidR="005626F0" w:rsidRDefault="005626F0" w:rsidP="00EA1799">
            <w:pPr>
              <w:pStyle w:val="TableText"/>
            </w:pPr>
          </w:p>
        </w:tc>
        <w:tc>
          <w:tcPr>
            <w:tcW w:w="624" w:type="dxa"/>
          </w:tcPr>
          <w:p w14:paraId="42FFF757" w14:textId="77777777" w:rsidR="005626F0" w:rsidRDefault="005626F0" w:rsidP="00EA1799">
            <w:pPr>
              <w:pStyle w:val="TableText"/>
            </w:pPr>
          </w:p>
        </w:tc>
        <w:tc>
          <w:tcPr>
            <w:tcW w:w="5274" w:type="dxa"/>
          </w:tcPr>
          <w:p w14:paraId="70C0A243" w14:textId="77777777" w:rsidR="005626F0" w:rsidRPr="002A56B3" w:rsidRDefault="005626F0" w:rsidP="00EA1799">
            <w:pPr>
              <w:pStyle w:val="TableBlock"/>
              <w:rPr>
                <w:rtl/>
              </w:rPr>
            </w:pPr>
            <w:r w:rsidRPr="002A56B3">
              <w:rPr>
                <w:rtl/>
              </w:rPr>
              <w:t>(</w:t>
            </w:r>
            <w:r>
              <w:rPr>
                <w:rtl/>
              </w:rPr>
              <w:t>ב</w:t>
            </w:r>
            <w:r w:rsidRPr="002A56B3">
              <w:rPr>
                <w:rtl/>
              </w:rPr>
              <w:t>)</w:t>
            </w:r>
            <w:r w:rsidRPr="002A56B3">
              <w:rPr>
                <w:rtl/>
              </w:rPr>
              <w:tab/>
              <w:t>מוסד שקיבל היתר או אישור לפי סעיף 21א לחוק המועצה להשכלה גבוהה;</w:t>
            </w:r>
          </w:p>
        </w:tc>
      </w:tr>
      <w:tr w:rsidR="005626F0" w14:paraId="161721F7" w14:textId="77777777" w:rsidTr="00EA1799">
        <w:trPr>
          <w:cantSplit/>
          <w:trHeight w:val="60"/>
        </w:trPr>
        <w:tc>
          <w:tcPr>
            <w:tcW w:w="1871" w:type="dxa"/>
          </w:tcPr>
          <w:p w14:paraId="7B2036E1" w14:textId="77777777" w:rsidR="005626F0" w:rsidRDefault="005626F0" w:rsidP="00EA1799">
            <w:pPr>
              <w:pStyle w:val="TableSideHeading"/>
            </w:pPr>
          </w:p>
        </w:tc>
        <w:tc>
          <w:tcPr>
            <w:tcW w:w="624" w:type="dxa"/>
          </w:tcPr>
          <w:p w14:paraId="1DE63E0A" w14:textId="77777777" w:rsidR="005626F0" w:rsidRDefault="005626F0" w:rsidP="00EA1799">
            <w:pPr>
              <w:pStyle w:val="TableText"/>
            </w:pPr>
          </w:p>
        </w:tc>
        <w:tc>
          <w:tcPr>
            <w:tcW w:w="624" w:type="dxa"/>
          </w:tcPr>
          <w:p w14:paraId="24E6D97B" w14:textId="77777777" w:rsidR="005626F0" w:rsidRDefault="005626F0" w:rsidP="00EA1799">
            <w:pPr>
              <w:pStyle w:val="TableText"/>
            </w:pPr>
          </w:p>
        </w:tc>
        <w:tc>
          <w:tcPr>
            <w:tcW w:w="624" w:type="dxa"/>
          </w:tcPr>
          <w:p w14:paraId="473200FA" w14:textId="77777777" w:rsidR="005626F0" w:rsidRDefault="005626F0" w:rsidP="00EA1799">
            <w:pPr>
              <w:pStyle w:val="TableText"/>
            </w:pPr>
          </w:p>
        </w:tc>
        <w:tc>
          <w:tcPr>
            <w:tcW w:w="624" w:type="dxa"/>
          </w:tcPr>
          <w:p w14:paraId="645C409F" w14:textId="77777777" w:rsidR="005626F0" w:rsidRDefault="005626F0" w:rsidP="00EA1799">
            <w:pPr>
              <w:pStyle w:val="TableText"/>
            </w:pPr>
          </w:p>
        </w:tc>
        <w:tc>
          <w:tcPr>
            <w:tcW w:w="5274" w:type="dxa"/>
          </w:tcPr>
          <w:p w14:paraId="422810BE" w14:textId="77777777" w:rsidR="005626F0" w:rsidRPr="002A56B3" w:rsidRDefault="005626F0" w:rsidP="00EA1799">
            <w:pPr>
              <w:pStyle w:val="TableBlock"/>
              <w:rPr>
                <w:rtl/>
              </w:rPr>
            </w:pPr>
            <w:r w:rsidRPr="002A56B3">
              <w:rPr>
                <w:rtl/>
              </w:rPr>
              <w:t>(</w:t>
            </w:r>
            <w:r>
              <w:rPr>
                <w:rtl/>
              </w:rPr>
              <w:t>ג</w:t>
            </w:r>
            <w:r w:rsidRPr="002A56B3">
              <w:rPr>
                <w:rtl/>
              </w:rPr>
              <w:t>)</w:t>
            </w:r>
            <w:r w:rsidRPr="002A56B3">
              <w:rPr>
                <w:rtl/>
              </w:rPr>
              <w:tab/>
              <w:t>מוסד שהתואר שהוא מעניק הוכר לפי סע</w:t>
            </w:r>
            <w:r>
              <w:rPr>
                <w:rtl/>
              </w:rPr>
              <w:t>יף 28א לחוק המועצה להשכלה גבוהה</w:t>
            </w:r>
            <w:r>
              <w:rPr>
                <w:rFonts w:hint="cs"/>
                <w:rtl/>
              </w:rPr>
              <w:t>;"</w:t>
            </w:r>
            <w:r>
              <w:rPr>
                <w:rtl/>
              </w:rPr>
              <w:t>;</w:t>
            </w:r>
          </w:p>
        </w:tc>
      </w:tr>
      <w:tr w:rsidR="005626F0" w14:paraId="2AD497B3" w14:textId="77777777" w:rsidTr="00EA1799">
        <w:trPr>
          <w:cantSplit/>
          <w:trHeight w:val="60"/>
        </w:trPr>
        <w:tc>
          <w:tcPr>
            <w:tcW w:w="1871" w:type="dxa"/>
          </w:tcPr>
          <w:p w14:paraId="107ECB83" w14:textId="77777777" w:rsidR="005626F0" w:rsidRDefault="005626F0" w:rsidP="00EA1799">
            <w:pPr>
              <w:pStyle w:val="TableSideHeading"/>
            </w:pPr>
          </w:p>
        </w:tc>
        <w:tc>
          <w:tcPr>
            <w:tcW w:w="624" w:type="dxa"/>
          </w:tcPr>
          <w:p w14:paraId="6B521EB4" w14:textId="77777777" w:rsidR="005626F0" w:rsidRDefault="005626F0" w:rsidP="00EA1799">
            <w:pPr>
              <w:pStyle w:val="TableText"/>
            </w:pPr>
          </w:p>
        </w:tc>
        <w:tc>
          <w:tcPr>
            <w:tcW w:w="7146" w:type="dxa"/>
            <w:gridSpan w:val="4"/>
          </w:tcPr>
          <w:p w14:paraId="4870CF7C" w14:textId="77777777" w:rsidR="005626F0" w:rsidRPr="00C34DE2" w:rsidRDefault="005626F0" w:rsidP="00EA1799">
            <w:pPr>
              <w:pStyle w:val="TableBlock"/>
            </w:pPr>
            <w:r>
              <w:rPr>
                <w:rFonts w:hint="cs"/>
                <w:rtl/>
              </w:rPr>
              <w:t>(2)</w:t>
            </w:r>
            <w:r>
              <w:rPr>
                <w:rtl/>
              </w:rPr>
              <w:tab/>
            </w:r>
            <w:r>
              <w:rPr>
                <w:rFonts w:hint="cs"/>
                <w:rtl/>
              </w:rPr>
              <w:t>במקום ההגדרה "מטרה ציבורית" יבוא:</w:t>
            </w:r>
          </w:p>
        </w:tc>
      </w:tr>
      <w:tr w:rsidR="005626F0" w14:paraId="600EFCE1" w14:textId="77777777" w:rsidTr="00EA1799">
        <w:trPr>
          <w:cantSplit/>
          <w:trHeight w:val="60"/>
        </w:trPr>
        <w:tc>
          <w:tcPr>
            <w:tcW w:w="1871" w:type="dxa"/>
          </w:tcPr>
          <w:p w14:paraId="38CC64BA" w14:textId="77777777" w:rsidR="005626F0" w:rsidRDefault="005626F0" w:rsidP="00EA1799">
            <w:pPr>
              <w:pStyle w:val="TableSideHeading"/>
            </w:pPr>
          </w:p>
        </w:tc>
        <w:tc>
          <w:tcPr>
            <w:tcW w:w="624" w:type="dxa"/>
          </w:tcPr>
          <w:p w14:paraId="1440FDFA" w14:textId="77777777" w:rsidR="005626F0" w:rsidRDefault="005626F0" w:rsidP="00EA1799">
            <w:pPr>
              <w:pStyle w:val="TableText"/>
            </w:pPr>
          </w:p>
        </w:tc>
        <w:tc>
          <w:tcPr>
            <w:tcW w:w="624" w:type="dxa"/>
          </w:tcPr>
          <w:p w14:paraId="1C5C2176" w14:textId="77777777" w:rsidR="005626F0" w:rsidRDefault="005626F0" w:rsidP="00EA1799">
            <w:pPr>
              <w:pStyle w:val="TableText"/>
            </w:pPr>
          </w:p>
        </w:tc>
        <w:tc>
          <w:tcPr>
            <w:tcW w:w="6522" w:type="dxa"/>
            <w:gridSpan w:val="3"/>
          </w:tcPr>
          <w:p w14:paraId="157C63D7" w14:textId="77777777" w:rsidR="005626F0" w:rsidRPr="002637E5" w:rsidRDefault="005626F0" w:rsidP="00EA1799">
            <w:pPr>
              <w:pStyle w:val="TableBlockOutdent"/>
              <w:rPr>
                <w:rtl/>
              </w:rPr>
            </w:pPr>
            <w:r>
              <w:rPr>
                <w:rFonts w:hint="cs"/>
                <w:rtl/>
              </w:rPr>
              <w:t>"</w:t>
            </w:r>
            <w:r>
              <w:rPr>
                <w:rtl/>
              </w:rPr>
              <w:t>"מטרה ציבורית" – מטרה הקבועה בתוספת השנייה לחוק החברות; ואולם</w:t>
            </w:r>
            <w:r>
              <w:rPr>
                <w:rFonts w:hint="cs"/>
                <w:rtl/>
              </w:rPr>
              <w:t>,</w:t>
            </w:r>
            <w:r>
              <w:rPr>
                <w:rtl/>
              </w:rPr>
              <w:t xml:space="preserve"> שר האוצר, באישור ועדת הכספים של הכנסת, רשאי לקבוע מטרות נוספות על התוספת השנייה כאמור;</w:t>
            </w:r>
            <w:r>
              <w:rPr>
                <w:rFonts w:hint="cs"/>
                <w:rtl/>
              </w:rPr>
              <w:t>".</w:t>
            </w:r>
          </w:p>
        </w:tc>
      </w:tr>
      <w:tr w:rsidR="005626F0" w14:paraId="354C87DC" w14:textId="77777777" w:rsidTr="00EA1799">
        <w:trPr>
          <w:cantSplit/>
          <w:trHeight w:val="60"/>
        </w:trPr>
        <w:tc>
          <w:tcPr>
            <w:tcW w:w="1871" w:type="dxa"/>
          </w:tcPr>
          <w:p w14:paraId="3A083268" w14:textId="77777777" w:rsidR="005626F0" w:rsidRDefault="005626F0" w:rsidP="00EA1799">
            <w:pPr>
              <w:pStyle w:val="TableSideHeading"/>
            </w:pPr>
            <w:r>
              <w:rPr>
                <w:rtl/>
              </w:rPr>
              <w:t>תיקון סעיף 46</w:t>
            </w:r>
          </w:p>
        </w:tc>
        <w:tc>
          <w:tcPr>
            <w:tcW w:w="624" w:type="dxa"/>
          </w:tcPr>
          <w:p w14:paraId="6782A47C" w14:textId="77777777" w:rsidR="005626F0" w:rsidRDefault="005626F0" w:rsidP="00EA1799">
            <w:pPr>
              <w:pStyle w:val="TableText"/>
            </w:pPr>
            <w:r>
              <w:rPr>
                <w:rtl/>
              </w:rPr>
              <w:t>2.</w:t>
            </w:r>
          </w:p>
        </w:tc>
        <w:tc>
          <w:tcPr>
            <w:tcW w:w="7146" w:type="dxa"/>
            <w:gridSpan w:val="4"/>
          </w:tcPr>
          <w:p w14:paraId="19ED07AF" w14:textId="77777777" w:rsidR="005626F0" w:rsidRPr="002637E5" w:rsidRDefault="005626F0" w:rsidP="00EA1799">
            <w:pPr>
              <w:pStyle w:val="TableText"/>
              <w:rPr>
                <w:rtl/>
              </w:rPr>
            </w:pPr>
            <w:r>
              <w:rPr>
                <w:rtl/>
              </w:rPr>
              <w:t>בסעיף 46 לפקודה –</w:t>
            </w:r>
          </w:p>
        </w:tc>
      </w:tr>
      <w:tr w:rsidR="005626F0" w14:paraId="1EC10F2C" w14:textId="77777777" w:rsidTr="00EA1799">
        <w:trPr>
          <w:cantSplit/>
          <w:trHeight w:val="60"/>
        </w:trPr>
        <w:tc>
          <w:tcPr>
            <w:tcW w:w="1871" w:type="dxa"/>
          </w:tcPr>
          <w:p w14:paraId="5404E11B" w14:textId="77777777" w:rsidR="005626F0" w:rsidRDefault="005626F0" w:rsidP="00EA1799">
            <w:pPr>
              <w:pStyle w:val="TableSideHeading"/>
              <w:rPr>
                <w:rtl/>
              </w:rPr>
            </w:pPr>
          </w:p>
        </w:tc>
        <w:tc>
          <w:tcPr>
            <w:tcW w:w="624" w:type="dxa"/>
          </w:tcPr>
          <w:p w14:paraId="5A3CAF02" w14:textId="77777777" w:rsidR="005626F0" w:rsidRDefault="005626F0" w:rsidP="00EA1799">
            <w:pPr>
              <w:pStyle w:val="TableText"/>
              <w:rPr>
                <w:rtl/>
              </w:rPr>
            </w:pPr>
          </w:p>
        </w:tc>
        <w:tc>
          <w:tcPr>
            <w:tcW w:w="7146" w:type="dxa"/>
            <w:gridSpan w:val="4"/>
          </w:tcPr>
          <w:p w14:paraId="6512D6A3" w14:textId="77777777" w:rsidR="005626F0" w:rsidRDefault="005626F0" w:rsidP="00EA1799">
            <w:pPr>
              <w:pStyle w:val="TableText"/>
              <w:rPr>
                <w:rtl/>
              </w:rPr>
            </w:pPr>
            <w:r>
              <w:rPr>
                <w:rtl/>
              </w:rPr>
              <w:t>(1)</w:t>
            </w:r>
            <w:r>
              <w:rPr>
                <w:rtl/>
              </w:rPr>
              <w:tab/>
              <w:t>אחרי סעיף קטן (א2) יבוא:</w:t>
            </w:r>
          </w:p>
        </w:tc>
      </w:tr>
      <w:tr w:rsidR="005626F0" w14:paraId="41353356" w14:textId="77777777" w:rsidTr="00EA1799">
        <w:trPr>
          <w:cantSplit/>
          <w:trHeight w:val="60"/>
        </w:trPr>
        <w:tc>
          <w:tcPr>
            <w:tcW w:w="1871" w:type="dxa"/>
          </w:tcPr>
          <w:p w14:paraId="6F6FCA4C" w14:textId="77777777" w:rsidR="005626F0" w:rsidRDefault="005626F0" w:rsidP="00EA1799">
            <w:pPr>
              <w:pStyle w:val="TableSideHeading"/>
            </w:pPr>
          </w:p>
        </w:tc>
        <w:tc>
          <w:tcPr>
            <w:tcW w:w="624" w:type="dxa"/>
          </w:tcPr>
          <w:p w14:paraId="2EB0B21B" w14:textId="77777777" w:rsidR="005626F0" w:rsidRDefault="005626F0" w:rsidP="00EA1799">
            <w:pPr>
              <w:pStyle w:val="TableText"/>
            </w:pPr>
          </w:p>
        </w:tc>
        <w:tc>
          <w:tcPr>
            <w:tcW w:w="624" w:type="dxa"/>
          </w:tcPr>
          <w:p w14:paraId="4BAD903F" w14:textId="77777777" w:rsidR="005626F0" w:rsidRDefault="005626F0" w:rsidP="00EA1799">
            <w:pPr>
              <w:pStyle w:val="TableText"/>
              <w:rPr>
                <w:rtl/>
              </w:rPr>
            </w:pPr>
          </w:p>
        </w:tc>
        <w:tc>
          <w:tcPr>
            <w:tcW w:w="6522" w:type="dxa"/>
            <w:gridSpan w:val="3"/>
          </w:tcPr>
          <w:p w14:paraId="5C83A3F1" w14:textId="77777777" w:rsidR="005626F0" w:rsidRDefault="005626F0" w:rsidP="00EA1799">
            <w:pPr>
              <w:pStyle w:val="TableBlock"/>
              <w:rPr>
                <w:rtl/>
              </w:rPr>
            </w:pPr>
            <w:r>
              <w:rPr>
                <w:rtl/>
              </w:rPr>
              <w:t>"(א3)</w:t>
            </w:r>
            <w:r>
              <w:rPr>
                <w:rtl/>
              </w:rPr>
              <w:tab/>
              <w:t>שר האוצר, באישור ועדת הכספים של הכנסת, יקבע בתקנות את התנאים והאישורים הדרושים להכרה במוסד ציבורי ולמתן אישור לעניין סעיף זה, לרבות לעניין הגשת דוחות לרשות המסים ועמידה בהוראות לעניין ניגוד עניינים.";</w:t>
            </w:r>
          </w:p>
        </w:tc>
      </w:tr>
      <w:tr w:rsidR="005626F0" w14:paraId="5660F0B1" w14:textId="77777777" w:rsidTr="00EA1799">
        <w:trPr>
          <w:cantSplit/>
          <w:trHeight w:val="60"/>
        </w:trPr>
        <w:tc>
          <w:tcPr>
            <w:tcW w:w="1871" w:type="dxa"/>
          </w:tcPr>
          <w:p w14:paraId="30FF3B77" w14:textId="77777777" w:rsidR="005626F0" w:rsidRDefault="005626F0" w:rsidP="00EA1799">
            <w:pPr>
              <w:pStyle w:val="TableSideHeading"/>
            </w:pPr>
          </w:p>
        </w:tc>
        <w:tc>
          <w:tcPr>
            <w:tcW w:w="624" w:type="dxa"/>
          </w:tcPr>
          <w:p w14:paraId="4A991A2C" w14:textId="77777777" w:rsidR="005626F0" w:rsidRDefault="005626F0" w:rsidP="00EA1799">
            <w:pPr>
              <w:pStyle w:val="TableText"/>
            </w:pPr>
          </w:p>
        </w:tc>
        <w:tc>
          <w:tcPr>
            <w:tcW w:w="7146" w:type="dxa"/>
            <w:gridSpan w:val="4"/>
          </w:tcPr>
          <w:p w14:paraId="6E8DF0EF" w14:textId="77777777" w:rsidR="005626F0" w:rsidRDefault="005626F0" w:rsidP="00EA1799">
            <w:pPr>
              <w:pStyle w:val="TableText"/>
              <w:rPr>
                <w:rtl/>
              </w:rPr>
            </w:pPr>
            <w:r>
              <w:rPr>
                <w:rtl/>
              </w:rPr>
              <w:t>(2)</w:t>
            </w:r>
            <w:r>
              <w:rPr>
                <w:rtl/>
              </w:rPr>
              <w:tab/>
              <w:t>אחרי סעיף קטן (ד) יבוא:</w:t>
            </w:r>
          </w:p>
        </w:tc>
      </w:tr>
      <w:tr w:rsidR="005626F0" w14:paraId="017F732B" w14:textId="77777777" w:rsidTr="00EA1799">
        <w:trPr>
          <w:cantSplit/>
          <w:trHeight w:val="60"/>
        </w:trPr>
        <w:tc>
          <w:tcPr>
            <w:tcW w:w="1871" w:type="dxa"/>
          </w:tcPr>
          <w:p w14:paraId="5FFE977B" w14:textId="77777777" w:rsidR="005626F0" w:rsidRDefault="005626F0" w:rsidP="00EA1799">
            <w:pPr>
              <w:pStyle w:val="TableSideHeading"/>
            </w:pPr>
          </w:p>
        </w:tc>
        <w:tc>
          <w:tcPr>
            <w:tcW w:w="624" w:type="dxa"/>
          </w:tcPr>
          <w:p w14:paraId="45063A13" w14:textId="77777777" w:rsidR="005626F0" w:rsidRDefault="005626F0" w:rsidP="00EA1799">
            <w:pPr>
              <w:pStyle w:val="TableText"/>
            </w:pPr>
          </w:p>
        </w:tc>
        <w:tc>
          <w:tcPr>
            <w:tcW w:w="624" w:type="dxa"/>
          </w:tcPr>
          <w:p w14:paraId="1AEED66D" w14:textId="77777777" w:rsidR="005626F0" w:rsidRDefault="005626F0" w:rsidP="00EA1799">
            <w:pPr>
              <w:pStyle w:val="TableText"/>
            </w:pPr>
          </w:p>
        </w:tc>
        <w:tc>
          <w:tcPr>
            <w:tcW w:w="624" w:type="dxa"/>
          </w:tcPr>
          <w:p w14:paraId="57A4E02C" w14:textId="77777777" w:rsidR="005626F0" w:rsidRDefault="005626F0" w:rsidP="00EA1799">
            <w:pPr>
              <w:pStyle w:val="TableText"/>
            </w:pPr>
            <w:r>
              <w:rPr>
                <w:rtl/>
              </w:rPr>
              <w:t>"(ה)</w:t>
            </w:r>
          </w:p>
        </w:tc>
        <w:tc>
          <w:tcPr>
            <w:tcW w:w="5898" w:type="dxa"/>
            <w:gridSpan w:val="2"/>
          </w:tcPr>
          <w:p w14:paraId="6B38EA3F" w14:textId="77777777" w:rsidR="005626F0" w:rsidRDefault="005626F0" w:rsidP="00EA1799">
            <w:pPr>
              <w:pStyle w:val="TableBlock"/>
            </w:pPr>
            <w:r>
              <w:rPr>
                <w:rtl/>
              </w:rPr>
              <w:t>(1)</w:t>
            </w:r>
            <w:r>
              <w:rPr>
                <w:rtl/>
              </w:rPr>
              <w:tab/>
              <w:t xml:space="preserve">שר האוצר יתקין תקנות על שיעור תקרת הוצאות ההנהלה וכלליות של מוסד ציבורי, כאמור בסעיף קטן (א), ובלבד שיחולו אלה : </w:t>
            </w:r>
          </w:p>
        </w:tc>
      </w:tr>
      <w:tr w:rsidR="005626F0" w14:paraId="0E8FAF76" w14:textId="77777777" w:rsidTr="00EA1799">
        <w:trPr>
          <w:cantSplit/>
          <w:trHeight w:val="60"/>
        </w:trPr>
        <w:tc>
          <w:tcPr>
            <w:tcW w:w="1871" w:type="dxa"/>
          </w:tcPr>
          <w:p w14:paraId="1171EAE7" w14:textId="77777777" w:rsidR="005626F0" w:rsidRDefault="005626F0" w:rsidP="00EA1799">
            <w:pPr>
              <w:pStyle w:val="TableSideHeading"/>
            </w:pPr>
          </w:p>
        </w:tc>
        <w:tc>
          <w:tcPr>
            <w:tcW w:w="624" w:type="dxa"/>
          </w:tcPr>
          <w:p w14:paraId="5A4D4ED3" w14:textId="77777777" w:rsidR="005626F0" w:rsidRDefault="005626F0" w:rsidP="00EA1799">
            <w:pPr>
              <w:pStyle w:val="TableText"/>
            </w:pPr>
          </w:p>
        </w:tc>
        <w:tc>
          <w:tcPr>
            <w:tcW w:w="624" w:type="dxa"/>
          </w:tcPr>
          <w:p w14:paraId="62D5CEC0" w14:textId="77777777" w:rsidR="005626F0" w:rsidRDefault="005626F0" w:rsidP="00EA1799">
            <w:pPr>
              <w:pStyle w:val="TableText"/>
            </w:pPr>
          </w:p>
        </w:tc>
        <w:tc>
          <w:tcPr>
            <w:tcW w:w="624" w:type="dxa"/>
          </w:tcPr>
          <w:p w14:paraId="3F699908" w14:textId="77777777" w:rsidR="005626F0" w:rsidRDefault="005626F0" w:rsidP="00EA1799">
            <w:pPr>
              <w:pStyle w:val="TableText"/>
            </w:pPr>
          </w:p>
        </w:tc>
        <w:tc>
          <w:tcPr>
            <w:tcW w:w="624" w:type="dxa"/>
          </w:tcPr>
          <w:p w14:paraId="5120965B" w14:textId="77777777" w:rsidR="005626F0" w:rsidRDefault="005626F0" w:rsidP="00EA1799">
            <w:pPr>
              <w:pStyle w:val="TableText"/>
            </w:pPr>
          </w:p>
        </w:tc>
        <w:tc>
          <w:tcPr>
            <w:tcW w:w="5274" w:type="dxa"/>
          </w:tcPr>
          <w:p w14:paraId="6A3501B7" w14:textId="77777777" w:rsidR="005626F0" w:rsidRDefault="005626F0" w:rsidP="00EA1799">
            <w:pPr>
              <w:pStyle w:val="TableBlock"/>
            </w:pPr>
            <w:r>
              <w:rPr>
                <w:rtl/>
              </w:rPr>
              <w:t>(א)</w:t>
            </w:r>
            <w:r>
              <w:rPr>
                <w:rtl/>
              </w:rPr>
              <w:tab/>
              <w:t>שיעור תקרת הוצאות הנהלה והוצאות כלליות של מוסד ציבורי שמחזור הכנסותיו השנתי לא עולה על 10 מיליון שקלים חדשים לא יעלה על 22% מתוך מחזור הכנסותיו השנתי;</w:t>
            </w:r>
          </w:p>
        </w:tc>
      </w:tr>
      <w:tr w:rsidR="005626F0" w14:paraId="2A0A4EC0" w14:textId="77777777" w:rsidTr="00EA1799">
        <w:trPr>
          <w:cantSplit/>
          <w:trHeight w:val="60"/>
        </w:trPr>
        <w:tc>
          <w:tcPr>
            <w:tcW w:w="1871" w:type="dxa"/>
          </w:tcPr>
          <w:p w14:paraId="394AFD83" w14:textId="77777777" w:rsidR="005626F0" w:rsidRDefault="005626F0" w:rsidP="00EA1799">
            <w:pPr>
              <w:pStyle w:val="TableSideHeading"/>
            </w:pPr>
          </w:p>
        </w:tc>
        <w:tc>
          <w:tcPr>
            <w:tcW w:w="624" w:type="dxa"/>
          </w:tcPr>
          <w:p w14:paraId="0CEC548C" w14:textId="77777777" w:rsidR="005626F0" w:rsidRDefault="005626F0" w:rsidP="00EA1799">
            <w:pPr>
              <w:pStyle w:val="TableText"/>
            </w:pPr>
          </w:p>
        </w:tc>
        <w:tc>
          <w:tcPr>
            <w:tcW w:w="624" w:type="dxa"/>
          </w:tcPr>
          <w:p w14:paraId="61743D0C" w14:textId="77777777" w:rsidR="005626F0" w:rsidRDefault="005626F0" w:rsidP="00EA1799">
            <w:pPr>
              <w:pStyle w:val="TableText"/>
            </w:pPr>
          </w:p>
        </w:tc>
        <w:tc>
          <w:tcPr>
            <w:tcW w:w="624" w:type="dxa"/>
          </w:tcPr>
          <w:p w14:paraId="4356EC6C" w14:textId="77777777" w:rsidR="005626F0" w:rsidRDefault="005626F0" w:rsidP="00EA1799">
            <w:pPr>
              <w:pStyle w:val="TableText"/>
            </w:pPr>
          </w:p>
        </w:tc>
        <w:tc>
          <w:tcPr>
            <w:tcW w:w="624" w:type="dxa"/>
          </w:tcPr>
          <w:p w14:paraId="78B8B6C2" w14:textId="77777777" w:rsidR="005626F0" w:rsidRDefault="005626F0" w:rsidP="00EA1799">
            <w:pPr>
              <w:pStyle w:val="TableText"/>
            </w:pPr>
          </w:p>
        </w:tc>
        <w:tc>
          <w:tcPr>
            <w:tcW w:w="5274" w:type="dxa"/>
          </w:tcPr>
          <w:p w14:paraId="61483446" w14:textId="77777777" w:rsidR="005626F0" w:rsidRDefault="005626F0" w:rsidP="00EA1799">
            <w:pPr>
              <w:pStyle w:val="TableBlock"/>
              <w:rPr>
                <w:rtl/>
              </w:rPr>
            </w:pPr>
            <w:r>
              <w:rPr>
                <w:rtl/>
              </w:rPr>
              <w:t>(ב)</w:t>
            </w:r>
            <w:r>
              <w:rPr>
                <w:rtl/>
              </w:rPr>
              <w:tab/>
              <w:t xml:space="preserve">שיעור תקרת ההוצאות של מוסד ציבורי שמחזור הכנסותיו השנתי עולה על 10 מיליון </w:t>
            </w:r>
            <w:r>
              <w:rPr>
                <w:rFonts w:hint="cs"/>
                <w:rtl/>
              </w:rPr>
              <w:t>ש</w:t>
            </w:r>
            <w:r>
              <w:rPr>
                <w:rtl/>
              </w:rPr>
              <w:t>קלים חדשים, לא יעלה על 7% מתוך מחזור הכנסתיו השנתי.</w:t>
            </w:r>
          </w:p>
        </w:tc>
      </w:tr>
      <w:tr w:rsidR="005626F0" w14:paraId="5EE70A24" w14:textId="77777777" w:rsidTr="00EA1799">
        <w:trPr>
          <w:cantSplit/>
          <w:trHeight w:val="60"/>
        </w:trPr>
        <w:tc>
          <w:tcPr>
            <w:tcW w:w="1871" w:type="dxa"/>
          </w:tcPr>
          <w:p w14:paraId="687BF61D" w14:textId="77777777" w:rsidR="005626F0" w:rsidRDefault="005626F0" w:rsidP="00EA1799">
            <w:pPr>
              <w:pStyle w:val="TableSideHeading"/>
            </w:pPr>
          </w:p>
        </w:tc>
        <w:tc>
          <w:tcPr>
            <w:tcW w:w="624" w:type="dxa"/>
          </w:tcPr>
          <w:p w14:paraId="769D929E" w14:textId="77777777" w:rsidR="005626F0" w:rsidRDefault="005626F0" w:rsidP="00EA1799">
            <w:pPr>
              <w:pStyle w:val="TableText"/>
            </w:pPr>
          </w:p>
        </w:tc>
        <w:tc>
          <w:tcPr>
            <w:tcW w:w="624" w:type="dxa"/>
          </w:tcPr>
          <w:p w14:paraId="160EC0AC" w14:textId="77777777" w:rsidR="005626F0" w:rsidRDefault="005626F0" w:rsidP="00EA1799">
            <w:pPr>
              <w:pStyle w:val="TableText"/>
            </w:pPr>
          </w:p>
        </w:tc>
        <w:tc>
          <w:tcPr>
            <w:tcW w:w="624" w:type="dxa"/>
          </w:tcPr>
          <w:p w14:paraId="4F0230F8" w14:textId="77777777" w:rsidR="005626F0" w:rsidRDefault="005626F0" w:rsidP="00EA1799">
            <w:pPr>
              <w:pStyle w:val="TableText"/>
              <w:rPr>
                <w:rtl/>
              </w:rPr>
            </w:pPr>
          </w:p>
        </w:tc>
        <w:tc>
          <w:tcPr>
            <w:tcW w:w="5898" w:type="dxa"/>
            <w:gridSpan w:val="2"/>
          </w:tcPr>
          <w:p w14:paraId="221D738F" w14:textId="77777777" w:rsidR="005626F0" w:rsidRDefault="005626F0" w:rsidP="00EA1799">
            <w:pPr>
              <w:pStyle w:val="TableBlock"/>
              <w:rPr>
                <w:rtl/>
              </w:rPr>
            </w:pPr>
            <w:r>
              <w:rPr>
                <w:rtl/>
              </w:rPr>
              <w:t>(2)</w:t>
            </w:r>
            <w:r>
              <w:rPr>
                <w:rtl/>
              </w:rPr>
              <w:tab/>
              <w:t>על אף האמור בפסקה (1), מוסד ציבורי בשלוש השנים הראשונות לקבלת אישור לפי סעיף זה יקראו לגביו את פסקה (1) כך שהשיעורים הקבועים בה יהיו כפולים.</w:t>
            </w:r>
          </w:p>
        </w:tc>
      </w:tr>
      <w:tr w:rsidR="005626F0" w14:paraId="36A8C9D0" w14:textId="77777777" w:rsidTr="00EA1799">
        <w:trPr>
          <w:cantSplit/>
          <w:trHeight w:val="60"/>
        </w:trPr>
        <w:tc>
          <w:tcPr>
            <w:tcW w:w="1871" w:type="dxa"/>
          </w:tcPr>
          <w:p w14:paraId="607CF512" w14:textId="77777777" w:rsidR="005626F0" w:rsidRDefault="005626F0" w:rsidP="00EA1799">
            <w:pPr>
              <w:pStyle w:val="TableSideHeading"/>
            </w:pPr>
          </w:p>
        </w:tc>
        <w:tc>
          <w:tcPr>
            <w:tcW w:w="624" w:type="dxa"/>
          </w:tcPr>
          <w:p w14:paraId="34D2A641" w14:textId="77777777" w:rsidR="005626F0" w:rsidRDefault="005626F0" w:rsidP="00EA1799">
            <w:pPr>
              <w:pStyle w:val="TableText"/>
            </w:pPr>
          </w:p>
        </w:tc>
        <w:tc>
          <w:tcPr>
            <w:tcW w:w="624" w:type="dxa"/>
          </w:tcPr>
          <w:p w14:paraId="1040E8FA" w14:textId="77777777" w:rsidR="005626F0" w:rsidRDefault="005626F0" w:rsidP="00EA1799">
            <w:pPr>
              <w:pStyle w:val="TableText"/>
            </w:pPr>
          </w:p>
        </w:tc>
        <w:tc>
          <w:tcPr>
            <w:tcW w:w="6522" w:type="dxa"/>
            <w:gridSpan w:val="3"/>
          </w:tcPr>
          <w:p w14:paraId="25367EBC" w14:textId="77777777" w:rsidR="005626F0" w:rsidRPr="007C3A0A" w:rsidRDefault="005626F0" w:rsidP="00EA1799">
            <w:pPr>
              <w:pStyle w:val="TableBlock"/>
              <w:rPr>
                <w:rtl/>
              </w:rPr>
            </w:pPr>
            <w:r w:rsidRPr="007C3A0A">
              <w:rPr>
                <w:rtl/>
              </w:rPr>
              <w:t>(ו)</w:t>
            </w:r>
            <w:r w:rsidRPr="007C3A0A">
              <w:rPr>
                <w:rtl/>
              </w:rPr>
              <w:tab/>
              <w:t>שכר מנהלי מוסד ציבור</w:t>
            </w:r>
            <w:r>
              <w:rPr>
                <w:rtl/>
              </w:rPr>
              <w:t xml:space="preserve"> ועובדיהם</w:t>
            </w:r>
            <w:r w:rsidRPr="007C3A0A">
              <w:rPr>
                <w:rtl/>
              </w:rPr>
              <w:t xml:space="preserve"> כאמור בסעיף קטן (א), לא </w:t>
            </w:r>
            <w:r>
              <w:rPr>
                <w:rtl/>
              </w:rPr>
              <w:t>י</w:t>
            </w:r>
            <w:r w:rsidRPr="007C3A0A">
              <w:rPr>
                <w:rtl/>
              </w:rPr>
              <w:t>עלה על שכר של מנהל כללי במשרד ממשלתי,</w:t>
            </w:r>
            <w:r>
              <w:rPr>
                <w:rtl/>
              </w:rPr>
              <w:t xml:space="preserve"> אלא אם כן השכר האמור נקבע בהסכם לפי כל דין, או בהסכם קיבוצי</w:t>
            </w:r>
            <w:r w:rsidRPr="007C3A0A">
              <w:rPr>
                <w:rtl/>
              </w:rPr>
              <w:t>.</w:t>
            </w:r>
          </w:p>
        </w:tc>
      </w:tr>
      <w:tr w:rsidR="005626F0" w14:paraId="348EEF17" w14:textId="77777777" w:rsidTr="00EA1799">
        <w:trPr>
          <w:cantSplit/>
          <w:trHeight w:val="60"/>
        </w:trPr>
        <w:tc>
          <w:tcPr>
            <w:tcW w:w="1871" w:type="dxa"/>
          </w:tcPr>
          <w:p w14:paraId="04531066" w14:textId="77777777" w:rsidR="005626F0" w:rsidRDefault="005626F0" w:rsidP="00EA1799">
            <w:pPr>
              <w:pStyle w:val="TableSideHeading"/>
            </w:pPr>
          </w:p>
        </w:tc>
        <w:tc>
          <w:tcPr>
            <w:tcW w:w="624" w:type="dxa"/>
          </w:tcPr>
          <w:p w14:paraId="01A8D8BF" w14:textId="77777777" w:rsidR="005626F0" w:rsidRDefault="005626F0" w:rsidP="00EA1799">
            <w:pPr>
              <w:pStyle w:val="TableText"/>
            </w:pPr>
          </w:p>
        </w:tc>
        <w:tc>
          <w:tcPr>
            <w:tcW w:w="624" w:type="dxa"/>
          </w:tcPr>
          <w:p w14:paraId="458FD9FF" w14:textId="77777777" w:rsidR="005626F0" w:rsidRDefault="005626F0" w:rsidP="00EA1799">
            <w:pPr>
              <w:pStyle w:val="TableText"/>
            </w:pPr>
          </w:p>
        </w:tc>
        <w:tc>
          <w:tcPr>
            <w:tcW w:w="624" w:type="dxa"/>
          </w:tcPr>
          <w:p w14:paraId="3AAAF7D6" w14:textId="77777777" w:rsidR="005626F0" w:rsidRDefault="005626F0" w:rsidP="00EA1799">
            <w:pPr>
              <w:pStyle w:val="TableText"/>
              <w:rPr>
                <w:rtl/>
              </w:rPr>
            </w:pPr>
            <w:r>
              <w:rPr>
                <w:rtl/>
              </w:rPr>
              <w:t>(ז)</w:t>
            </w:r>
          </w:p>
        </w:tc>
        <w:tc>
          <w:tcPr>
            <w:tcW w:w="5898" w:type="dxa"/>
            <w:gridSpan w:val="2"/>
          </w:tcPr>
          <w:p w14:paraId="4BF296C5" w14:textId="77777777" w:rsidR="005626F0" w:rsidRDefault="005626F0" w:rsidP="00EA1799">
            <w:pPr>
              <w:pStyle w:val="TableBlock"/>
              <w:rPr>
                <w:rtl/>
              </w:rPr>
            </w:pPr>
            <w:r>
              <w:rPr>
                <w:rtl/>
              </w:rPr>
              <w:t>(1)</w:t>
            </w:r>
            <w:r>
              <w:rPr>
                <w:rtl/>
              </w:rPr>
              <w:tab/>
            </w:r>
            <w:r>
              <w:rPr>
                <w:rFonts w:hint="cs"/>
                <w:rtl/>
              </w:rPr>
              <w:t>תמונה</w:t>
            </w:r>
            <w:r>
              <w:rPr>
                <w:rtl/>
              </w:rPr>
              <w:t xml:space="preserve"> ועדה לעניין סעיף זה (בחוק זה – הוועדה לעניין סעיף 46) בת חמישה חברים, </w:t>
            </w:r>
            <w:r>
              <w:rPr>
                <w:rFonts w:hint="cs"/>
                <w:rtl/>
              </w:rPr>
              <w:t>והם</w:t>
            </w:r>
            <w:r>
              <w:rPr>
                <w:rtl/>
              </w:rPr>
              <w:t xml:space="preserve">: </w:t>
            </w:r>
          </w:p>
        </w:tc>
      </w:tr>
      <w:tr w:rsidR="005626F0" w14:paraId="4E6ED8CA" w14:textId="77777777" w:rsidTr="00EA1799">
        <w:trPr>
          <w:cantSplit/>
          <w:trHeight w:val="60"/>
        </w:trPr>
        <w:tc>
          <w:tcPr>
            <w:tcW w:w="1871" w:type="dxa"/>
          </w:tcPr>
          <w:p w14:paraId="6A7711EE" w14:textId="77777777" w:rsidR="005626F0" w:rsidRDefault="005626F0" w:rsidP="00EA1799">
            <w:pPr>
              <w:pStyle w:val="TableSideHeading"/>
            </w:pPr>
          </w:p>
        </w:tc>
        <w:tc>
          <w:tcPr>
            <w:tcW w:w="624" w:type="dxa"/>
          </w:tcPr>
          <w:p w14:paraId="74F7C9B9" w14:textId="77777777" w:rsidR="005626F0" w:rsidRDefault="005626F0" w:rsidP="00EA1799">
            <w:pPr>
              <w:pStyle w:val="TableText"/>
            </w:pPr>
          </w:p>
        </w:tc>
        <w:tc>
          <w:tcPr>
            <w:tcW w:w="624" w:type="dxa"/>
          </w:tcPr>
          <w:p w14:paraId="6102BE7C" w14:textId="77777777" w:rsidR="005626F0" w:rsidRDefault="005626F0" w:rsidP="00EA1799">
            <w:pPr>
              <w:pStyle w:val="TableText"/>
            </w:pPr>
          </w:p>
        </w:tc>
        <w:tc>
          <w:tcPr>
            <w:tcW w:w="624" w:type="dxa"/>
          </w:tcPr>
          <w:p w14:paraId="415273B0" w14:textId="77777777" w:rsidR="005626F0" w:rsidRDefault="005626F0" w:rsidP="00EA1799">
            <w:pPr>
              <w:pStyle w:val="TableText"/>
            </w:pPr>
          </w:p>
        </w:tc>
        <w:tc>
          <w:tcPr>
            <w:tcW w:w="624" w:type="dxa"/>
          </w:tcPr>
          <w:p w14:paraId="132CFC35" w14:textId="77777777" w:rsidR="005626F0" w:rsidRDefault="005626F0" w:rsidP="00EA1799">
            <w:pPr>
              <w:pStyle w:val="TableText"/>
            </w:pPr>
          </w:p>
        </w:tc>
        <w:tc>
          <w:tcPr>
            <w:tcW w:w="5274" w:type="dxa"/>
          </w:tcPr>
          <w:p w14:paraId="3FD44BDB" w14:textId="77777777" w:rsidR="005626F0" w:rsidRPr="007C3A0A" w:rsidRDefault="005626F0" w:rsidP="00EA1799">
            <w:pPr>
              <w:pStyle w:val="TableBlock"/>
            </w:pPr>
            <w:r>
              <w:rPr>
                <w:rtl/>
              </w:rPr>
              <w:t>(א)</w:t>
            </w:r>
            <w:r>
              <w:rPr>
                <w:rtl/>
              </w:rPr>
              <w:tab/>
              <w:t>שני נציגי ציבור שימנ</w:t>
            </w:r>
            <w:r>
              <w:rPr>
                <w:rFonts w:hint="cs"/>
                <w:rtl/>
              </w:rPr>
              <w:t>ו</w:t>
            </w:r>
            <w:r>
              <w:rPr>
                <w:rtl/>
              </w:rPr>
              <w:t xml:space="preserve"> שר האוצר</w:t>
            </w:r>
            <w:r>
              <w:rPr>
                <w:rFonts w:hint="cs"/>
                <w:rtl/>
              </w:rPr>
              <w:t xml:space="preserve"> ושר המשפטים</w:t>
            </w:r>
            <w:r>
              <w:rPr>
                <w:rtl/>
              </w:rPr>
              <w:t>;</w:t>
            </w:r>
          </w:p>
        </w:tc>
      </w:tr>
      <w:tr w:rsidR="005626F0" w14:paraId="168DDEF1" w14:textId="77777777" w:rsidTr="00EA1799">
        <w:trPr>
          <w:cantSplit/>
          <w:trHeight w:val="60"/>
        </w:trPr>
        <w:tc>
          <w:tcPr>
            <w:tcW w:w="1871" w:type="dxa"/>
          </w:tcPr>
          <w:p w14:paraId="0D7F9B1F" w14:textId="77777777" w:rsidR="005626F0" w:rsidRDefault="005626F0" w:rsidP="00EA1799">
            <w:pPr>
              <w:pStyle w:val="TableSideHeading"/>
            </w:pPr>
          </w:p>
        </w:tc>
        <w:tc>
          <w:tcPr>
            <w:tcW w:w="624" w:type="dxa"/>
          </w:tcPr>
          <w:p w14:paraId="736EB0A7" w14:textId="77777777" w:rsidR="005626F0" w:rsidRDefault="005626F0" w:rsidP="00EA1799">
            <w:pPr>
              <w:pStyle w:val="TableText"/>
            </w:pPr>
          </w:p>
        </w:tc>
        <w:tc>
          <w:tcPr>
            <w:tcW w:w="624" w:type="dxa"/>
          </w:tcPr>
          <w:p w14:paraId="787BDFF0" w14:textId="77777777" w:rsidR="005626F0" w:rsidRDefault="005626F0" w:rsidP="00EA1799">
            <w:pPr>
              <w:pStyle w:val="TableText"/>
            </w:pPr>
          </w:p>
        </w:tc>
        <w:tc>
          <w:tcPr>
            <w:tcW w:w="624" w:type="dxa"/>
          </w:tcPr>
          <w:p w14:paraId="434B0255" w14:textId="77777777" w:rsidR="005626F0" w:rsidRDefault="005626F0" w:rsidP="00EA1799">
            <w:pPr>
              <w:pStyle w:val="TableText"/>
            </w:pPr>
          </w:p>
        </w:tc>
        <w:tc>
          <w:tcPr>
            <w:tcW w:w="624" w:type="dxa"/>
          </w:tcPr>
          <w:p w14:paraId="2FA5525E" w14:textId="77777777" w:rsidR="005626F0" w:rsidRDefault="005626F0" w:rsidP="00EA1799">
            <w:pPr>
              <w:pStyle w:val="TableText"/>
            </w:pPr>
          </w:p>
        </w:tc>
        <w:tc>
          <w:tcPr>
            <w:tcW w:w="5274" w:type="dxa"/>
          </w:tcPr>
          <w:p w14:paraId="7455B1AB" w14:textId="77777777" w:rsidR="005626F0" w:rsidRDefault="005626F0" w:rsidP="00EA1799">
            <w:pPr>
              <w:pStyle w:val="TableBlock"/>
              <w:rPr>
                <w:rtl/>
              </w:rPr>
            </w:pPr>
            <w:r>
              <w:rPr>
                <w:rtl/>
              </w:rPr>
              <w:t>(ב)</w:t>
            </w:r>
            <w:r>
              <w:rPr>
                <w:rtl/>
              </w:rPr>
              <w:tab/>
            </w:r>
            <w:r>
              <w:rPr>
                <w:rFonts w:hint="cs"/>
                <w:rtl/>
              </w:rPr>
              <w:t>עובד</w:t>
            </w:r>
            <w:r>
              <w:rPr>
                <w:rtl/>
              </w:rPr>
              <w:t xml:space="preserve"> משרד המשפטים</w:t>
            </w:r>
            <w:r>
              <w:rPr>
                <w:rFonts w:hint="cs"/>
                <w:rtl/>
              </w:rPr>
              <w:t xml:space="preserve"> שימנה שר המשפטים</w:t>
            </w:r>
            <w:r>
              <w:rPr>
                <w:rtl/>
              </w:rPr>
              <w:t>;</w:t>
            </w:r>
          </w:p>
        </w:tc>
      </w:tr>
      <w:tr w:rsidR="005626F0" w14:paraId="23A45123" w14:textId="77777777" w:rsidTr="00EA1799">
        <w:trPr>
          <w:cantSplit/>
          <w:trHeight w:val="60"/>
        </w:trPr>
        <w:tc>
          <w:tcPr>
            <w:tcW w:w="1871" w:type="dxa"/>
          </w:tcPr>
          <w:p w14:paraId="5BAE73BA" w14:textId="77777777" w:rsidR="005626F0" w:rsidRDefault="005626F0" w:rsidP="00EA1799">
            <w:pPr>
              <w:pStyle w:val="TableSideHeading"/>
            </w:pPr>
          </w:p>
        </w:tc>
        <w:tc>
          <w:tcPr>
            <w:tcW w:w="624" w:type="dxa"/>
          </w:tcPr>
          <w:p w14:paraId="4E9A9EE8" w14:textId="77777777" w:rsidR="005626F0" w:rsidRDefault="005626F0" w:rsidP="00EA1799">
            <w:pPr>
              <w:pStyle w:val="TableText"/>
            </w:pPr>
          </w:p>
        </w:tc>
        <w:tc>
          <w:tcPr>
            <w:tcW w:w="624" w:type="dxa"/>
          </w:tcPr>
          <w:p w14:paraId="1CCEF92F" w14:textId="77777777" w:rsidR="005626F0" w:rsidRDefault="005626F0" w:rsidP="00EA1799">
            <w:pPr>
              <w:pStyle w:val="TableText"/>
            </w:pPr>
          </w:p>
        </w:tc>
        <w:tc>
          <w:tcPr>
            <w:tcW w:w="624" w:type="dxa"/>
          </w:tcPr>
          <w:p w14:paraId="4B3A3DD1" w14:textId="77777777" w:rsidR="005626F0" w:rsidRDefault="005626F0" w:rsidP="00EA1799">
            <w:pPr>
              <w:pStyle w:val="TableText"/>
            </w:pPr>
          </w:p>
        </w:tc>
        <w:tc>
          <w:tcPr>
            <w:tcW w:w="624" w:type="dxa"/>
          </w:tcPr>
          <w:p w14:paraId="1462482E" w14:textId="77777777" w:rsidR="005626F0" w:rsidRDefault="005626F0" w:rsidP="00EA1799">
            <w:pPr>
              <w:pStyle w:val="TableText"/>
            </w:pPr>
          </w:p>
        </w:tc>
        <w:tc>
          <w:tcPr>
            <w:tcW w:w="5274" w:type="dxa"/>
          </w:tcPr>
          <w:p w14:paraId="1977CA9B" w14:textId="77777777" w:rsidR="005626F0" w:rsidRDefault="005626F0" w:rsidP="00EA1799">
            <w:pPr>
              <w:pStyle w:val="TableBlock"/>
              <w:rPr>
                <w:rtl/>
              </w:rPr>
            </w:pPr>
            <w:r>
              <w:rPr>
                <w:rtl/>
              </w:rPr>
              <w:t>(ג)</w:t>
            </w:r>
            <w:r>
              <w:rPr>
                <w:rtl/>
              </w:rPr>
              <w:tab/>
              <w:t xml:space="preserve">שני </w:t>
            </w:r>
            <w:r>
              <w:rPr>
                <w:rFonts w:hint="cs"/>
                <w:rtl/>
              </w:rPr>
              <w:t>עובדי</w:t>
            </w:r>
            <w:r>
              <w:rPr>
                <w:rtl/>
              </w:rPr>
              <w:t xml:space="preserve"> רשות המסים</w:t>
            </w:r>
            <w:r>
              <w:rPr>
                <w:rFonts w:hint="cs"/>
                <w:rtl/>
              </w:rPr>
              <w:t xml:space="preserve"> שימנה שר האוצר, לפי המלצת מנהל רשות המסים</w:t>
            </w:r>
            <w:r>
              <w:rPr>
                <w:rtl/>
              </w:rPr>
              <w:t>.</w:t>
            </w:r>
          </w:p>
        </w:tc>
      </w:tr>
      <w:tr w:rsidR="005626F0" w14:paraId="71E0F5DB" w14:textId="77777777" w:rsidTr="00EA1799">
        <w:trPr>
          <w:cantSplit/>
          <w:trHeight w:val="60"/>
        </w:trPr>
        <w:tc>
          <w:tcPr>
            <w:tcW w:w="1871" w:type="dxa"/>
          </w:tcPr>
          <w:p w14:paraId="71C9615C" w14:textId="77777777" w:rsidR="005626F0" w:rsidRDefault="005626F0" w:rsidP="00EA1799">
            <w:pPr>
              <w:pStyle w:val="TableSideHeading"/>
            </w:pPr>
          </w:p>
        </w:tc>
        <w:tc>
          <w:tcPr>
            <w:tcW w:w="624" w:type="dxa"/>
          </w:tcPr>
          <w:p w14:paraId="55A908B9" w14:textId="77777777" w:rsidR="005626F0" w:rsidRDefault="005626F0" w:rsidP="00EA1799">
            <w:pPr>
              <w:pStyle w:val="TableText"/>
            </w:pPr>
          </w:p>
        </w:tc>
        <w:tc>
          <w:tcPr>
            <w:tcW w:w="624" w:type="dxa"/>
          </w:tcPr>
          <w:p w14:paraId="50C07640" w14:textId="77777777" w:rsidR="005626F0" w:rsidRDefault="005626F0" w:rsidP="00EA1799">
            <w:pPr>
              <w:pStyle w:val="TableText"/>
            </w:pPr>
          </w:p>
        </w:tc>
        <w:tc>
          <w:tcPr>
            <w:tcW w:w="624" w:type="dxa"/>
          </w:tcPr>
          <w:p w14:paraId="02855550" w14:textId="77777777" w:rsidR="005626F0" w:rsidRDefault="005626F0" w:rsidP="00EA1799">
            <w:pPr>
              <w:pStyle w:val="TableText"/>
              <w:rPr>
                <w:rtl/>
              </w:rPr>
            </w:pPr>
          </w:p>
        </w:tc>
        <w:tc>
          <w:tcPr>
            <w:tcW w:w="5898" w:type="dxa"/>
            <w:gridSpan w:val="2"/>
          </w:tcPr>
          <w:p w14:paraId="50268C4B" w14:textId="77777777" w:rsidR="005626F0" w:rsidRDefault="005626F0" w:rsidP="00EA1799">
            <w:pPr>
              <w:pStyle w:val="TableBlock"/>
              <w:rPr>
                <w:rtl/>
              </w:rPr>
            </w:pPr>
            <w:r>
              <w:rPr>
                <w:rtl/>
              </w:rPr>
              <w:t>(2)</w:t>
            </w:r>
            <w:r>
              <w:rPr>
                <w:rtl/>
              </w:rPr>
              <w:tab/>
              <w:t>הוועדה לעניין סעיף 46 תדון בבקשות מוסדות ציבור ותעביר המלצה למנהל רשות המסים, שיעביר רשימה לוועדת הכספים של הכנסת (בסעיף זה – רשימת מוסדות הציבור).</w:t>
            </w:r>
          </w:p>
        </w:tc>
      </w:tr>
      <w:tr w:rsidR="005626F0" w14:paraId="0C9E5621" w14:textId="77777777" w:rsidTr="00EA1799">
        <w:trPr>
          <w:cantSplit/>
          <w:trHeight w:val="60"/>
        </w:trPr>
        <w:tc>
          <w:tcPr>
            <w:tcW w:w="1871" w:type="dxa"/>
          </w:tcPr>
          <w:p w14:paraId="5E44D6E1" w14:textId="77777777" w:rsidR="005626F0" w:rsidRDefault="005626F0" w:rsidP="00EA1799">
            <w:pPr>
              <w:pStyle w:val="TableSideHeading"/>
            </w:pPr>
          </w:p>
        </w:tc>
        <w:tc>
          <w:tcPr>
            <w:tcW w:w="624" w:type="dxa"/>
          </w:tcPr>
          <w:p w14:paraId="11F46D8D" w14:textId="77777777" w:rsidR="005626F0" w:rsidRDefault="005626F0" w:rsidP="00EA1799">
            <w:pPr>
              <w:pStyle w:val="TableText"/>
            </w:pPr>
          </w:p>
        </w:tc>
        <w:tc>
          <w:tcPr>
            <w:tcW w:w="624" w:type="dxa"/>
          </w:tcPr>
          <w:p w14:paraId="691B7EB4" w14:textId="77777777" w:rsidR="005626F0" w:rsidRDefault="005626F0" w:rsidP="00EA1799">
            <w:pPr>
              <w:pStyle w:val="TableText"/>
            </w:pPr>
          </w:p>
        </w:tc>
        <w:tc>
          <w:tcPr>
            <w:tcW w:w="624" w:type="dxa"/>
          </w:tcPr>
          <w:p w14:paraId="5ED8C057" w14:textId="77777777" w:rsidR="005626F0" w:rsidRDefault="005626F0" w:rsidP="00EA1799">
            <w:pPr>
              <w:pStyle w:val="TableText"/>
              <w:rPr>
                <w:rtl/>
              </w:rPr>
            </w:pPr>
          </w:p>
        </w:tc>
        <w:tc>
          <w:tcPr>
            <w:tcW w:w="5898" w:type="dxa"/>
            <w:gridSpan w:val="2"/>
          </w:tcPr>
          <w:p w14:paraId="3C57BA99" w14:textId="77777777" w:rsidR="005626F0" w:rsidRDefault="005626F0" w:rsidP="00EA1799">
            <w:pPr>
              <w:pStyle w:val="TableBlock"/>
              <w:rPr>
                <w:rtl/>
              </w:rPr>
            </w:pPr>
            <w:r>
              <w:rPr>
                <w:rtl/>
              </w:rPr>
              <w:t>(3)</w:t>
            </w:r>
            <w:r>
              <w:rPr>
                <w:rtl/>
              </w:rPr>
              <w:tab/>
              <w:t>רשימת מוסדות הציבור תאושר על ידי ועדת הכספים בתוך 14 ימים, אלא אם כן ביקש חבר בוועדת הכספים לקיים עליה דיון מסיבות שינמק; התקיים דיון כאמור – תאושר הרשימה בהצבעה</w:t>
            </w:r>
            <w:r>
              <w:rPr>
                <w:rFonts w:hint="cs"/>
                <w:rtl/>
              </w:rPr>
              <w:t>.</w:t>
            </w:r>
          </w:p>
        </w:tc>
      </w:tr>
      <w:tr w:rsidR="005626F0" w14:paraId="6D7F5CDD" w14:textId="77777777" w:rsidTr="00EA1799">
        <w:trPr>
          <w:cantSplit/>
          <w:trHeight w:val="60"/>
        </w:trPr>
        <w:tc>
          <w:tcPr>
            <w:tcW w:w="1871" w:type="dxa"/>
          </w:tcPr>
          <w:p w14:paraId="315ADB99" w14:textId="77777777" w:rsidR="005626F0" w:rsidRDefault="005626F0" w:rsidP="00EA1799">
            <w:pPr>
              <w:pStyle w:val="TableSideHeading"/>
            </w:pPr>
          </w:p>
        </w:tc>
        <w:tc>
          <w:tcPr>
            <w:tcW w:w="624" w:type="dxa"/>
          </w:tcPr>
          <w:p w14:paraId="05A74B7C" w14:textId="77777777" w:rsidR="005626F0" w:rsidRDefault="005626F0" w:rsidP="00EA1799">
            <w:pPr>
              <w:pStyle w:val="TableText"/>
            </w:pPr>
          </w:p>
        </w:tc>
        <w:tc>
          <w:tcPr>
            <w:tcW w:w="624" w:type="dxa"/>
          </w:tcPr>
          <w:p w14:paraId="7E0791C9" w14:textId="77777777" w:rsidR="005626F0" w:rsidRDefault="005626F0" w:rsidP="00EA1799">
            <w:pPr>
              <w:pStyle w:val="TableText"/>
            </w:pPr>
          </w:p>
        </w:tc>
        <w:tc>
          <w:tcPr>
            <w:tcW w:w="624" w:type="dxa"/>
          </w:tcPr>
          <w:p w14:paraId="0370BFA3" w14:textId="77777777" w:rsidR="005626F0" w:rsidRDefault="005626F0" w:rsidP="00EA1799">
            <w:pPr>
              <w:pStyle w:val="TableText"/>
              <w:rPr>
                <w:rtl/>
              </w:rPr>
            </w:pPr>
          </w:p>
        </w:tc>
        <w:tc>
          <w:tcPr>
            <w:tcW w:w="5898" w:type="dxa"/>
            <w:gridSpan w:val="2"/>
          </w:tcPr>
          <w:p w14:paraId="17748E2F" w14:textId="77777777" w:rsidR="005626F0" w:rsidRDefault="005626F0" w:rsidP="00EA1799">
            <w:pPr>
              <w:pStyle w:val="TableBlock"/>
              <w:rPr>
                <w:rtl/>
              </w:rPr>
            </w:pPr>
            <w:r>
              <w:rPr>
                <w:rtl/>
              </w:rPr>
              <w:t>(4)</w:t>
            </w:r>
            <w:r>
              <w:rPr>
                <w:rtl/>
              </w:rPr>
              <w:tab/>
              <w:t>מנהל מחלקת מוסדות ציבור ומלכ"ר במשרד האוצר יגיש אחת לשנה דוח לוועדת הכספים של הכנסת אשר יכלול דיווח לגבי העמותות שאושרו לפי סעיף זה וכן לגבי העמותות שלא אושרו כאמור; הדיווח יכלול פירוט בדבר מטרות מוסדות הציבור שאושרו ושלא אושרו, פעילותן, מועד הקמת המוסד הציבורי, משך פעילותו ומשך הזמן ממועד הבקשה לאישור לפי סעיף 46 ומחזורן הכספי של מוסדות הציבור לאותה שנה; כמו כן, יכלול הדוח פירוט בדבר אובדן הכנסות לאותה שנת כספים."</w:t>
            </w:r>
          </w:p>
        </w:tc>
      </w:tr>
      <w:tr w:rsidR="005626F0" w14:paraId="1E70DCAA" w14:textId="77777777" w:rsidTr="00EA1799">
        <w:trPr>
          <w:cantSplit/>
          <w:trHeight w:val="60"/>
        </w:trPr>
        <w:tc>
          <w:tcPr>
            <w:tcW w:w="1871" w:type="dxa"/>
          </w:tcPr>
          <w:p w14:paraId="4A1A888A" w14:textId="77777777" w:rsidR="005626F0" w:rsidRDefault="005626F0" w:rsidP="00EA1799">
            <w:pPr>
              <w:pStyle w:val="TableSideHeading"/>
            </w:pPr>
            <w:r>
              <w:rPr>
                <w:rtl/>
              </w:rPr>
              <w:t>תיקון חוק מיסוי מקרקעין (שבח ורכישה)</w:t>
            </w:r>
          </w:p>
        </w:tc>
        <w:tc>
          <w:tcPr>
            <w:tcW w:w="624" w:type="dxa"/>
          </w:tcPr>
          <w:p w14:paraId="76F4F284" w14:textId="77777777" w:rsidR="005626F0" w:rsidRDefault="005626F0" w:rsidP="00EA1799">
            <w:pPr>
              <w:pStyle w:val="TableText"/>
            </w:pPr>
            <w:r>
              <w:rPr>
                <w:rtl/>
              </w:rPr>
              <w:t>3.</w:t>
            </w:r>
          </w:p>
        </w:tc>
        <w:tc>
          <w:tcPr>
            <w:tcW w:w="7146" w:type="dxa"/>
            <w:gridSpan w:val="4"/>
          </w:tcPr>
          <w:p w14:paraId="2E08B0BC" w14:textId="77777777" w:rsidR="005626F0" w:rsidRDefault="005626F0" w:rsidP="00EA1799">
            <w:pPr>
              <w:pStyle w:val="TableBlock"/>
              <w:rPr>
                <w:rtl/>
              </w:rPr>
            </w:pPr>
            <w:r>
              <w:rPr>
                <w:rtl/>
              </w:rPr>
              <w:t>בחוק מיסוי מקרקעין (שבח ורכישה), התשכ"ג–1963</w:t>
            </w:r>
            <w:r>
              <w:rPr>
                <w:rStyle w:val="a6"/>
                <w:rtl/>
              </w:rPr>
              <w:footnoteReference w:id="7"/>
            </w:r>
            <w:r>
              <w:rPr>
                <w:rtl/>
              </w:rPr>
              <w:t>, בסעיף 61, אחרי סעיף קטן (ה) יבוא:</w:t>
            </w:r>
          </w:p>
        </w:tc>
      </w:tr>
      <w:tr w:rsidR="005626F0" w14:paraId="3DDA2CC2" w14:textId="77777777" w:rsidTr="00EA1799">
        <w:trPr>
          <w:cantSplit/>
          <w:trHeight w:val="60"/>
        </w:trPr>
        <w:tc>
          <w:tcPr>
            <w:tcW w:w="1871" w:type="dxa"/>
          </w:tcPr>
          <w:p w14:paraId="6ACE1A5B" w14:textId="77777777" w:rsidR="005626F0" w:rsidRDefault="005626F0" w:rsidP="00EA1799">
            <w:pPr>
              <w:pStyle w:val="TableSideHeading"/>
              <w:rPr>
                <w:rtl/>
              </w:rPr>
            </w:pPr>
          </w:p>
        </w:tc>
        <w:tc>
          <w:tcPr>
            <w:tcW w:w="624" w:type="dxa"/>
          </w:tcPr>
          <w:p w14:paraId="7FD60286" w14:textId="77777777" w:rsidR="005626F0" w:rsidRDefault="005626F0" w:rsidP="00EA1799">
            <w:pPr>
              <w:pStyle w:val="TableText"/>
              <w:rPr>
                <w:rtl/>
              </w:rPr>
            </w:pPr>
          </w:p>
        </w:tc>
        <w:tc>
          <w:tcPr>
            <w:tcW w:w="7146" w:type="dxa"/>
            <w:gridSpan w:val="4"/>
          </w:tcPr>
          <w:p w14:paraId="502BDD6B" w14:textId="77777777" w:rsidR="005626F0" w:rsidRDefault="005626F0" w:rsidP="00EA1799">
            <w:pPr>
              <w:pStyle w:val="TableBlock"/>
              <w:rPr>
                <w:rtl/>
              </w:rPr>
            </w:pPr>
            <w:r>
              <w:rPr>
                <w:rtl/>
              </w:rPr>
              <w:t>"(ו)</w:t>
            </w:r>
            <w:r>
              <w:rPr>
                <w:rtl/>
              </w:rPr>
              <w:tab/>
              <w:t>על אישור בקשה להטבת מס כאמור בסעיף זה יחולו הכללים והתבחינים לאישור בקשה להטבת מס לפי סעיף 46 לפקודת מס הכנסה; ואולם</w:t>
            </w:r>
            <w:r>
              <w:rPr>
                <w:rFonts w:hint="cs"/>
                <w:rtl/>
              </w:rPr>
              <w:t>,</w:t>
            </w:r>
            <w:r>
              <w:rPr>
                <w:rtl/>
              </w:rPr>
              <w:t xml:space="preserve"> מנהל רשות המסים, בהמלצת הוועדה לעניין סעיף 46, רשאי לאשר את הבקשה רטרואקטיבית."</w:t>
            </w:r>
          </w:p>
        </w:tc>
      </w:tr>
      <w:tr w:rsidR="005626F0" w14:paraId="2596DF53" w14:textId="77777777" w:rsidTr="00EA1799">
        <w:trPr>
          <w:cantSplit/>
          <w:trHeight w:val="60"/>
        </w:trPr>
        <w:tc>
          <w:tcPr>
            <w:tcW w:w="1871" w:type="dxa"/>
          </w:tcPr>
          <w:p w14:paraId="75F3F4FA" w14:textId="77777777" w:rsidR="005626F0" w:rsidRDefault="005626F0" w:rsidP="00EA1799">
            <w:pPr>
              <w:pStyle w:val="TableSideHeading"/>
              <w:rPr>
                <w:rtl/>
              </w:rPr>
            </w:pPr>
            <w:r>
              <w:rPr>
                <w:rtl/>
              </w:rPr>
              <w:t>תחילה</w:t>
            </w:r>
          </w:p>
        </w:tc>
        <w:tc>
          <w:tcPr>
            <w:tcW w:w="624" w:type="dxa"/>
          </w:tcPr>
          <w:p w14:paraId="2B0A073E" w14:textId="77777777" w:rsidR="005626F0" w:rsidRDefault="005626F0" w:rsidP="00EA1799">
            <w:pPr>
              <w:pStyle w:val="TableText"/>
              <w:rPr>
                <w:rtl/>
              </w:rPr>
            </w:pPr>
            <w:r>
              <w:rPr>
                <w:rtl/>
              </w:rPr>
              <w:t>4.</w:t>
            </w:r>
          </w:p>
        </w:tc>
        <w:tc>
          <w:tcPr>
            <w:tcW w:w="7146" w:type="dxa"/>
            <w:gridSpan w:val="4"/>
          </w:tcPr>
          <w:p w14:paraId="3AC4A912" w14:textId="1540FA2B" w:rsidR="005626F0" w:rsidRDefault="005626F0" w:rsidP="00CA065A">
            <w:pPr>
              <w:pStyle w:val="TableBlock"/>
              <w:rPr>
                <w:rtl/>
              </w:rPr>
            </w:pPr>
            <w:r>
              <w:rPr>
                <w:rtl/>
              </w:rPr>
              <w:t>תחילתו של חוק זה בשנת הכספים 20</w:t>
            </w:r>
            <w:r w:rsidR="00CA065A">
              <w:rPr>
                <w:rFonts w:hint="cs"/>
                <w:rtl/>
              </w:rPr>
              <w:t>20</w:t>
            </w:r>
            <w:bookmarkStart w:id="8" w:name="_GoBack"/>
            <w:bookmarkEnd w:id="8"/>
            <w:r>
              <w:rPr>
                <w:rtl/>
              </w:rPr>
              <w:t>.</w:t>
            </w:r>
          </w:p>
        </w:tc>
      </w:tr>
    </w:tbl>
    <w:p w14:paraId="7F6961CA" w14:textId="77777777" w:rsidR="002D1EE3" w:rsidRDefault="002D1EE3" w:rsidP="002D1EE3">
      <w:pPr>
        <w:pStyle w:val="HeadDivreiHesber"/>
        <w:rPr>
          <w:rtl/>
        </w:rPr>
      </w:pPr>
      <w:r w:rsidRPr="0027450A">
        <w:rPr>
          <w:rFonts w:hint="cs"/>
          <w:rtl/>
        </w:rPr>
        <w:t>דברי הסבר</w:t>
      </w:r>
    </w:p>
    <w:p w14:paraId="3D0F5C11" w14:textId="77777777" w:rsidR="005626F0" w:rsidRPr="00054ADD" w:rsidRDefault="005626F0" w:rsidP="00054ADD">
      <w:pPr>
        <w:pStyle w:val="Hesber"/>
        <w:rPr>
          <w:rtl/>
        </w:rPr>
      </w:pPr>
      <w:r w:rsidRPr="00054ADD">
        <w:rPr>
          <w:rtl/>
        </w:rPr>
        <w:t xml:space="preserve">סעיף 46 לפקודת מס הכנסה (להלן – הפקודה), מעודד אזרחים ובעלי עסקים לתרום למוסדות ציבור על ידי מתן הטבת מס. הסעיף האמור מאפשר לתורמים לקבל פטור ממס בשיעור של 35% מסכום תרומתם. עם זאת, כיום, הקריטריונים למתן אישור למוסדות ציבור לפי סעיף 46 לפקודה אינם מוסדרים בחוק. </w:t>
      </w:r>
    </w:p>
    <w:p w14:paraId="114BD8E9" w14:textId="77777777" w:rsidR="005626F0" w:rsidRPr="00054ADD" w:rsidRDefault="005626F0" w:rsidP="00054ADD">
      <w:pPr>
        <w:pStyle w:val="Hesber"/>
        <w:rPr>
          <w:rtl/>
        </w:rPr>
      </w:pPr>
      <w:r w:rsidRPr="00054ADD">
        <w:rPr>
          <w:rtl/>
        </w:rPr>
        <w:t>ביום 23 באוגוסט 2012 ניתן פסק דין בבג"צ 10893/08</w:t>
      </w:r>
      <w:r w:rsidRPr="00AB3EFE">
        <w:rPr>
          <w:rtl/>
        </w:rPr>
        <w:t xml:space="preserve"> עמותה לויפאסנה בישראל נ' שר האוצר</w:t>
      </w:r>
      <w:r w:rsidRPr="00054ADD">
        <w:rPr>
          <w:rtl/>
        </w:rPr>
        <w:t xml:space="preserve">. עניינה של העתירה בבקשת עמותה לויפסאנה בישראל כי שר האוצר יכיר בה כמוסד ציבורי לפי סעיף 9(2) לפקודת מס הכנסה לצורף סעיף 46(א) לפקודה. בית המשפט דחה את העתירה, אך התייחס לצורך בהסדרת המדיניות ביחס לסעיף 46, והמליץ לשר האוצר לגבש בתוך שנה קריטריונים ברורים שיהיה בהם כדי לאיין את החשש מפני הפעלה מפלה של הסמכות המסורה לשר האוצר מכוח סעיף 46(א) לפקודה. </w:t>
      </w:r>
    </w:p>
    <w:p w14:paraId="25CD293B" w14:textId="77777777" w:rsidR="005626F0" w:rsidRPr="00054ADD" w:rsidRDefault="005626F0" w:rsidP="00AB3EFE">
      <w:pPr>
        <w:pStyle w:val="Hesber"/>
        <w:rPr>
          <w:rtl/>
        </w:rPr>
      </w:pPr>
      <w:r w:rsidRPr="00054ADD">
        <w:rPr>
          <w:rtl/>
        </w:rPr>
        <w:t>כמו כן, מדוח שערכה מחלקת המחקר והמידע של הכנסת מיום 23 במרס 2014 בנושא "</w:t>
      </w:r>
      <w:r w:rsidRPr="00AB3EFE">
        <w:rPr>
          <w:rtl/>
        </w:rPr>
        <w:t>שכר בכירים במוסדות נתמכים ללא כוונת רווח ותבחינים למתן התמיכות"</w:t>
      </w:r>
      <w:r w:rsidRPr="00054ADD">
        <w:rPr>
          <w:rtl/>
        </w:rPr>
        <w:t xml:space="preserve"> עולה כי: "לא קיימת הוראה רשמית המחייבת את מוסדות הציבור המקבלים אישור לעניין תרומות לפי סעיף 46 לפקודה, לעמוד בכל אותם התנאים לגבי שכר הבכירים, הקיימים בנוהל לבקשת תמיכה לפי סעיף 3א לחוק יסודות התקציב".</w:t>
      </w:r>
    </w:p>
    <w:p w14:paraId="4AB373F5" w14:textId="77777777" w:rsidR="005626F0" w:rsidRPr="00054ADD" w:rsidRDefault="005626F0" w:rsidP="00AB3EFE">
      <w:pPr>
        <w:pStyle w:val="Hesber"/>
        <w:rPr>
          <w:rtl/>
        </w:rPr>
      </w:pPr>
      <w:r w:rsidRPr="00054ADD">
        <w:rPr>
          <w:rtl/>
        </w:rPr>
        <w:t>בחודש דצמבר 2013 מינה שר האוצר ועדה ציבורית בראשות השופטת שרה פריש לבחינת סוגיית סעיף 46 לפקודה על שלל היבטיו. הוועדה הגישה את המלצותיה לשר האוצר בחודש מאי 2014.</w:t>
      </w:r>
    </w:p>
    <w:p w14:paraId="61744855" w14:textId="77777777" w:rsidR="005626F0" w:rsidRPr="00054ADD" w:rsidRDefault="005626F0" w:rsidP="00AB3EFE">
      <w:pPr>
        <w:pStyle w:val="Hesber"/>
        <w:rPr>
          <w:rtl/>
        </w:rPr>
      </w:pPr>
      <w:r w:rsidRPr="00054ADD">
        <w:rPr>
          <w:rtl/>
        </w:rPr>
        <w:lastRenderedPageBreak/>
        <w:t>הצעת חוק זו מעגנת בחקיקה את עיקרי המלצות ועדת פריש. לפיכך, מוצע לשנות בפקודה את הגדרות מוסד ציבור ומטרה ציבורית. בנוסף, מוצע בהצעת חוק זו להוסיף תנאים שמוסדות ציבור המבקשים לקבל אישור לפי סעיף 46 לפקודה צריכים לעמוד בהם, כגון הגשת דוחות לרשות המסים וכן הגבלת שכר מנהלי מוסד ציבור ועובדיהם בעמותות הזכאיות לאישור לפי סעיף 46. כמו כן, מוצע ששר האוצר, באישור ועדת הכספים של הכנסת, יקבע בתקנות אמות מידה וקריטריונים לאישור לפי סעיף 46.</w:t>
      </w:r>
    </w:p>
    <w:p w14:paraId="4507C5E9" w14:textId="77777777" w:rsidR="005626F0" w:rsidRPr="00054ADD" w:rsidRDefault="005626F0" w:rsidP="00AB3EFE">
      <w:pPr>
        <w:pStyle w:val="Hesber"/>
        <w:rPr>
          <w:rtl/>
        </w:rPr>
      </w:pPr>
      <w:r w:rsidRPr="00054ADD">
        <w:rPr>
          <w:rtl/>
        </w:rPr>
        <w:t xml:space="preserve">בהצעת חוק זו גם מוצע לשנות את ההליך שבו ניתן האישור האמור למוסד ציבורי. האישור יינתן על ידי מנהל רשות המסים, לאחר </w:t>
      </w:r>
      <w:r w:rsidRPr="00054ADD">
        <w:rPr>
          <w:rFonts w:hint="eastAsia"/>
          <w:rtl/>
        </w:rPr>
        <w:t>שייוועץ</w:t>
      </w:r>
      <w:r w:rsidRPr="00054ADD">
        <w:rPr>
          <w:rtl/>
        </w:rPr>
        <w:t xml:space="preserve"> בוועדה פנימית ברשות המסים. הוועדה הפנימית תהווה גוף שבוחן ומאשר מוסדות ציבור. כמו כן, קובעת הצעת החוק שמנהל רשות המסים יקבע בחוזר מס הכנסה את התנאים להכרה במוסדות ציבור על פי ההמלצות הקבועות בדוח ועדת פריש. הוראות החוזר כאמור יחולו על ההכרה במוסדות ציבור עד למועד האמור. בנוסף, הצעת החוק מותירה פיקוח עקרוני בידיה של ועדת הכספים של הכנסת.</w:t>
      </w:r>
    </w:p>
    <w:p w14:paraId="56405E19" w14:textId="3BD9FC97" w:rsidR="005626F0" w:rsidRDefault="005626F0" w:rsidP="00AB3EFE">
      <w:pPr>
        <w:pStyle w:val="Hesber"/>
      </w:pPr>
      <w:r w:rsidRPr="00054ADD">
        <w:rPr>
          <w:rFonts w:hint="eastAsia"/>
          <w:rtl/>
        </w:rPr>
        <w:t>הצעות</w:t>
      </w:r>
      <w:r w:rsidRPr="00054ADD">
        <w:rPr>
          <w:rtl/>
        </w:rPr>
        <w:t xml:space="preserve"> </w:t>
      </w:r>
      <w:r w:rsidRPr="00054ADD">
        <w:rPr>
          <w:rFonts w:hint="eastAsia"/>
          <w:rtl/>
        </w:rPr>
        <w:t>חוק</w:t>
      </w:r>
      <w:r w:rsidRPr="00054ADD">
        <w:rPr>
          <w:rtl/>
        </w:rPr>
        <w:t xml:space="preserve"> </w:t>
      </w:r>
      <w:r w:rsidRPr="00054ADD">
        <w:rPr>
          <w:rFonts w:hint="eastAsia"/>
          <w:rtl/>
        </w:rPr>
        <w:t>דומות</w:t>
      </w:r>
      <w:r w:rsidRPr="00054ADD">
        <w:rPr>
          <w:rtl/>
        </w:rPr>
        <w:t xml:space="preserve"> </w:t>
      </w:r>
      <w:r w:rsidRPr="00054ADD">
        <w:rPr>
          <w:rFonts w:hint="eastAsia"/>
          <w:rtl/>
        </w:rPr>
        <w:t>בעיקרן</w:t>
      </w:r>
      <w:r w:rsidRPr="00054ADD">
        <w:rPr>
          <w:rtl/>
        </w:rPr>
        <w:t xml:space="preserve"> </w:t>
      </w:r>
      <w:r w:rsidRPr="00054ADD">
        <w:rPr>
          <w:rFonts w:hint="eastAsia"/>
          <w:rtl/>
        </w:rPr>
        <w:t>הונחו</w:t>
      </w:r>
      <w:r w:rsidRPr="00054ADD">
        <w:rPr>
          <w:rtl/>
        </w:rPr>
        <w:t xml:space="preserve"> </w:t>
      </w:r>
      <w:r w:rsidRPr="00054ADD">
        <w:rPr>
          <w:rFonts w:hint="eastAsia"/>
          <w:rtl/>
        </w:rPr>
        <w:t>על</w:t>
      </w:r>
      <w:r w:rsidRPr="00054ADD">
        <w:rPr>
          <w:rtl/>
        </w:rPr>
        <w:t xml:space="preserve"> </w:t>
      </w:r>
      <w:r w:rsidRPr="00054ADD">
        <w:rPr>
          <w:rFonts w:hint="eastAsia"/>
          <w:rtl/>
        </w:rPr>
        <w:t>שולחן</w:t>
      </w:r>
      <w:r w:rsidRPr="00054ADD">
        <w:rPr>
          <w:rtl/>
        </w:rPr>
        <w:t xml:space="preserve"> </w:t>
      </w:r>
      <w:r w:rsidRPr="00054ADD">
        <w:rPr>
          <w:rFonts w:hint="eastAsia"/>
          <w:rtl/>
        </w:rPr>
        <w:t>הכנסת</w:t>
      </w:r>
      <w:r w:rsidRPr="00054ADD">
        <w:rPr>
          <w:rtl/>
        </w:rPr>
        <w:t xml:space="preserve"> </w:t>
      </w:r>
      <w:r w:rsidRPr="00054ADD">
        <w:rPr>
          <w:rFonts w:hint="eastAsia"/>
          <w:rtl/>
        </w:rPr>
        <w:t>התשע</w:t>
      </w:r>
      <w:r w:rsidRPr="00054ADD">
        <w:rPr>
          <w:rtl/>
        </w:rPr>
        <w:t xml:space="preserve">-עשרה </w:t>
      </w:r>
      <w:r w:rsidRPr="00054ADD">
        <w:rPr>
          <w:rFonts w:hint="eastAsia"/>
          <w:rtl/>
        </w:rPr>
        <w:t>על</w:t>
      </w:r>
      <w:r w:rsidRPr="00054ADD">
        <w:rPr>
          <w:rtl/>
        </w:rPr>
        <w:t xml:space="preserve"> </w:t>
      </w:r>
      <w:r w:rsidRPr="00054ADD">
        <w:rPr>
          <w:rFonts w:hint="eastAsia"/>
          <w:rtl/>
        </w:rPr>
        <w:t>ידי</w:t>
      </w:r>
      <w:r w:rsidRPr="00054ADD">
        <w:rPr>
          <w:rtl/>
        </w:rPr>
        <w:t xml:space="preserve"> </w:t>
      </w:r>
      <w:r w:rsidRPr="00054ADD">
        <w:rPr>
          <w:rFonts w:hint="eastAsia"/>
          <w:rtl/>
        </w:rPr>
        <w:t>חבר</w:t>
      </w:r>
      <w:r w:rsidRPr="00054ADD">
        <w:rPr>
          <w:rtl/>
        </w:rPr>
        <w:t xml:space="preserve"> </w:t>
      </w:r>
      <w:r w:rsidRPr="00054ADD">
        <w:rPr>
          <w:rFonts w:hint="eastAsia"/>
          <w:rtl/>
        </w:rPr>
        <w:t>הכנסת</w:t>
      </w:r>
      <w:r w:rsidRPr="00054ADD">
        <w:rPr>
          <w:rtl/>
        </w:rPr>
        <w:t xml:space="preserve"> </w:t>
      </w:r>
      <w:r w:rsidRPr="00054ADD">
        <w:rPr>
          <w:rFonts w:hint="eastAsia"/>
          <w:rtl/>
        </w:rPr>
        <w:t>אלעזר</w:t>
      </w:r>
      <w:r w:rsidRPr="00054ADD">
        <w:rPr>
          <w:rtl/>
        </w:rPr>
        <w:t xml:space="preserve"> </w:t>
      </w:r>
      <w:r w:rsidRPr="00054ADD">
        <w:rPr>
          <w:rFonts w:hint="eastAsia"/>
          <w:rtl/>
        </w:rPr>
        <w:t>שטרן</w:t>
      </w:r>
      <w:r w:rsidRPr="00054ADD">
        <w:rPr>
          <w:rtl/>
        </w:rPr>
        <w:t xml:space="preserve"> (פ/2849/19) </w:t>
      </w:r>
      <w:r w:rsidRPr="00054ADD">
        <w:rPr>
          <w:rFonts w:hint="eastAsia"/>
          <w:rtl/>
        </w:rPr>
        <w:t>ועל</w:t>
      </w:r>
      <w:r w:rsidRPr="00054ADD">
        <w:rPr>
          <w:rtl/>
        </w:rPr>
        <w:t xml:space="preserve"> </w:t>
      </w:r>
      <w:r w:rsidRPr="00054ADD">
        <w:rPr>
          <w:rFonts w:hint="eastAsia"/>
          <w:rtl/>
        </w:rPr>
        <w:t>שולחן</w:t>
      </w:r>
      <w:r w:rsidRPr="00054ADD">
        <w:rPr>
          <w:rtl/>
        </w:rPr>
        <w:t xml:space="preserve"> </w:t>
      </w:r>
      <w:r w:rsidRPr="00054ADD">
        <w:rPr>
          <w:rFonts w:hint="eastAsia"/>
          <w:rtl/>
        </w:rPr>
        <w:t>הכנסת</w:t>
      </w:r>
      <w:r w:rsidRPr="00054ADD">
        <w:rPr>
          <w:rtl/>
        </w:rPr>
        <w:t xml:space="preserve"> </w:t>
      </w:r>
      <w:r w:rsidRPr="00054ADD">
        <w:rPr>
          <w:rFonts w:hint="eastAsia"/>
          <w:rtl/>
        </w:rPr>
        <w:t>העשרים</w:t>
      </w:r>
      <w:r w:rsidRPr="00054ADD">
        <w:rPr>
          <w:rtl/>
        </w:rPr>
        <w:t xml:space="preserve"> </w:t>
      </w:r>
      <w:r w:rsidRPr="00054ADD">
        <w:rPr>
          <w:rFonts w:hint="eastAsia"/>
          <w:rtl/>
        </w:rPr>
        <w:t>על</w:t>
      </w:r>
      <w:r w:rsidRPr="00054ADD">
        <w:rPr>
          <w:rtl/>
        </w:rPr>
        <w:t xml:space="preserve"> </w:t>
      </w:r>
      <w:r w:rsidRPr="00054ADD">
        <w:rPr>
          <w:rFonts w:hint="eastAsia"/>
          <w:rtl/>
        </w:rPr>
        <w:t>ידי</w:t>
      </w:r>
      <w:r w:rsidRPr="00054ADD">
        <w:rPr>
          <w:rtl/>
        </w:rPr>
        <w:t xml:space="preserve"> </w:t>
      </w:r>
      <w:r w:rsidRPr="00054ADD">
        <w:rPr>
          <w:rFonts w:hint="eastAsia"/>
          <w:rtl/>
        </w:rPr>
        <w:t>חבר</w:t>
      </w:r>
      <w:r w:rsidRPr="00054ADD">
        <w:rPr>
          <w:rtl/>
        </w:rPr>
        <w:t xml:space="preserve"> </w:t>
      </w:r>
      <w:r w:rsidRPr="00054ADD">
        <w:rPr>
          <w:rFonts w:hint="eastAsia"/>
          <w:rtl/>
        </w:rPr>
        <w:t>הכנסת</w:t>
      </w:r>
      <w:r w:rsidRPr="00054ADD">
        <w:rPr>
          <w:rtl/>
        </w:rPr>
        <w:t xml:space="preserve"> </w:t>
      </w:r>
      <w:r w:rsidRPr="00054ADD">
        <w:rPr>
          <w:rFonts w:hint="eastAsia"/>
          <w:rtl/>
        </w:rPr>
        <w:t>מיקי</w:t>
      </w:r>
      <w:r w:rsidRPr="00054ADD">
        <w:rPr>
          <w:rtl/>
        </w:rPr>
        <w:t xml:space="preserve"> </w:t>
      </w:r>
      <w:r w:rsidRPr="00054ADD">
        <w:rPr>
          <w:rFonts w:hint="eastAsia"/>
          <w:rtl/>
        </w:rPr>
        <w:t>לוי</w:t>
      </w:r>
      <w:r w:rsidRPr="00054ADD">
        <w:rPr>
          <w:rtl/>
        </w:rPr>
        <w:t xml:space="preserve"> (פ/317/20).</w:t>
      </w:r>
    </w:p>
    <w:p w14:paraId="17339618" w14:textId="4689002E" w:rsidR="00B862EF" w:rsidRDefault="00B862EF" w:rsidP="00AB3EFE">
      <w:pPr>
        <w:pStyle w:val="Hesber"/>
      </w:pPr>
    </w:p>
    <w:p w14:paraId="3ED9D9E5" w14:textId="77777777" w:rsidR="00B862EF" w:rsidRDefault="00B862EF" w:rsidP="00AB3EFE">
      <w:pPr>
        <w:pStyle w:val="Hesber"/>
      </w:pPr>
    </w:p>
    <w:p w14:paraId="0D17B189" w14:textId="77777777" w:rsidR="00B862EF" w:rsidRPr="00D73212" w:rsidRDefault="00B862EF" w:rsidP="00B862EF">
      <w:pPr>
        <w:pStyle w:val="Hesber"/>
        <w:rPr>
          <w:color w:val="auto"/>
          <w:rtl/>
          <w:lang w:eastAsia="en-US"/>
        </w:rPr>
      </w:pPr>
      <w:r w:rsidRPr="00D73212">
        <w:rPr>
          <w:color w:val="auto"/>
          <w:rtl/>
          <w:lang w:eastAsia="en-US"/>
        </w:rPr>
        <w:t>---------------------------------</w:t>
      </w:r>
    </w:p>
    <w:p w14:paraId="61029821" w14:textId="77777777" w:rsidR="00B862EF" w:rsidRPr="00D73212" w:rsidRDefault="00B862EF" w:rsidP="00B862EF">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B930F24" w14:textId="77777777" w:rsidR="00B862EF" w:rsidRPr="00D73212" w:rsidRDefault="00B862EF" w:rsidP="00B862EF">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27723BF8" w14:textId="13B8BA2A" w:rsidR="00B862EF" w:rsidRPr="00054ADD" w:rsidRDefault="00B862EF" w:rsidP="00B862EF">
      <w:pPr>
        <w:pStyle w:val="Hesber"/>
        <w:rPr>
          <w:rtl/>
        </w:rPr>
      </w:pPr>
      <w:r>
        <w:rPr>
          <w:rFonts w:hint="cs"/>
          <w:color w:val="auto"/>
          <w:rtl/>
          <w:lang w:eastAsia="en-US"/>
        </w:rPr>
        <w:t>כ"ב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27.5</w:t>
      </w:r>
      <w:r w:rsidRPr="00D73212">
        <w:rPr>
          <w:color w:val="auto"/>
          <w:rtl/>
          <w:lang w:eastAsia="en-US"/>
        </w:rPr>
        <w:t>.</w:t>
      </w:r>
      <w:r>
        <w:rPr>
          <w:rFonts w:hint="cs"/>
          <w:color w:val="auto"/>
          <w:rtl/>
          <w:lang w:eastAsia="en-US"/>
        </w:rPr>
        <w:t>19</w:t>
      </w:r>
    </w:p>
    <w:p w14:paraId="7F6961CB" w14:textId="77777777" w:rsidR="00E13C27" w:rsidRPr="00054ADD" w:rsidRDefault="00E13C27" w:rsidP="00AB3EFE">
      <w:pPr>
        <w:pStyle w:val="Hesber"/>
        <w:rPr>
          <w:rtl/>
        </w:rPr>
      </w:pPr>
    </w:p>
    <w:sectPr w:rsidR="00E13C27" w:rsidRPr="00054AD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A065A">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8022714" w14:textId="77777777" w:rsidR="005626F0" w:rsidRDefault="005626F0" w:rsidP="005626F0">
      <w:pPr>
        <w:pStyle w:val="a4"/>
      </w:pPr>
      <w:r>
        <w:rPr>
          <w:rStyle w:val="a6"/>
        </w:rPr>
        <w:footnoteRef/>
      </w:r>
      <w:r>
        <w:rPr>
          <w:rtl/>
        </w:rPr>
        <w:t xml:space="preserve"> דיני מדינת ישראל, נוסח חדש 6, עמ' 120.</w:t>
      </w:r>
    </w:p>
  </w:footnote>
  <w:footnote w:id="3">
    <w:p w14:paraId="75A1FF62" w14:textId="77777777" w:rsidR="005626F0" w:rsidRDefault="005626F0" w:rsidP="005626F0">
      <w:pPr>
        <w:pStyle w:val="a4"/>
        <w:rPr>
          <w:rtl/>
        </w:rPr>
      </w:pPr>
      <w:r>
        <w:rPr>
          <w:rStyle w:val="a6"/>
        </w:rPr>
        <w:footnoteRef/>
      </w:r>
      <w:r>
        <w:rPr>
          <w:rtl/>
        </w:rPr>
        <w:t xml:space="preserve"> </w:t>
      </w:r>
      <w:r>
        <w:rPr>
          <w:rFonts w:hint="cs"/>
          <w:rtl/>
        </w:rPr>
        <w:t>ס"ח התשנ"ט, עמ' 189.</w:t>
      </w:r>
    </w:p>
  </w:footnote>
  <w:footnote w:id="4">
    <w:p w14:paraId="62CF39A0" w14:textId="77777777" w:rsidR="005626F0" w:rsidRDefault="005626F0" w:rsidP="005626F0">
      <w:pPr>
        <w:pStyle w:val="a4"/>
      </w:pPr>
      <w:r>
        <w:rPr>
          <w:rStyle w:val="a6"/>
        </w:rPr>
        <w:footnoteRef/>
      </w:r>
      <w:r>
        <w:rPr>
          <w:rtl/>
        </w:rPr>
        <w:t xml:space="preserve"> ס"ח התשנ"ד, עמ' 156.</w:t>
      </w:r>
    </w:p>
  </w:footnote>
  <w:footnote w:id="5">
    <w:p w14:paraId="42E2A609" w14:textId="77777777" w:rsidR="005626F0" w:rsidRDefault="005626F0" w:rsidP="005626F0">
      <w:pPr>
        <w:pStyle w:val="a4"/>
      </w:pPr>
      <w:r>
        <w:rPr>
          <w:rStyle w:val="a6"/>
        </w:rPr>
        <w:footnoteRef/>
      </w:r>
      <w:r>
        <w:rPr>
          <w:rtl/>
        </w:rPr>
        <w:t xml:space="preserve"> ס"ח התשמ"ה, עמ' 60.</w:t>
      </w:r>
    </w:p>
  </w:footnote>
  <w:footnote w:id="6">
    <w:p w14:paraId="0C088B3A" w14:textId="77777777" w:rsidR="005626F0" w:rsidRDefault="005626F0" w:rsidP="005626F0">
      <w:pPr>
        <w:pStyle w:val="a4"/>
      </w:pPr>
      <w:r>
        <w:rPr>
          <w:rStyle w:val="a6"/>
        </w:rPr>
        <w:footnoteRef/>
      </w:r>
      <w:r>
        <w:rPr>
          <w:rtl/>
        </w:rPr>
        <w:t xml:space="preserve"> ס"ח התשי"ח, עמ' 191.</w:t>
      </w:r>
    </w:p>
  </w:footnote>
  <w:footnote w:id="7">
    <w:p w14:paraId="3ED1EF63" w14:textId="77777777" w:rsidR="005626F0" w:rsidRDefault="005626F0" w:rsidP="005626F0">
      <w:pPr>
        <w:pStyle w:val="a4"/>
      </w:pPr>
      <w:r>
        <w:rPr>
          <w:rStyle w:val="a6"/>
        </w:rPr>
        <w:footnoteRef/>
      </w:r>
      <w:r>
        <w:rPr>
          <w:rtl/>
        </w:rPr>
        <w:t xml:space="preserve"> ס"ח התשכ"ג, עמ'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4ADD"/>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6F0"/>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3EFE"/>
    <w:rsid w:val="00AC36F7"/>
    <w:rsid w:val="00AC63A4"/>
    <w:rsid w:val="00AD239E"/>
    <w:rsid w:val="00B10265"/>
    <w:rsid w:val="00B16A99"/>
    <w:rsid w:val="00B21211"/>
    <w:rsid w:val="00B35784"/>
    <w:rsid w:val="00B733A7"/>
    <w:rsid w:val="00B75C91"/>
    <w:rsid w:val="00B862EF"/>
    <w:rsid w:val="00B975AD"/>
    <w:rsid w:val="00BC45FB"/>
    <w:rsid w:val="00BF148D"/>
    <w:rsid w:val="00C23B1A"/>
    <w:rsid w:val="00C310EB"/>
    <w:rsid w:val="00C9176A"/>
    <w:rsid w:val="00CA065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BEAC3BF-2B0A-4437-B049-7A4F1D7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5626F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4BFC11DA-4F36-48B1-B6AB-6DCDE264E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0D9C0CB-5194-463E-9A92-43FBF1DF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1082</Words>
  <Characters>5552</Characters>
  <Application>Microsoft Office Word</Application>
  <DocSecurity>0</DocSecurity>
  <Lines>504</Lines>
  <Paragraphs>349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אפרת ברנדלר</cp:lastModifiedBy>
  <cp:revision>8</cp:revision>
  <cp:lastPrinted>2019-05-22T10:32:00Z</cp:lastPrinted>
  <dcterms:created xsi:type="dcterms:W3CDTF">2015-04-20T09:58:00Z</dcterms:created>
  <dcterms:modified xsi:type="dcterms:W3CDTF">2019-05-23T05:58:00Z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2079502</vt:r8>
  </property>
</Properties>
</file>