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BA2CA" w14:textId="77777777" w:rsidR="008106E8" w:rsidRPr="00E635A2" w:rsidRDefault="008106E8" w:rsidP="008106E8">
      <w:pPr>
        <w:jc w:val="right"/>
        <w:rPr>
          <w:b/>
          <w:bCs/>
          <w:sz w:val="20"/>
          <w:szCs w:val="20"/>
        </w:rPr>
      </w:pPr>
      <w:r w:rsidRPr="00E635A2">
        <w:rPr>
          <w:rFonts w:hint="cs"/>
          <w:sz w:val="20"/>
          <w:szCs w:val="20"/>
          <w:rtl/>
        </w:rPr>
        <w:t xml:space="preserve">מספר פנימי: </w:t>
      </w:r>
      <w:r>
        <w:rPr>
          <w:rFonts w:hint="cs"/>
          <w:sz w:val="20"/>
          <w:szCs w:val="20"/>
          <w:rtl/>
        </w:rPr>
        <w:t>2079467</w:t>
      </w:r>
    </w:p>
    <w:p w14:paraId="21B10091" w14:textId="77777777" w:rsidR="008106E8" w:rsidRPr="00DB7060" w:rsidRDefault="008106E8" w:rsidP="008106E8">
      <w:pPr>
        <w:pStyle w:val="HeadHatzaotHok"/>
        <w:rPr>
          <w:sz w:val="28"/>
          <w:szCs w:val="28"/>
          <w:rtl/>
        </w:rPr>
      </w:pPr>
      <w:r w:rsidRPr="00DB7060">
        <w:rPr>
          <w:rFonts w:hint="cs"/>
          <w:sz w:val="28"/>
          <w:szCs w:val="28"/>
          <w:rtl/>
        </w:rPr>
        <w:t xml:space="preserve">הכנסת </w:t>
      </w:r>
      <w:r>
        <w:rPr>
          <w:rFonts w:hint="cs"/>
          <w:sz w:val="28"/>
          <w:szCs w:val="28"/>
          <w:rtl/>
        </w:rPr>
        <w:t>העשרים ואחת</w:t>
      </w:r>
    </w:p>
    <w:p w14:paraId="1E6F84B5" w14:textId="77777777" w:rsidR="008106E8" w:rsidRPr="00F67051" w:rsidRDefault="008106E8" w:rsidP="008106E8">
      <w:pPr>
        <w:rPr>
          <w:b/>
          <w:bCs/>
          <w:sz w:val="26"/>
          <w:szCs w:val="26"/>
          <w:rtl/>
        </w:rPr>
      </w:pPr>
    </w:p>
    <w:p w14:paraId="1A885596" w14:textId="19E3BEF3" w:rsidR="008106E8" w:rsidRPr="00CF1AA2" w:rsidRDefault="008106E8" w:rsidP="00EE099C">
      <w:pPr>
        <w:pStyle w:val="David"/>
        <w:ind w:left="3544"/>
        <w:rPr>
          <w:b/>
          <w:bCs/>
          <w:sz w:val="16"/>
          <w:szCs w:val="16"/>
          <w:rtl/>
        </w:rPr>
      </w:pPr>
      <w:r>
        <w:rPr>
          <w:b/>
          <w:bCs/>
          <w:rtl/>
        </w:rPr>
        <w:t>יוזמים:      חברי הכנסת</w:t>
      </w:r>
      <w:r w:rsidRPr="00F67051">
        <w:rPr>
          <w:b/>
          <w:bCs/>
        </w:rPr>
        <w:tab/>
      </w:r>
      <w:r>
        <w:rPr>
          <w:rFonts w:hint="cs"/>
          <w:b/>
          <w:bCs/>
          <w:rtl/>
        </w:rPr>
        <w:t>עודד פורר</w:t>
      </w:r>
      <w:r>
        <w:br/>
      </w:r>
      <w:r>
        <w:rPr>
          <w:rFonts w:hint="cs"/>
          <w:b/>
          <w:bCs/>
          <w:rtl/>
        </w:rPr>
        <w:t xml:space="preserve"> </w:t>
      </w:r>
      <w:r>
        <w:tab/>
      </w:r>
      <w:r>
        <w:tab/>
      </w:r>
      <w:r>
        <w:tab/>
      </w:r>
      <w:r>
        <w:tab/>
      </w:r>
      <w:r>
        <w:rPr>
          <w:rFonts w:hint="cs"/>
          <w:b/>
          <w:bCs/>
          <w:rtl/>
        </w:rPr>
        <w:t>אלי אבידר</w:t>
      </w:r>
      <w:r>
        <w:br/>
      </w:r>
      <w:r>
        <w:rPr>
          <w:rFonts w:hint="cs"/>
          <w:b/>
          <w:bCs/>
          <w:rtl/>
        </w:rPr>
        <w:t xml:space="preserve"> </w:t>
      </w:r>
      <w:r>
        <w:tab/>
      </w:r>
      <w:r>
        <w:tab/>
      </w:r>
      <w:r>
        <w:tab/>
      </w:r>
      <w:r>
        <w:tab/>
      </w:r>
      <w:r>
        <w:rPr>
          <w:rFonts w:hint="cs"/>
          <w:b/>
          <w:bCs/>
          <w:rtl/>
        </w:rPr>
        <w:t>יוליה מלינובסקי</w:t>
      </w:r>
      <w:r>
        <w:br/>
      </w:r>
      <w:r>
        <w:rPr>
          <w:rFonts w:hint="cs"/>
          <w:b/>
          <w:bCs/>
          <w:rtl/>
        </w:rPr>
        <w:t xml:space="preserve"> </w:t>
      </w:r>
      <w:r>
        <w:tab/>
      </w:r>
      <w:r>
        <w:tab/>
      </w:r>
      <w:r>
        <w:tab/>
      </w:r>
      <w:r>
        <w:tab/>
      </w:r>
      <w:r>
        <w:rPr>
          <w:rFonts w:hint="cs"/>
          <w:b/>
          <w:bCs/>
          <w:rtl/>
        </w:rPr>
        <w:t>יבגני סובה</w:t>
      </w:r>
    </w:p>
    <w:p w14:paraId="7B482764" w14:textId="77777777" w:rsidR="008106E8" w:rsidRPr="00904591" w:rsidRDefault="008106E8" w:rsidP="008106E8">
      <w:pPr>
        <w:pStyle w:val="David"/>
        <w:ind w:left="3544"/>
        <w:rPr>
          <w:sz w:val="4"/>
          <w:szCs w:val="4"/>
          <w:rtl/>
        </w:rPr>
      </w:pPr>
      <w:r>
        <w:t>______________________________________________</w:t>
      </w:r>
      <w:r w:rsidRPr="00E06736">
        <w:tab/>
      </w:r>
      <w:r w:rsidRPr="00E06736">
        <w:rPr>
          <w:rFonts w:hint="cs"/>
          <w:rtl/>
        </w:rPr>
        <w:tab/>
      </w:r>
      <w:r w:rsidRPr="00E06736">
        <w:rPr>
          <w:rFonts w:hint="cs"/>
          <w:rtl/>
        </w:rPr>
        <w:tab/>
      </w:r>
      <w:r w:rsidRPr="00E06736">
        <w:rPr>
          <w:rFonts w:hint="cs"/>
          <w:rtl/>
        </w:rPr>
        <w:tab/>
      </w:r>
      <w:r>
        <w:t xml:space="preserve">           </w:t>
      </w:r>
    </w:p>
    <w:p w14:paraId="1A1C279C" w14:textId="5DA696F2" w:rsidR="008106E8" w:rsidRPr="00E06736" w:rsidRDefault="008106E8" w:rsidP="008106E8">
      <w:pPr>
        <w:pStyle w:val="David"/>
        <w:spacing w:line="240" w:lineRule="auto"/>
        <w:ind w:left="3544"/>
        <w:rPr>
          <w:rtl/>
        </w:rPr>
      </w:pPr>
      <w:r>
        <w:t xml:space="preserve">                                             </w:t>
      </w:r>
      <w:r>
        <w:rPr>
          <w:rFonts w:hint="cs"/>
          <w:rtl/>
        </w:rPr>
        <w:t xml:space="preserve"> </w:t>
      </w:r>
      <w:r w:rsidR="00EE099C">
        <w:rPr>
          <w:rtl/>
        </w:rPr>
        <w:tab/>
      </w:r>
      <w:r w:rsidR="00EE099C">
        <w:rPr>
          <w:rFonts w:hint="cs"/>
          <w:rtl/>
        </w:rPr>
        <w:t>פ/405/21</w:t>
      </w:r>
    </w:p>
    <w:p w14:paraId="33DD688C" w14:textId="77777777" w:rsidR="008106E8" w:rsidRPr="00F67051" w:rsidRDefault="008106E8" w:rsidP="00EE099C">
      <w:pPr>
        <w:pStyle w:val="HeadHatzaotHok"/>
        <w:ind w:left="0"/>
        <w:rPr>
          <w:rtl/>
        </w:rPr>
      </w:pPr>
      <w:r>
        <w:rPr>
          <w:rFonts w:hint="cs"/>
          <w:rtl/>
        </w:rPr>
        <w:t>הצעת חוק לתיקון פקודת בתי הסוהר (שלילת זכויות יתר מאסיר ביטחוני המשתייך לארגון טרור), התשע"ט–2019</w:t>
      </w:r>
    </w:p>
    <w:tbl>
      <w:tblPr>
        <w:bidiVisual/>
        <w:tblW w:w="9636" w:type="dxa"/>
        <w:tblLayout w:type="fixed"/>
        <w:tblCellMar>
          <w:top w:w="57" w:type="dxa"/>
          <w:left w:w="0" w:type="dxa"/>
          <w:bottom w:w="57" w:type="dxa"/>
          <w:right w:w="0" w:type="dxa"/>
        </w:tblCellMar>
        <w:tblLook w:val="01E0" w:firstRow="1" w:lastRow="1" w:firstColumn="1" w:lastColumn="1" w:noHBand="0" w:noVBand="0"/>
      </w:tblPr>
      <w:tblGrid>
        <w:gridCol w:w="1869"/>
        <w:gridCol w:w="624"/>
        <w:gridCol w:w="624"/>
        <w:gridCol w:w="624"/>
        <w:gridCol w:w="624"/>
        <w:gridCol w:w="624"/>
        <w:gridCol w:w="624"/>
        <w:gridCol w:w="4023"/>
      </w:tblGrid>
      <w:tr w:rsidR="008106E8" w:rsidRPr="00C34DE2" w14:paraId="7D6E24AE" w14:textId="77777777" w:rsidTr="006433B7">
        <w:trPr>
          <w:cantSplit/>
        </w:trPr>
        <w:tc>
          <w:tcPr>
            <w:tcW w:w="1869" w:type="dxa"/>
          </w:tcPr>
          <w:p w14:paraId="50009175" w14:textId="77777777" w:rsidR="008106E8" w:rsidRDefault="008106E8" w:rsidP="006433B7">
            <w:pPr>
              <w:pStyle w:val="TableSideHeading"/>
            </w:pPr>
            <w:r>
              <w:rPr>
                <w:rFonts w:hint="cs"/>
                <w:rtl/>
              </w:rPr>
              <w:t xml:space="preserve">הוספת סעיף 52א </w:t>
            </w:r>
          </w:p>
        </w:tc>
        <w:tc>
          <w:tcPr>
            <w:tcW w:w="624" w:type="dxa"/>
          </w:tcPr>
          <w:p w14:paraId="40D92419" w14:textId="77777777" w:rsidR="008106E8" w:rsidRDefault="008106E8" w:rsidP="006433B7">
            <w:pPr>
              <w:pStyle w:val="TableText"/>
            </w:pPr>
            <w:r>
              <w:rPr>
                <w:rFonts w:hint="cs"/>
                <w:rtl/>
              </w:rPr>
              <w:t>1.</w:t>
            </w:r>
          </w:p>
        </w:tc>
        <w:tc>
          <w:tcPr>
            <w:tcW w:w="7143" w:type="dxa"/>
            <w:gridSpan w:val="6"/>
          </w:tcPr>
          <w:p w14:paraId="654AB0D1" w14:textId="52294562" w:rsidR="008106E8" w:rsidRPr="00C34DE2" w:rsidRDefault="008106E8" w:rsidP="006433B7">
            <w:pPr>
              <w:pStyle w:val="TableBlock"/>
            </w:pPr>
            <w:r>
              <w:rPr>
                <w:rFonts w:hint="cs"/>
                <w:rtl/>
              </w:rPr>
              <w:t>בפקודת בתי הסוהר [נוסח חדש], התשל"ב–1971</w:t>
            </w:r>
            <w:r w:rsidRPr="00BC2D7C">
              <w:rPr>
                <w:rStyle w:val="a6"/>
                <w:rFonts w:ascii="David" w:hAnsi="David"/>
                <w:sz w:val="26"/>
                <w:rtl/>
              </w:rPr>
              <w:footnoteReference w:id="2"/>
            </w:r>
            <w:r>
              <w:rPr>
                <w:rFonts w:hint="cs"/>
                <w:rtl/>
              </w:rPr>
              <w:t xml:space="preserve"> (להלן </w:t>
            </w:r>
            <w:r>
              <w:rPr>
                <w:rtl/>
              </w:rPr>
              <w:t>–</w:t>
            </w:r>
            <w:r w:rsidR="00EE099C">
              <w:rPr>
                <w:rFonts w:hint="cs"/>
                <w:rtl/>
              </w:rPr>
              <w:t xml:space="preserve"> הפקודה), אחרי סעיף 52 </w:t>
            </w:r>
            <w:r>
              <w:rPr>
                <w:rFonts w:hint="cs"/>
                <w:rtl/>
              </w:rPr>
              <w:t>יבוא:</w:t>
            </w:r>
          </w:p>
        </w:tc>
      </w:tr>
      <w:tr w:rsidR="008106E8" w14:paraId="3C3D2823" w14:textId="77777777" w:rsidTr="006433B7">
        <w:trPr>
          <w:cantSplit/>
        </w:trPr>
        <w:tc>
          <w:tcPr>
            <w:tcW w:w="1869" w:type="dxa"/>
          </w:tcPr>
          <w:p w14:paraId="0582107D" w14:textId="77777777" w:rsidR="008106E8" w:rsidRDefault="008106E8" w:rsidP="006433B7">
            <w:pPr>
              <w:pStyle w:val="TableSideHeading"/>
              <w:keepLines w:val="0"/>
            </w:pPr>
          </w:p>
        </w:tc>
        <w:tc>
          <w:tcPr>
            <w:tcW w:w="624" w:type="dxa"/>
          </w:tcPr>
          <w:p w14:paraId="69BF46D3" w14:textId="77777777" w:rsidR="008106E8" w:rsidRDefault="008106E8" w:rsidP="006433B7">
            <w:pPr>
              <w:pStyle w:val="TableText"/>
              <w:keepLines w:val="0"/>
            </w:pPr>
          </w:p>
        </w:tc>
        <w:tc>
          <w:tcPr>
            <w:tcW w:w="1872" w:type="dxa"/>
            <w:gridSpan w:val="3"/>
          </w:tcPr>
          <w:p w14:paraId="6A0D0E6D" w14:textId="77777777" w:rsidR="008106E8" w:rsidRDefault="008106E8" w:rsidP="006433B7">
            <w:pPr>
              <w:pStyle w:val="TableInnerSideHeading"/>
            </w:pPr>
            <w:r>
              <w:rPr>
                <w:rFonts w:hint="cs"/>
                <w:rtl/>
              </w:rPr>
              <w:t>"שלילת זכויות יתר מאסיר ביטחוני</w:t>
            </w:r>
          </w:p>
        </w:tc>
        <w:tc>
          <w:tcPr>
            <w:tcW w:w="624" w:type="dxa"/>
          </w:tcPr>
          <w:p w14:paraId="11EF5C85" w14:textId="77777777" w:rsidR="008106E8" w:rsidRDefault="008106E8" w:rsidP="006433B7">
            <w:pPr>
              <w:pStyle w:val="TableText"/>
            </w:pPr>
            <w:r>
              <w:rPr>
                <w:rFonts w:hint="cs"/>
                <w:rtl/>
              </w:rPr>
              <w:t>52א.</w:t>
            </w:r>
          </w:p>
        </w:tc>
        <w:tc>
          <w:tcPr>
            <w:tcW w:w="4647" w:type="dxa"/>
            <w:gridSpan w:val="2"/>
          </w:tcPr>
          <w:p w14:paraId="26BD0387" w14:textId="77777777" w:rsidR="008106E8" w:rsidRDefault="008106E8" w:rsidP="006433B7">
            <w:pPr>
              <w:pStyle w:val="TableBlock"/>
            </w:pPr>
            <w:r>
              <w:rPr>
                <w:rFonts w:hint="cs"/>
                <w:rtl/>
              </w:rPr>
              <w:t>(א)</w:t>
            </w:r>
            <w:r>
              <w:rPr>
                <w:rtl/>
              </w:rPr>
              <w:tab/>
            </w:r>
            <w:r>
              <w:rPr>
                <w:rFonts w:hint="cs"/>
                <w:rtl/>
              </w:rPr>
              <w:t>בסעיף זה –</w:t>
            </w:r>
          </w:p>
        </w:tc>
      </w:tr>
      <w:tr w:rsidR="008106E8" w:rsidRPr="00981A98" w14:paraId="4E437BDE" w14:textId="77777777" w:rsidTr="006433B7">
        <w:trPr>
          <w:cantSplit/>
        </w:trPr>
        <w:tc>
          <w:tcPr>
            <w:tcW w:w="1869" w:type="dxa"/>
          </w:tcPr>
          <w:p w14:paraId="1139953E" w14:textId="77777777" w:rsidR="008106E8" w:rsidRDefault="008106E8" w:rsidP="006433B7">
            <w:pPr>
              <w:pStyle w:val="TableSideHeading"/>
            </w:pPr>
          </w:p>
        </w:tc>
        <w:tc>
          <w:tcPr>
            <w:tcW w:w="624" w:type="dxa"/>
          </w:tcPr>
          <w:p w14:paraId="691F2CC9" w14:textId="77777777" w:rsidR="008106E8" w:rsidRDefault="008106E8" w:rsidP="006433B7">
            <w:pPr>
              <w:pStyle w:val="TableText"/>
            </w:pPr>
          </w:p>
        </w:tc>
        <w:tc>
          <w:tcPr>
            <w:tcW w:w="624" w:type="dxa"/>
          </w:tcPr>
          <w:p w14:paraId="6C05FCE0" w14:textId="77777777" w:rsidR="008106E8" w:rsidRDefault="008106E8" w:rsidP="006433B7">
            <w:pPr>
              <w:pStyle w:val="TableText"/>
            </w:pPr>
          </w:p>
        </w:tc>
        <w:tc>
          <w:tcPr>
            <w:tcW w:w="624" w:type="dxa"/>
          </w:tcPr>
          <w:p w14:paraId="3CC2FFC2" w14:textId="77777777" w:rsidR="008106E8" w:rsidRDefault="008106E8" w:rsidP="006433B7">
            <w:pPr>
              <w:pStyle w:val="TableText"/>
            </w:pPr>
          </w:p>
        </w:tc>
        <w:tc>
          <w:tcPr>
            <w:tcW w:w="624" w:type="dxa"/>
          </w:tcPr>
          <w:p w14:paraId="1FDA7BFD" w14:textId="77777777" w:rsidR="008106E8" w:rsidRDefault="008106E8" w:rsidP="006433B7">
            <w:pPr>
              <w:pStyle w:val="TableText"/>
            </w:pPr>
          </w:p>
        </w:tc>
        <w:tc>
          <w:tcPr>
            <w:tcW w:w="624" w:type="dxa"/>
          </w:tcPr>
          <w:p w14:paraId="1BD34977" w14:textId="77777777" w:rsidR="008106E8" w:rsidRDefault="008106E8" w:rsidP="006433B7">
            <w:pPr>
              <w:pStyle w:val="TableText"/>
            </w:pPr>
          </w:p>
        </w:tc>
        <w:tc>
          <w:tcPr>
            <w:tcW w:w="4647" w:type="dxa"/>
            <w:gridSpan w:val="2"/>
          </w:tcPr>
          <w:p w14:paraId="13B628AF" w14:textId="77777777" w:rsidR="008106E8" w:rsidRPr="00981A98" w:rsidRDefault="008106E8" w:rsidP="006433B7">
            <w:pPr>
              <w:pStyle w:val="TableBlockOutdent"/>
              <w:rPr>
                <w:rtl/>
              </w:rPr>
            </w:pPr>
            <w:r>
              <w:rPr>
                <w:rtl/>
              </w:rPr>
              <w:t>"</w:t>
            </w:r>
            <w:r>
              <w:rPr>
                <w:rFonts w:hint="cs"/>
                <w:rtl/>
              </w:rPr>
              <w:t xml:space="preserve">אסיר ביטחוני" </w:t>
            </w:r>
            <w:r>
              <w:rPr>
                <w:rtl/>
              </w:rPr>
              <w:t>–</w:t>
            </w:r>
            <w:r>
              <w:rPr>
                <w:rFonts w:hint="cs"/>
                <w:rtl/>
              </w:rPr>
              <w:t xml:space="preserve"> מי שהתקיים בו אחד מהתנאים המפורטים להלן:</w:t>
            </w:r>
          </w:p>
        </w:tc>
      </w:tr>
      <w:tr w:rsidR="008106E8" w14:paraId="67FEE349" w14:textId="77777777" w:rsidTr="006433B7">
        <w:trPr>
          <w:cantSplit/>
        </w:trPr>
        <w:tc>
          <w:tcPr>
            <w:tcW w:w="1869" w:type="dxa"/>
          </w:tcPr>
          <w:p w14:paraId="0DF3D9A1" w14:textId="77777777" w:rsidR="008106E8" w:rsidRDefault="008106E8" w:rsidP="006433B7">
            <w:pPr>
              <w:pStyle w:val="TableSideHeading"/>
            </w:pPr>
          </w:p>
        </w:tc>
        <w:tc>
          <w:tcPr>
            <w:tcW w:w="624" w:type="dxa"/>
          </w:tcPr>
          <w:p w14:paraId="5EF0B121" w14:textId="77777777" w:rsidR="008106E8" w:rsidRDefault="008106E8" w:rsidP="006433B7">
            <w:pPr>
              <w:pStyle w:val="TableText"/>
            </w:pPr>
          </w:p>
        </w:tc>
        <w:tc>
          <w:tcPr>
            <w:tcW w:w="624" w:type="dxa"/>
          </w:tcPr>
          <w:p w14:paraId="52C82F4E" w14:textId="77777777" w:rsidR="008106E8" w:rsidRDefault="008106E8" w:rsidP="006433B7">
            <w:pPr>
              <w:pStyle w:val="TableText"/>
            </w:pPr>
          </w:p>
        </w:tc>
        <w:tc>
          <w:tcPr>
            <w:tcW w:w="624" w:type="dxa"/>
          </w:tcPr>
          <w:p w14:paraId="64CBA7E3" w14:textId="77777777" w:rsidR="008106E8" w:rsidRDefault="008106E8" w:rsidP="006433B7">
            <w:pPr>
              <w:pStyle w:val="TableText"/>
            </w:pPr>
          </w:p>
        </w:tc>
        <w:tc>
          <w:tcPr>
            <w:tcW w:w="624" w:type="dxa"/>
          </w:tcPr>
          <w:p w14:paraId="73F4A686" w14:textId="77777777" w:rsidR="008106E8" w:rsidRDefault="008106E8" w:rsidP="006433B7">
            <w:pPr>
              <w:pStyle w:val="TableText"/>
            </w:pPr>
          </w:p>
        </w:tc>
        <w:tc>
          <w:tcPr>
            <w:tcW w:w="624" w:type="dxa"/>
          </w:tcPr>
          <w:p w14:paraId="0BA55493" w14:textId="77777777" w:rsidR="008106E8" w:rsidRDefault="008106E8" w:rsidP="006433B7">
            <w:pPr>
              <w:pStyle w:val="TableText"/>
            </w:pPr>
          </w:p>
        </w:tc>
        <w:tc>
          <w:tcPr>
            <w:tcW w:w="624" w:type="dxa"/>
          </w:tcPr>
          <w:p w14:paraId="60AA4279" w14:textId="77777777" w:rsidR="008106E8" w:rsidRDefault="008106E8" w:rsidP="006433B7">
            <w:pPr>
              <w:pStyle w:val="TableText"/>
            </w:pPr>
          </w:p>
        </w:tc>
        <w:tc>
          <w:tcPr>
            <w:tcW w:w="4023" w:type="dxa"/>
          </w:tcPr>
          <w:p w14:paraId="7EC50933" w14:textId="77777777" w:rsidR="008106E8" w:rsidRDefault="008106E8" w:rsidP="006433B7">
            <w:pPr>
              <w:pStyle w:val="TableBlock"/>
            </w:pPr>
            <w:r>
              <w:rPr>
                <w:rFonts w:hint="cs"/>
                <w:rtl/>
              </w:rPr>
              <w:t>(1)</w:t>
            </w:r>
            <w:r>
              <w:rPr>
                <w:rFonts w:hint="cs"/>
                <w:rtl/>
              </w:rPr>
              <w:tab/>
            </w:r>
            <w:r>
              <w:rPr>
                <w:rFonts w:hint="cs"/>
                <w:sz w:val="26"/>
                <w:rtl/>
              </w:rPr>
              <w:t>הוא הורשע בעבירת טרור כהגדרתה בחוק המאבק בטרור, התשע"ו</w:t>
            </w:r>
            <w:r>
              <w:rPr>
                <w:rFonts w:hint="cs"/>
                <w:rtl/>
              </w:rPr>
              <w:t>–</w:t>
            </w:r>
            <w:r>
              <w:rPr>
                <w:rFonts w:hint="cs"/>
                <w:sz w:val="26"/>
                <w:rtl/>
              </w:rPr>
              <w:t>2016</w:t>
            </w:r>
            <w:r w:rsidRPr="00BC2D7C">
              <w:rPr>
                <w:rStyle w:val="a6"/>
                <w:rFonts w:ascii="David" w:hAnsi="David"/>
                <w:sz w:val="26"/>
                <w:rtl/>
              </w:rPr>
              <w:footnoteReference w:id="3"/>
            </w:r>
            <w:r>
              <w:rPr>
                <w:rFonts w:hint="cs"/>
                <w:sz w:val="26"/>
                <w:rtl/>
              </w:rPr>
              <w:t>;</w:t>
            </w:r>
          </w:p>
        </w:tc>
      </w:tr>
      <w:tr w:rsidR="008106E8" w14:paraId="5A790219" w14:textId="77777777" w:rsidTr="006433B7">
        <w:trPr>
          <w:cantSplit/>
        </w:trPr>
        <w:tc>
          <w:tcPr>
            <w:tcW w:w="1869" w:type="dxa"/>
          </w:tcPr>
          <w:p w14:paraId="386247CE" w14:textId="77777777" w:rsidR="008106E8" w:rsidRDefault="008106E8" w:rsidP="006433B7">
            <w:pPr>
              <w:pStyle w:val="TableSideHeading"/>
            </w:pPr>
          </w:p>
        </w:tc>
        <w:tc>
          <w:tcPr>
            <w:tcW w:w="624" w:type="dxa"/>
          </w:tcPr>
          <w:p w14:paraId="2D696CF9" w14:textId="77777777" w:rsidR="008106E8" w:rsidRDefault="008106E8" w:rsidP="006433B7">
            <w:pPr>
              <w:pStyle w:val="TableText"/>
            </w:pPr>
          </w:p>
        </w:tc>
        <w:tc>
          <w:tcPr>
            <w:tcW w:w="624" w:type="dxa"/>
          </w:tcPr>
          <w:p w14:paraId="40865CB5" w14:textId="77777777" w:rsidR="008106E8" w:rsidRDefault="008106E8" w:rsidP="006433B7">
            <w:pPr>
              <w:pStyle w:val="TableText"/>
            </w:pPr>
          </w:p>
        </w:tc>
        <w:tc>
          <w:tcPr>
            <w:tcW w:w="624" w:type="dxa"/>
          </w:tcPr>
          <w:p w14:paraId="7D9F53D5" w14:textId="77777777" w:rsidR="008106E8" w:rsidRDefault="008106E8" w:rsidP="006433B7">
            <w:pPr>
              <w:pStyle w:val="TableText"/>
            </w:pPr>
          </w:p>
        </w:tc>
        <w:tc>
          <w:tcPr>
            <w:tcW w:w="624" w:type="dxa"/>
          </w:tcPr>
          <w:p w14:paraId="6460088A" w14:textId="77777777" w:rsidR="008106E8" w:rsidRDefault="008106E8" w:rsidP="006433B7">
            <w:pPr>
              <w:pStyle w:val="TableText"/>
            </w:pPr>
          </w:p>
        </w:tc>
        <w:tc>
          <w:tcPr>
            <w:tcW w:w="624" w:type="dxa"/>
          </w:tcPr>
          <w:p w14:paraId="53348134" w14:textId="77777777" w:rsidR="008106E8" w:rsidRDefault="008106E8" w:rsidP="006433B7">
            <w:pPr>
              <w:pStyle w:val="TableText"/>
            </w:pPr>
          </w:p>
        </w:tc>
        <w:tc>
          <w:tcPr>
            <w:tcW w:w="624" w:type="dxa"/>
          </w:tcPr>
          <w:p w14:paraId="204D9763" w14:textId="77777777" w:rsidR="008106E8" w:rsidRDefault="008106E8" w:rsidP="006433B7">
            <w:pPr>
              <w:pStyle w:val="TableText"/>
            </w:pPr>
          </w:p>
        </w:tc>
        <w:tc>
          <w:tcPr>
            <w:tcW w:w="4023" w:type="dxa"/>
          </w:tcPr>
          <w:p w14:paraId="5BB56F3B" w14:textId="77777777" w:rsidR="008106E8" w:rsidRDefault="008106E8" w:rsidP="006433B7">
            <w:pPr>
              <w:pStyle w:val="TableBlock"/>
              <w:rPr>
                <w:rtl/>
              </w:rPr>
            </w:pPr>
            <w:r>
              <w:rPr>
                <w:rFonts w:hint="cs"/>
                <w:rtl/>
              </w:rPr>
              <w:t>(2)</w:t>
            </w:r>
            <w:r>
              <w:rPr>
                <w:rtl/>
              </w:rPr>
              <w:tab/>
            </w:r>
            <w:r>
              <w:rPr>
                <w:rFonts w:hint="cs"/>
                <w:sz w:val="26"/>
                <w:rtl/>
              </w:rPr>
              <w:t>הוא הורשע בעבירה לפי פקודת מניעת טרור, התש"ח</w:t>
            </w:r>
            <w:r>
              <w:rPr>
                <w:rFonts w:hint="cs"/>
                <w:rtl/>
              </w:rPr>
              <w:t>–</w:t>
            </w:r>
            <w:r>
              <w:rPr>
                <w:rFonts w:hint="cs"/>
                <w:sz w:val="26"/>
                <w:rtl/>
              </w:rPr>
              <w:t>1948</w:t>
            </w:r>
            <w:r w:rsidRPr="00BC2D7C">
              <w:rPr>
                <w:rStyle w:val="a6"/>
                <w:rFonts w:ascii="David" w:hAnsi="David"/>
                <w:sz w:val="26"/>
                <w:rtl/>
              </w:rPr>
              <w:footnoteReference w:id="4"/>
            </w:r>
            <w:r>
              <w:rPr>
                <w:rFonts w:hint="cs"/>
                <w:sz w:val="26"/>
                <w:rtl/>
              </w:rPr>
              <w:t>, חוק איסור מימון טרור, התשס"ה</w:t>
            </w:r>
            <w:r w:rsidRPr="00EB1FC8">
              <w:rPr>
                <w:sz w:val="26"/>
                <w:rtl/>
              </w:rPr>
              <w:t>–</w:t>
            </w:r>
            <w:r>
              <w:rPr>
                <w:rFonts w:hint="cs"/>
                <w:sz w:val="26"/>
                <w:rtl/>
              </w:rPr>
              <w:t>2005 או תקנה 84 או 85 לתקנות ההגנה (שעת חירום), 1945</w:t>
            </w:r>
            <w:r w:rsidRPr="00BC2D7C">
              <w:rPr>
                <w:rStyle w:val="a6"/>
                <w:rFonts w:ascii="David" w:hAnsi="David"/>
                <w:sz w:val="26"/>
                <w:rtl/>
              </w:rPr>
              <w:footnoteReference w:id="5"/>
            </w:r>
            <w:r>
              <w:rPr>
                <w:rFonts w:hint="cs"/>
                <w:sz w:val="26"/>
                <w:rtl/>
              </w:rPr>
              <w:t>, כנוסחם ערב ביטולם בחוק המאבק בטרור, או עבירת ביטחון כהגדרתה בחוק סדר הדין הפלילי (עצור החשוד בעבירת ביטחון) (הוראת שעה), התשס"ו</w:t>
            </w:r>
            <w:r w:rsidRPr="00EB1FC8">
              <w:rPr>
                <w:sz w:val="26"/>
                <w:rtl/>
              </w:rPr>
              <w:t>–</w:t>
            </w:r>
            <w:r>
              <w:rPr>
                <w:rFonts w:hint="cs"/>
                <w:sz w:val="26"/>
                <w:rtl/>
              </w:rPr>
              <w:t>2006</w:t>
            </w:r>
            <w:r w:rsidRPr="00BC2D7C">
              <w:rPr>
                <w:rStyle w:val="a6"/>
                <w:rFonts w:ascii="David" w:hAnsi="David"/>
                <w:sz w:val="26"/>
                <w:rtl/>
              </w:rPr>
              <w:footnoteReference w:id="6"/>
            </w:r>
            <w:r>
              <w:rPr>
                <w:rFonts w:hint="cs"/>
                <w:sz w:val="26"/>
                <w:rtl/>
              </w:rPr>
              <w:t>, כנוסחו ערב ביטולו בחוק המאבק בטרור</w:t>
            </w:r>
            <w:r w:rsidRPr="00985F2C">
              <w:rPr>
                <w:rFonts w:hint="cs"/>
                <w:sz w:val="26"/>
                <w:rtl/>
              </w:rPr>
              <w:t>;</w:t>
            </w:r>
          </w:p>
        </w:tc>
      </w:tr>
      <w:tr w:rsidR="008106E8" w14:paraId="1F5AD139" w14:textId="77777777" w:rsidTr="006433B7">
        <w:trPr>
          <w:cantSplit/>
        </w:trPr>
        <w:tc>
          <w:tcPr>
            <w:tcW w:w="1869" w:type="dxa"/>
          </w:tcPr>
          <w:p w14:paraId="6F5266D9" w14:textId="77777777" w:rsidR="008106E8" w:rsidRDefault="008106E8" w:rsidP="006433B7">
            <w:pPr>
              <w:pStyle w:val="TableSideHeading"/>
            </w:pPr>
          </w:p>
        </w:tc>
        <w:tc>
          <w:tcPr>
            <w:tcW w:w="624" w:type="dxa"/>
          </w:tcPr>
          <w:p w14:paraId="47409701" w14:textId="77777777" w:rsidR="008106E8" w:rsidRDefault="008106E8" w:rsidP="006433B7">
            <w:pPr>
              <w:pStyle w:val="TableText"/>
            </w:pPr>
          </w:p>
        </w:tc>
        <w:tc>
          <w:tcPr>
            <w:tcW w:w="624" w:type="dxa"/>
          </w:tcPr>
          <w:p w14:paraId="13EDEB17" w14:textId="77777777" w:rsidR="008106E8" w:rsidRDefault="008106E8" w:rsidP="006433B7">
            <w:pPr>
              <w:pStyle w:val="TableText"/>
            </w:pPr>
          </w:p>
        </w:tc>
        <w:tc>
          <w:tcPr>
            <w:tcW w:w="624" w:type="dxa"/>
          </w:tcPr>
          <w:p w14:paraId="29609026" w14:textId="77777777" w:rsidR="008106E8" w:rsidRDefault="008106E8" w:rsidP="006433B7">
            <w:pPr>
              <w:pStyle w:val="TableText"/>
            </w:pPr>
          </w:p>
        </w:tc>
        <w:tc>
          <w:tcPr>
            <w:tcW w:w="624" w:type="dxa"/>
          </w:tcPr>
          <w:p w14:paraId="7886BD85" w14:textId="77777777" w:rsidR="008106E8" w:rsidRDefault="008106E8" w:rsidP="006433B7">
            <w:pPr>
              <w:pStyle w:val="TableText"/>
            </w:pPr>
          </w:p>
        </w:tc>
        <w:tc>
          <w:tcPr>
            <w:tcW w:w="624" w:type="dxa"/>
          </w:tcPr>
          <w:p w14:paraId="64218E9A" w14:textId="77777777" w:rsidR="008106E8" w:rsidRDefault="008106E8" w:rsidP="006433B7">
            <w:pPr>
              <w:pStyle w:val="TableText"/>
            </w:pPr>
          </w:p>
        </w:tc>
        <w:tc>
          <w:tcPr>
            <w:tcW w:w="624" w:type="dxa"/>
          </w:tcPr>
          <w:p w14:paraId="76688A60" w14:textId="77777777" w:rsidR="008106E8" w:rsidRDefault="008106E8" w:rsidP="006433B7">
            <w:pPr>
              <w:pStyle w:val="TableText"/>
            </w:pPr>
          </w:p>
        </w:tc>
        <w:tc>
          <w:tcPr>
            <w:tcW w:w="4023" w:type="dxa"/>
          </w:tcPr>
          <w:p w14:paraId="23917C50" w14:textId="7D34B2F9" w:rsidR="008106E8" w:rsidRDefault="008106E8" w:rsidP="006433B7">
            <w:pPr>
              <w:pStyle w:val="TableBlock"/>
              <w:rPr>
                <w:rtl/>
              </w:rPr>
            </w:pPr>
            <w:r>
              <w:rPr>
                <w:rFonts w:hint="cs"/>
                <w:rtl/>
              </w:rPr>
              <w:t>(3)</w:t>
            </w:r>
            <w:r>
              <w:rPr>
                <w:rtl/>
              </w:rPr>
              <w:tab/>
            </w:r>
            <w:r>
              <w:rPr>
                <w:rFonts w:hint="cs"/>
                <w:rtl/>
              </w:rPr>
              <w:t>הוא הורשע בידי בית משפט צבאי כהגדרתו בתקנות ההגנה (שעת חירום),</w:t>
            </w:r>
            <w:r w:rsidR="00EE099C">
              <w:rPr>
                <w:rFonts w:hint="cs"/>
                <w:rtl/>
              </w:rPr>
              <w:t xml:space="preserve"> </w:t>
            </w:r>
            <w:r>
              <w:rPr>
                <w:rFonts w:hint="cs"/>
                <w:rtl/>
              </w:rPr>
              <w:t>1945, בעבירה לפי חלק ג' לתקנות האמורות;</w:t>
            </w:r>
          </w:p>
        </w:tc>
      </w:tr>
      <w:tr w:rsidR="008106E8" w14:paraId="3CD9876D" w14:textId="77777777" w:rsidTr="006433B7">
        <w:trPr>
          <w:cantSplit/>
        </w:trPr>
        <w:tc>
          <w:tcPr>
            <w:tcW w:w="1869" w:type="dxa"/>
          </w:tcPr>
          <w:p w14:paraId="7A19281C" w14:textId="77777777" w:rsidR="008106E8" w:rsidRDefault="008106E8" w:rsidP="006433B7">
            <w:pPr>
              <w:pStyle w:val="TableSideHeading"/>
            </w:pPr>
          </w:p>
        </w:tc>
        <w:tc>
          <w:tcPr>
            <w:tcW w:w="624" w:type="dxa"/>
          </w:tcPr>
          <w:p w14:paraId="3224A10D" w14:textId="77777777" w:rsidR="008106E8" w:rsidRDefault="008106E8" w:rsidP="006433B7">
            <w:pPr>
              <w:pStyle w:val="TableText"/>
            </w:pPr>
          </w:p>
        </w:tc>
        <w:tc>
          <w:tcPr>
            <w:tcW w:w="624" w:type="dxa"/>
          </w:tcPr>
          <w:p w14:paraId="42433256" w14:textId="77777777" w:rsidR="008106E8" w:rsidRDefault="008106E8" w:rsidP="006433B7">
            <w:pPr>
              <w:pStyle w:val="TableText"/>
            </w:pPr>
          </w:p>
        </w:tc>
        <w:tc>
          <w:tcPr>
            <w:tcW w:w="624" w:type="dxa"/>
          </w:tcPr>
          <w:p w14:paraId="26EED314" w14:textId="77777777" w:rsidR="008106E8" w:rsidRDefault="008106E8" w:rsidP="006433B7">
            <w:pPr>
              <w:pStyle w:val="TableText"/>
            </w:pPr>
          </w:p>
        </w:tc>
        <w:tc>
          <w:tcPr>
            <w:tcW w:w="624" w:type="dxa"/>
          </w:tcPr>
          <w:p w14:paraId="332464D5" w14:textId="77777777" w:rsidR="008106E8" w:rsidRDefault="008106E8" w:rsidP="006433B7">
            <w:pPr>
              <w:pStyle w:val="TableText"/>
            </w:pPr>
          </w:p>
        </w:tc>
        <w:tc>
          <w:tcPr>
            <w:tcW w:w="624" w:type="dxa"/>
          </w:tcPr>
          <w:p w14:paraId="163D0C8F" w14:textId="77777777" w:rsidR="008106E8" w:rsidRDefault="008106E8" w:rsidP="006433B7">
            <w:pPr>
              <w:pStyle w:val="TableText"/>
            </w:pPr>
          </w:p>
        </w:tc>
        <w:tc>
          <w:tcPr>
            <w:tcW w:w="624" w:type="dxa"/>
          </w:tcPr>
          <w:p w14:paraId="3F1780DF" w14:textId="77777777" w:rsidR="008106E8" w:rsidRDefault="008106E8" w:rsidP="006433B7">
            <w:pPr>
              <w:pStyle w:val="TableText"/>
            </w:pPr>
          </w:p>
        </w:tc>
        <w:tc>
          <w:tcPr>
            <w:tcW w:w="4023" w:type="dxa"/>
          </w:tcPr>
          <w:p w14:paraId="03B7CA53" w14:textId="48298DE0" w:rsidR="008106E8" w:rsidRPr="00EB1FC8" w:rsidRDefault="008106E8" w:rsidP="00EE099C">
            <w:pPr>
              <w:pStyle w:val="TableBlock"/>
              <w:rPr>
                <w:rtl/>
              </w:rPr>
            </w:pPr>
            <w:r>
              <w:rPr>
                <w:rFonts w:hint="cs"/>
                <w:rtl/>
              </w:rPr>
              <w:t>(4)</w:t>
            </w:r>
            <w:r w:rsidR="00EE099C">
              <w:rPr>
                <w:rtl/>
              </w:rPr>
              <w:tab/>
            </w:r>
            <w:r>
              <w:rPr>
                <w:rFonts w:hint="cs"/>
                <w:rtl/>
              </w:rPr>
              <w:t xml:space="preserve">הוא הורשע בידי בית משפט צבאי כהגדרתו בתקנות שעת חירום (יהודה והשומרון </w:t>
            </w:r>
            <w:r>
              <w:rPr>
                <w:rtl/>
              </w:rPr>
              <w:t>–</w:t>
            </w:r>
            <w:r>
              <w:rPr>
                <w:rFonts w:hint="cs"/>
                <w:rtl/>
              </w:rPr>
              <w:t xml:space="preserve"> שיפוט בעבירות ועזרה משפטית), התשכ"ז</w:t>
            </w:r>
            <w:r w:rsidRPr="00EB1FC8">
              <w:rPr>
                <w:rtl/>
              </w:rPr>
              <w:t>–</w:t>
            </w:r>
            <w:r>
              <w:rPr>
                <w:rFonts w:hint="cs"/>
                <w:rtl/>
              </w:rPr>
              <w:t>1967</w:t>
            </w:r>
            <w:r w:rsidRPr="00BC2D7C">
              <w:rPr>
                <w:rStyle w:val="a6"/>
                <w:rFonts w:ascii="David" w:hAnsi="David"/>
                <w:sz w:val="26"/>
                <w:rtl/>
              </w:rPr>
              <w:footnoteReference w:id="7"/>
            </w:r>
            <w:r>
              <w:rPr>
                <w:rFonts w:hint="cs"/>
                <w:rtl/>
              </w:rPr>
              <w:t>, כפי שהוארך תוקפן ותוקן נוסחן בחוק, מעת לעת, בעבירה נגד ביטחון המדינה שנקבעה בצו בדבר הוראות ביטחון [נוסח משולב] (יהודה והשומרון) (מס' 1651), התש"ע</w:t>
            </w:r>
            <w:r w:rsidRPr="00EB1FC8">
              <w:rPr>
                <w:rtl/>
              </w:rPr>
              <w:t>–</w:t>
            </w:r>
            <w:r>
              <w:rPr>
                <w:rFonts w:hint="cs"/>
                <w:rtl/>
              </w:rPr>
              <w:t>2009</w:t>
            </w:r>
            <w:r w:rsidRPr="00BC2D7C">
              <w:rPr>
                <w:rStyle w:val="a6"/>
                <w:rFonts w:ascii="David" w:hAnsi="David"/>
                <w:sz w:val="26"/>
                <w:rtl/>
              </w:rPr>
              <w:footnoteReference w:id="8"/>
            </w:r>
            <w:r>
              <w:rPr>
                <w:rFonts w:hint="cs"/>
                <w:rtl/>
              </w:rPr>
              <w:t>, בצו אחר שהוציא המפקד הצבאי באזור או בתקנות ההגנה (שעת חירום),1945, כתוקפן באזור.</w:t>
            </w:r>
          </w:p>
        </w:tc>
      </w:tr>
      <w:tr w:rsidR="008106E8" w:rsidRPr="00981A98" w14:paraId="7439C89D" w14:textId="77777777" w:rsidTr="006433B7">
        <w:trPr>
          <w:cantSplit/>
        </w:trPr>
        <w:tc>
          <w:tcPr>
            <w:tcW w:w="1869" w:type="dxa"/>
          </w:tcPr>
          <w:p w14:paraId="002D400F" w14:textId="77777777" w:rsidR="008106E8" w:rsidRPr="006E5DCA" w:rsidRDefault="008106E8" w:rsidP="006433B7">
            <w:pPr>
              <w:pStyle w:val="TableSideHeading"/>
              <w:rPr>
                <w:highlight w:val="cyan"/>
              </w:rPr>
            </w:pPr>
          </w:p>
        </w:tc>
        <w:tc>
          <w:tcPr>
            <w:tcW w:w="624" w:type="dxa"/>
          </w:tcPr>
          <w:p w14:paraId="62FF42A8" w14:textId="77777777" w:rsidR="008106E8" w:rsidRDefault="008106E8" w:rsidP="006433B7">
            <w:pPr>
              <w:pStyle w:val="TableText"/>
            </w:pPr>
          </w:p>
        </w:tc>
        <w:tc>
          <w:tcPr>
            <w:tcW w:w="624" w:type="dxa"/>
          </w:tcPr>
          <w:p w14:paraId="75AD249C" w14:textId="77777777" w:rsidR="008106E8" w:rsidRDefault="008106E8" w:rsidP="006433B7">
            <w:pPr>
              <w:pStyle w:val="TableText"/>
            </w:pPr>
          </w:p>
        </w:tc>
        <w:tc>
          <w:tcPr>
            <w:tcW w:w="624" w:type="dxa"/>
          </w:tcPr>
          <w:p w14:paraId="0E626D62" w14:textId="77777777" w:rsidR="008106E8" w:rsidRDefault="008106E8" w:rsidP="006433B7">
            <w:pPr>
              <w:pStyle w:val="TableText"/>
            </w:pPr>
          </w:p>
        </w:tc>
        <w:tc>
          <w:tcPr>
            <w:tcW w:w="624" w:type="dxa"/>
          </w:tcPr>
          <w:p w14:paraId="710B140D" w14:textId="77777777" w:rsidR="008106E8" w:rsidRDefault="008106E8" w:rsidP="006433B7">
            <w:pPr>
              <w:pStyle w:val="TableText"/>
            </w:pPr>
          </w:p>
        </w:tc>
        <w:tc>
          <w:tcPr>
            <w:tcW w:w="624" w:type="dxa"/>
          </w:tcPr>
          <w:p w14:paraId="510D338D" w14:textId="77777777" w:rsidR="008106E8" w:rsidRDefault="008106E8" w:rsidP="006433B7">
            <w:pPr>
              <w:pStyle w:val="TableText"/>
            </w:pPr>
          </w:p>
        </w:tc>
        <w:tc>
          <w:tcPr>
            <w:tcW w:w="4647" w:type="dxa"/>
            <w:gridSpan w:val="2"/>
          </w:tcPr>
          <w:p w14:paraId="027F99BE" w14:textId="44A5A592" w:rsidR="008106E8" w:rsidRPr="00981A98" w:rsidRDefault="008106E8" w:rsidP="006433B7">
            <w:pPr>
              <w:pStyle w:val="TableBlockOutdent"/>
            </w:pPr>
            <w:r>
              <w:rPr>
                <w:rtl/>
              </w:rPr>
              <w:t>"</w:t>
            </w:r>
            <w:r w:rsidR="00EE099C">
              <w:rPr>
                <w:rFonts w:hint="cs"/>
                <w:rtl/>
              </w:rPr>
              <w:t xml:space="preserve">ארגון טרור" </w:t>
            </w:r>
            <w:r>
              <w:rPr>
                <w:rtl/>
              </w:rPr>
              <w:t>–</w:t>
            </w:r>
            <w:r>
              <w:rPr>
                <w:rFonts w:hint="cs"/>
                <w:rtl/>
              </w:rPr>
              <w:t xml:space="preserve"> כהגדרתו בחוק המאבק בטרור, התשע"ו–2016</w:t>
            </w:r>
            <w:r w:rsidRPr="00BC2D7C">
              <w:rPr>
                <w:rStyle w:val="a6"/>
                <w:rFonts w:ascii="David" w:hAnsi="David"/>
                <w:sz w:val="26"/>
                <w:rtl/>
              </w:rPr>
              <w:footnoteReference w:id="9"/>
            </w:r>
            <w:r>
              <w:rPr>
                <w:rFonts w:hint="cs"/>
                <w:rtl/>
              </w:rPr>
              <w:t>.</w:t>
            </w:r>
          </w:p>
        </w:tc>
      </w:tr>
      <w:tr w:rsidR="008106E8" w14:paraId="2EC97C57" w14:textId="77777777" w:rsidTr="006433B7">
        <w:trPr>
          <w:cantSplit/>
        </w:trPr>
        <w:tc>
          <w:tcPr>
            <w:tcW w:w="1869" w:type="dxa"/>
          </w:tcPr>
          <w:p w14:paraId="67D230E3" w14:textId="77777777" w:rsidR="008106E8" w:rsidRPr="006E5DCA" w:rsidRDefault="008106E8" w:rsidP="006433B7">
            <w:pPr>
              <w:pStyle w:val="TableSideHeading"/>
              <w:rPr>
                <w:highlight w:val="cyan"/>
              </w:rPr>
            </w:pPr>
          </w:p>
        </w:tc>
        <w:tc>
          <w:tcPr>
            <w:tcW w:w="624" w:type="dxa"/>
          </w:tcPr>
          <w:p w14:paraId="05AA5CFE" w14:textId="77777777" w:rsidR="008106E8" w:rsidRDefault="008106E8" w:rsidP="006433B7">
            <w:pPr>
              <w:pStyle w:val="TableText"/>
            </w:pPr>
          </w:p>
        </w:tc>
        <w:tc>
          <w:tcPr>
            <w:tcW w:w="624" w:type="dxa"/>
          </w:tcPr>
          <w:p w14:paraId="73BE3EA8" w14:textId="77777777" w:rsidR="008106E8" w:rsidRDefault="008106E8" w:rsidP="006433B7">
            <w:pPr>
              <w:pStyle w:val="TableText"/>
            </w:pPr>
          </w:p>
        </w:tc>
        <w:tc>
          <w:tcPr>
            <w:tcW w:w="624" w:type="dxa"/>
          </w:tcPr>
          <w:p w14:paraId="6476B0AF" w14:textId="77777777" w:rsidR="008106E8" w:rsidRDefault="008106E8" w:rsidP="006433B7">
            <w:pPr>
              <w:pStyle w:val="TableText"/>
            </w:pPr>
          </w:p>
        </w:tc>
        <w:tc>
          <w:tcPr>
            <w:tcW w:w="624" w:type="dxa"/>
          </w:tcPr>
          <w:p w14:paraId="38651AF1" w14:textId="77777777" w:rsidR="008106E8" w:rsidRDefault="008106E8" w:rsidP="006433B7">
            <w:pPr>
              <w:pStyle w:val="TableText"/>
            </w:pPr>
          </w:p>
        </w:tc>
        <w:tc>
          <w:tcPr>
            <w:tcW w:w="624" w:type="dxa"/>
          </w:tcPr>
          <w:p w14:paraId="19C76293" w14:textId="77777777" w:rsidR="008106E8" w:rsidRDefault="008106E8" w:rsidP="006433B7">
            <w:pPr>
              <w:pStyle w:val="TableText"/>
            </w:pPr>
          </w:p>
        </w:tc>
        <w:tc>
          <w:tcPr>
            <w:tcW w:w="4647" w:type="dxa"/>
            <w:gridSpan w:val="2"/>
          </w:tcPr>
          <w:p w14:paraId="111D5EC6" w14:textId="77777777" w:rsidR="008106E8" w:rsidRDefault="008106E8" w:rsidP="00EE099C">
            <w:pPr>
              <w:pStyle w:val="TableBlock"/>
              <w:rPr>
                <w:rtl/>
              </w:rPr>
            </w:pPr>
            <w:r>
              <w:rPr>
                <w:rFonts w:hint="cs"/>
                <w:rtl/>
              </w:rPr>
              <w:t xml:space="preserve">(ב) </w:t>
            </w:r>
            <w:r>
              <w:rPr>
                <w:rtl/>
              </w:rPr>
              <w:tab/>
            </w:r>
            <w:r>
              <w:rPr>
                <w:rFonts w:hint="cs"/>
                <w:rtl/>
              </w:rPr>
              <w:t>אסיר ביטחוני לא יהיה זכאי לזכויות יתר המנויות בתוספת הרביעית.</w:t>
            </w:r>
          </w:p>
        </w:tc>
      </w:tr>
      <w:tr w:rsidR="008106E8" w:rsidRPr="00C9503D" w14:paraId="4EC563C7" w14:textId="77777777" w:rsidTr="006433B7">
        <w:trPr>
          <w:cantSplit/>
        </w:trPr>
        <w:tc>
          <w:tcPr>
            <w:tcW w:w="1869" w:type="dxa"/>
          </w:tcPr>
          <w:p w14:paraId="02B3E81B" w14:textId="77777777" w:rsidR="008106E8" w:rsidRPr="00C9503D" w:rsidRDefault="008106E8" w:rsidP="006433B7">
            <w:pPr>
              <w:pStyle w:val="TableSideHeading"/>
              <w:rPr>
                <w:highlight w:val="cyan"/>
                <w:rtl/>
              </w:rPr>
            </w:pPr>
          </w:p>
        </w:tc>
        <w:tc>
          <w:tcPr>
            <w:tcW w:w="624" w:type="dxa"/>
          </w:tcPr>
          <w:p w14:paraId="4ADC06C2" w14:textId="77777777" w:rsidR="008106E8" w:rsidRDefault="008106E8" w:rsidP="006433B7">
            <w:pPr>
              <w:pStyle w:val="TableText"/>
            </w:pPr>
          </w:p>
        </w:tc>
        <w:tc>
          <w:tcPr>
            <w:tcW w:w="624" w:type="dxa"/>
          </w:tcPr>
          <w:p w14:paraId="75FC2E19" w14:textId="77777777" w:rsidR="008106E8" w:rsidRDefault="008106E8" w:rsidP="006433B7">
            <w:pPr>
              <w:pStyle w:val="TableText"/>
            </w:pPr>
          </w:p>
        </w:tc>
        <w:tc>
          <w:tcPr>
            <w:tcW w:w="624" w:type="dxa"/>
          </w:tcPr>
          <w:p w14:paraId="66815BF5" w14:textId="77777777" w:rsidR="008106E8" w:rsidRDefault="008106E8" w:rsidP="006433B7">
            <w:pPr>
              <w:pStyle w:val="TableText"/>
            </w:pPr>
          </w:p>
        </w:tc>
        <w:tc>
          <w:tcPr>
            <w:tcW w:w="624" w:type="dxa"/>
          </w:tcPr>
          <w:p w14:paraId="0BB1AEFB" w14:textId="77777777" w:rsidR="008106E8" w:rsidRDefault="008106E8" w:rsidP="006433B7">
            <w:pPr>
              <w:pStyle w:val="TableText"/>
            </w:pPr>
          </w:p>
        </w:tc>
        <w:tc>
          <w:tcPr>
            <w:tcW w:w="624" w:type="dxa"/>
          </w:tcPr>
          <w:p w14:paraId="3A929904" w14:textId="77777777" w:rsidR="008106E8" w:rsidRDefault="008106E8" w:rsidP="006433B7">
            <w:pPr>
              <w:pStyle w:val="TableText"/>
            </w:pPr>
          </w:p>
        </w:tc>
        <w:tc>
          <w:tcPr>
            <w:tcW w:w="4647" w:type="dxa"/>
            <w:gridSpan w:val="2"/>
          </w:tcPr>
          <w:p w14:paraId="25051362" w14:textId="77777777" w:rsidR="008106E8" w:rsidRPr="00C9503D" w:rsidRDefault="008106E8" w:rsidP="006433B7">
            <w:pPr>
              <w:pStyle w:val="TableBlock"/>
              <w:rPr>
                <w:rtl/>
              </w:rPr>
            </w:pPr>
            <w:r>
              <w:rPr>
                <w:rFonts w:hint="cs"/>
                <w:rtl/>
              </w:rPr>
              <w:t>(ג)</w:t>
            </w:r>
            <w:r>
              <w:rPr>
                <w:rtl/>
              </w:rPr>
              <w:tab/>
            </w:r>
            <w:r>
              <w:rPr>
                <w:rFonts w:hint="cs"/>
                <w:rtl/>
              </w:rPr>
              <w:t>על אף האמור בסעיף קטן (ב), רשאי השר, לאחר התייעצות עם שר הביטחון, להתיר את הזכויות המנויות בתוספת הרביעית, כולן או חלקן, במקרים חריגים ומטעמים מיוחדים שיירשמו.</w:t>
            </w:r>
          </w:p>
        </w:tc>
      </w:tr>
      <w:tr w:rsidR="008106E8" w14:paraId="46A3C023" w14:textId="77777777" w:rsidTr="006433B7">
        <w:trPr>
          <w:cantSplit/>
        </w:trPr>
        <w:tc>
          <w:tcPr>
            <w:tcW w:w="1869" w:type="dxa"/>
          </w:tcPr>
          <w:p w14:paraId="0591A695" w14:textId="77777777" w:rsidR="008106E8" w:rsidRDefault="008106E8" w:rsidP="006433B7">
            <w:pPr>
              <w:pStyle w:val="TableSideHeading"/>
            </w:pPr>
          </w:p>
        </w:tc>
        <w:tc>
          <w:tcPr>
            <w:tcW w:w="624" w:type="dxa"/>
          </w:tcPr>
          <w:p w14:paraId="3FB05B13" w14:textId="77777777" w:rsidR="008106E8" w:rsidRDefault="008106E8" w:rsidP="006433B7">
            <w:pPr>
              <w:pStyle w:val="TableText"/>
            </w:pPr>
          </w:p>
        </w:tc>
        <w:tc>
          <w:tcPr>
            <w:tcW w:w="624" w:type="dxa"/>
          </w:tcPr>
          <w:p w14:paraId="6BA2C38A" w14:textId="77777777" w:rsidR="008106E8" w:rsidRDefault="008106E8" w:rsidP="006433B7">
            <w:pPr>
              <w:pStyle w:val="TableText"/>
            </w:pPr>
          </w:p>
        </w:tc>
        <w:tc>
          <w:tcPr>
            <w:tcW w:w="624" w:type="dxa"/>
          </w:tcPr>
          <w:p w14:paraId="5E346497" w14:textId="77777777" w:rsidR="008106E8" w:rsidRDefault="008106E8" w:rsidP="006433B7">
            <w:pPr>
              <w:pStyle w:val="TableText"/>
            </w:pPr>
          </w:p>
        </w:tc>
        <w:tc>
          <w:tcPr>
            <w:tcW w:w="624" w:type="dxa"/>
          </w:tcPr>
          <w:p w14:paraId="1B03DE95" w14:textId="77777777" w:rsidR="008106E8" w:rsidRDefault="008106E8" w:rsidP="006433B7">
            <w:pPr>
              <w:pStyle w:val="TableText"/>
            </w:pPr>
          </w:p>
        </w:tc>
        <w:tc>
          <w:tcPr>
            <w:tcW w:w="624" w:type="dxa"/>
          </w:tcPr>
          <w:p w14:paraId="7E7EB8EA" w14:textId="77777777" w:rsidR="008106E8" w:rsidRDefault="008106E8" w:rsidP="006433B7">
            <w:pPr>
              <w:pStyle w:val="TableText"/>
            </w:pPr>
          </w:p>
        </w:tc>
        <w:tc>
          <w:tcPr>
            <w:tcW w:w="4647" w:type="dxa"/>
            <w:gridSpan w:val="2"/>
          </w:tcPr>
          <w:p w14:paraId="5E88F173" w14:textId="77777777" w:rsidR="008106E8" w:rsidRDefault="008106E8" w:rsidP="006433B7">
            <w:pPr>
              <w:pStyle w:val="TableBlock"/>
            </w:pPr>
            <w:r>
              <w:rPr>
                <w:rFonts w:hint="cs"/>
                <w:rtl/>
              </w:rPr>
              <w:t>(ד)</w:t>
            </w:r>
            <w:r>
              <w:rPr>
                <w:rtl/>
              </w:rPr>
              <w:tab/>
            </w:r>
            <w:r>
              <w:rPr>
                <w:rFonts w:hint="cs"/>
                <w:rtl/>
              </w:rPr>
              <w:t>השר, לאחר התייעצות עם שר הביטחון ובאישור ועדת החוץ והביטחון של הכנסת רשאי, בצו, לשנות את התוספת הרביעית."</w:t>
            </w:r>
          </w:p>
        </w:tc>
      </w:tr>
      <w:tr w:rsidR="008106E8" w:rsidRPr="00106029" w14:paraId="48A51B13" w14:textId="77777777" w:rsidTr="006433B7">
        <w:trPr>
          <w:cantSplit/>
        </w:trPr>
        <w:tc>
          <w:tcPr>
            <w:tcW w:w="1869" w:type="dxa"/>
          </w:tcPr>
          <w:p w14:paraId="130EE61E" w14:textId="77777777" w:rsidR="008106E8" w:rsidRDefault="008106E8" w:rsidP="006433B7">
            <w:pPr>
              <w:pStyle w:val="TableSideHeading"/>
            </w:pPr>
            <w:r>
              <w:rPr>
                <w:rFonts w:hint="cs"/>
                <w:rtl/>
              </w:rPr>
              <w:t>הוספת תוספת רביעית</w:t>
            </w:r>
          </w:p>
        </w:tc>
        <w:tc>
          <w:tcPr>
            <w:tcW w:w="624" w:type="dxa"/>
          </w:tcPr>
          <w:p w14:paraId="3D9ED9DA" w14:textId="77777777" w:rsidR="008106E8" w:rsidRDefault="008106E8" w:rsidP="006433B7">
            <w:pPr>
              <w:pStyle w:val="TableText"/>
            </w:pPr>
            <w:r>
              <w:rPr>
                <w:rFonts w:hint="cs"/>
                <w:rtl/>
              </w:rPr>
              <w:t>2.</w:t>
            </w:r>
          </w:p>
        </w:tc>
        <w:tc>
          <w:tcPr>
            <w:tcW w:w="7143" w:type="dxa"/>
            <w:gridSpan w:val="6"/>
          </w:tcPr>
          <w:p w14:paraId="12184894" w14:textId="77777777" w:rsidR="008106E8" w:rsidRPr="00106029" w:rsidRDefault="008106E8" w:rsidP="006433B7">
            <w:pPr>
              <w:pStyle w:val="TableBlockOutdent"/>
              <w:rPr>
                <w:rtl/>
              </w:rPr>
            </w:pPr>
            <w:r>
              <w:rPr>
                <w:rFonts w:hint="cs"/>
                <w:rtl/>
              </w:rPr>
              <w:t>אחרי התוספת השלישית לפקודה יבוא:</w:t>
            </w:r>
          </w:p>
        </w:tc>
      </w:tr>
      <w:tr w:rsidR="008106E8" w:rsidRPr="00106029" w14:paraId="1611119A" w14:textId="77777777" w:rsidTr="006433B7">
        <w:trPr>
          <w:cantSplit/>
        </w:trPr>
        <w:tc>
          <w:tcPr>
            <w:tcW w:w="1869" w:type="dxa"/>
          </w:tcPr>
          <w:p w14:paraId="010C826B" w14:textId="77777777" w:rsidR="008106E8" w:rsidRDefault="008106E8" w:rsidP="006433B7">
            <w:pPr>
              <w:pStyle w:val="TableSideHeading"/>
            </w:pPr>
          </w:p>
        </w:tc>
        <w:tc>
          <w:tcPr>
            <w:tcW w:w="624" w:type="dxa"/>
          </w:tcPr>
          <w:p w14:paraId="57F40688" w14:textId="77777777" w:rsidR="008106E8" w:rsidRDefault="008106E8" w:rsidP="006433B7">
            <w:pPr>
              <w:pStyle w:val="TableText"/>
            </w:pPr>
          </w:p>
        </w:tc>
        <w:tc>
          <w:tcPr>
            <w:tcW w:w="7143" w:type="dxa"/>
            <w:gridSpan w:val="6"/>
          </w:tcPr>
          <w:p w14:paraId="47AB6A12" w14:textId="53D55429" w:rsidR="008106E8" w:rsidRPr="00106029" w:rsidRDefault="008106E8" w:rsidP="00EE099C">
            <w:pPr>
              <w:pStyle w:val="TableHead"/>
              <w:outlineLvl w:val="9"/>
              <w:rPr>
                <w:b w:val="0"/>
                <w:bCs w:val="0"/>
              </w:rPr>
            </w:pPr>
            <w:r>
              <w:rPr>
                <w:rFonts w:hint="cs"/>
                <w:rtl/>
              </w:rPr>
              <w:t>"</w:t>
            </w:r>
            <w:r w:rsidRPr="00106029">
              <w:rPr>
                <w:rFonts w:hint="cs"/>
                <w:rtl/>
              </w:rPr>
              <w:t>תוספת</w:t>
            </w:r>
            <w:r w:rsidRPr="003F68C7">
              <w:rPr>
                <w:rFonts w:hint="cs"/>
                <w:rtl/>
              </w:rPr>
              <w:t xml:space="preserve"> רביעית</w:t>
            </w:r>
          </w:p>
        </w:tc>
      </w:tr>
      <w:tr w:rsidR="00EE099C" w:rsidRPr="00106029" w14:paraId="155AC32F" w14:textId="77777777" w:rsidTr="006433B7">
        <w:trPr>
          <w:cantSplit/>
        </w:trPr>
        <w:tc>
          <w:tcPr>
            <w:tcW w:w="1869" w:type="dxa"/>
          </w:tcPr>
          <w:p w14:paraId="62BB663E" w14:textId="77777777" w:rsidR="00EE099C" w:rsidRDefault="00EE099C" w:rsidP="006433B7">
            <w:pPr>
              <w:pStyle w:val="TableSideHeading"/>
            </w:pPr>
          </w:p>
        </w:tc>
        <w:tc>
          <w:tcPr>
            <w:tcW w:w="624" w:type="dxa"/>
          </w:tcPr>
          <w:p w14:paraId="4A4E3E80" w14:textId="77777777" w:rsidR="00EE099C" w:rsidRDefault="00EE099C" w:rsidP="006433B7">
            <w:pPr>
              <w:pStyle w:val="TableText"/>
            </w:pPr>
          </w:p>
        </w:tc>
        <w:tc>
          <w:tcPr>
            <w:tcW w:w="7143" w:type="dxa"/>
            <w:gridSpan w:val="6"/>
          </w:tcPr>
          <w:p w14:paraId="36C09682" w14:textId="3A0A891A" w:rsidR="00EE099C" w:rsidRPr="00EE099C" w:rsidRDefault="00EE099C" w:rsidP="00EE099C">
            <w:pPr>
              <w:pStyle w:val="TableBlock"/>
              <w:jc w:val="center"/>
              <w:rPr>
                <w:rFonts w:hint="cs"/>
                <w:rtl/>
              </w:rPr>
            </w:pPr>
            <w:r>
              <w:rPr>
                <w:rFonts w:hint="cs"/>
                <w:rtl/>
              </w:rPr>
              <w:t>(סעיף 52א(ב)(1))</w:t>
            </w:r>
          </w:p>
        </w:tc>
      </w:tr>
      <w:tr w:rsidR="008106E8" w:rsidRPr="00981A98" w14:paraId="32AE3FC2" w14:textId="77777777" w:rsidTr="006433B7">
        <w:trPr>
          <w:cantSplit/>
        </w:trPr>
        <w:tc>
          <w:tcPr>
            <w:tcW w:w="1869" w:type="dxa"/>
          </w:tcPr>
          <w:p w14:paraId="27DD0B5A" w14:textId="77777777" w:rsidR="008106E8" w:rsidRDefault="008106E8" w:rsidP="006433B7">
            <w:pPr>
              <w:pStyle w:val="TableSideHeading"/>
            </w:pPr>
          </w:p>
        </w:tc>
        <w:tc>
          <w:tcPr>
            <w:tcW w:w="624" w:type="dxa"/>
          </w:tcPr>
          <w:p w14:paraId="66093D55" w14:textId="77777777" w:rsidR="008106E8" w:rsidRDefault="008106E8" w:rsidP="006433B7">
            <w:pPr>
              <w:pStyle w:val="TableText"/>
            </w:pPr>
          </w:p>
        </w:tc>
        <w:tc>
          <w:tcPr>
            <w:tcW w:w="7143" w:type="dxa"/>
            <w:gridSpan w:val="6"/>
          </w:tcPr>
          <w:p w14:paraId="0B82C438" w14:textId="77777777" w:rsidR="008106E8" w:rsidRPr="00981A98" w:rsidRDefault="008106E8" w:rsidP="006433B7">
            <w:pPr>
              <w:pStyle w:val="TableBlock"/>
              <w:rPr>
                <w:rtl/>
              </w:rPr>
            </w:pPr>
            <w:r>
              <w:rPr>
                <w:rFonts w:hint="cs"/>
                <w:rtl/>
              </w:rPr>
              <w:t>1.</w:t>
            </w:r>
            <w:r>
              <w:rPr>
                <w:rtl/>
              </w:rPr>
              <w:tab/>
            </w:r>
            <w:r>
              <w:rPr>
                <w:rFonts w:hint="cs"/>
                <w:rtl/>
              </w:rPr>
              <w:t>ביקורים, למעט ביקור של עורך דינו של האסיר הביטחוני ושל נציג ארגון הצלב האדום;</w:t>
            </w:r>
          </w:p>
        </w:tc>
      </w:tr>
      <w:tr w:rsidR="008106E8" w14:paraId="093A40BD" w14:textId="77777777" w:rsidTr="006433B7">
        <w:trPr>
          <w:cantSplit/>
        </w:trPr>
        <w:tc>
          <w:tcPr>
            <w:tcW w:w="1869" w:type="dxa"/>
          </w:tcPr>
          <w:p w14:paraId="61D0BDC8" w14:textId="77777777" w:rsidR="008106E8" w:rsidRDefault="008106E8" w:rsidP="006433B7">
            <w:pPr>
              <w:pStyle w:val="TableSideHeading"/>
            </w:pPr>
          </w:p>
        </w:tc>
        <w:tc>
          <w:tcPr>
            <w:tcW w:w="624" w:type="dxa"/>
          </w:tcPr>
          <w:p w14:paraId="200D865D" w14:textId="77777777" w:rsidR="008106E8" w:rsidRDefault="008106E8" w:rsidP="006433B7">
            <w:pPr>
              <w:pStyle w:val="TableText"/>
            </w:pPr>
          </w:p>
        </w:tc>
        <w:tc>
          <w:tcPr>
            <w:tcW w:w="7143" w:type="dxa"/>
            <w:gridSpan w:val="6"/>
          </w:tcPr>
          <w:p w14:paraId="41E8560E" w14:textId="77777777" w:rsidR="008106E8" w:rsidRDefault="008106E8" w:rsidP="006433B7">
            <w:pPr>
              <w:pStyle w:val="TableBlock"/>
              <w:rPr>
                <w:rtl/>
              </w:rPr>
            </w:pPr>
            <w:r>
              <w:rPr>
                <w:rFonts w:hint="cs"/>
                <w:rtl/>
              </w:rPr>
              <w:t>2.</w:t>
            </w:r>
            <w:r>
              <w:rPr>
                <w:rtl/>
              </w:rPr>
              <w:tab/>
            </w:r>
            <w:r>
              <w:rPr>
                <w:rFonts w:hint="cs"/>
                <w:rtl/>
              </w:rPr>
              <w:t>משלוח צילומי וידאו או סטילס של האסיר למשפחתו;</w:t>
            </w:r>
          </w:p>
        </w:tc>
      </w:tr>
      <w:tr w:rsidR="008106E8" w14:paraId="55371E0B" w14:textId="77777777" w:rsidTr="006433B7">
        <w:trPr>
          <w:cantSplit/>
        </w:trPr>
        <w:tc>
          <w:tcPr>
            <w:tcW w:w="1869" w:type="dxa"/>
          </w:tcPr>
          <w:p w14:paraId="1AD24A7C" w14:textId="77777777" w:rsidR="008106E8" w:rsidRDefault="008106E8" w:rsidP="006433B7">
            <w:pPr>
              <w:pStyle w:val="TableSideHeading"/>
            </w:pPr>
          </w:p>
        </w:tc>
        <w:tc>
          <w:tcPr>
            <w:tcW w:w="624" w:type="dxa"/>
          </w:tcPr>
          <w:p w14:paraId="108036E4" w14:textId="77777777" w:rsidR="008106E8" w:rsidRDefault="008106E8" w:rsidP="006433B7">
            <w:pPr>
              <w:pStyle w:val="TableText"/>
            </w:pPr>
          </w:p>
        </w:tc>
        <w:tc>
          <w:tcPr>
            <w:tcW w:w="7143" w:type="dxa"/>
            <w:gridSpan w:val="6"/>
          </w:tcPr>
          <w:p w14:paraId="21C67304" w14:textId="77777777" w:rsidR="008106E8" w:rsidRDefault="008106E8" w:rsidP="006433B7">
            <w:pPr>
              <w:pStyle w:val="TableBlock"/>
              <w:rPr>
                <w:rtl/>
              </w:rPr>
            </w:pPr>
            <w:r>
              <w:rPr>
                <w:rFonts w:hint="cs"/>
                <w:rtl/>
              </w:rPr>
              <w:t>3.</w:t>
            </w:r>
            <w:r>
              <w:rPr>
                <w:rtl/>
              </w:rPr>
              <w:tab/>
            </w:r>
            <w:r>
              <w:rPr>
                <w:rFonts w:hint="cs"/>
                <w:rtl/>
              </w:rPr>
              <w:t xml:space="preserve">קבלת קלטת וידאו; </w:t>
            </w:r>
          </w:p>
        </w:tc>
      </w:tr>
      <w:tr w:rsidR="008106E8" w14:paraId="1EE1E8D2" w14:textId="77777777" w:rsidTr="006433B7">
        <w:trPr>
          <w:cantSplit/>
        </w:trPr>
        <w:tc>
          <w:tcPr>
            <w:tcW w:w="1869" w:type="dxa"/>
          </w:tcPr>
          <w:p w14:paraId="3E8871AD" w14:textId="77777777" w:rsidR="008106E8" w:rsidRDefault="008106E8" w:rsidP="006433B7">
            <w:pPr>
              <w:pStyle w:val="TableSideHeading"/>
            </w:pPr>
          </w:p>
        </w:tc>
        <w:tc>
          <w:tcPr>
            <w:tcW w:w="624" w:type="dxa"/>
          </w:tcPr>
          <w:p w14:paraId="137DBFFC" w14:textId="77777777" w:rsidR="008106E8" w:rsidRDefault="008106E8" w:rsidP="006433B7">
            <w:pPr>
              <w:pStyle w:val="TableText"/>
            </w:pPr>
          </w:p>
        </w:tc>
        <w:tc>
          <w:tcPr>
            <w:tcW w:w="7143" w:type="dxa"/>
            <w:gridSpan w:val="6"/>
          </w:tcPr>
          <w:p w14:paraId="5A3ADA9F" w14:textId="77777777" w:rsidR="008106E8" w:rsidRDefault="008106E8" w:rsidP="006433B7">
            <w:pPr>
              <w:pStyle w:val="TableBlock"/>
              <w:rPr>
                <w:rtl/>
              </w:rPr>
            </w:pPr>
            <w:r>
              <w:rPr>
                <w:rFonts w:hint="cs"/>
                <w:rtl/>
              </w:rPr>
              <w:t xml:space="preserve">4. </w:t>
            </w:r>
            <w:r>
              <w:rPr>
                <w:rtl/>
              </w:rPr>
              <w:tab/>
            </w:r>
            <w:r>
              <w:rPr>
                <w:rFonts w:hint="cs"/>
                <w:rtl/>
              </w:rPr>
              <w:t>צפייה במכשירי טלוויזיה, לרבות קונסולות משחקי וידאו;</w:t>
            </w:r>
          </w:p>
        </w:tc>
      </w:tr>
      <w:tr w:rsidR="008106E8" w14:paraId="173A4BD0" w14:textId="77777777" w:rsidTr="006433B7">
        <w:trPr>
          <w:cantSplit/>
        </w:trPr>
        <w:tc>
          <w:tcPr>
            <w:tcW w:w="1869" w:type="dxa"/>
          </w:tcPr>
          <w:p w14:paraId="5BAD78B5" w14:textId="77777777" w:rsidR="008106E8" w:rsidRDefault="008106E8" w:rsidP="006433B7">
            <w:pPr>
              <w:pStyle w:val="TableSideHeading"/>
            </w:pPr>
          </w:p>
        </w:tc>
        <w:tc>
          <w:tcPr>
            <w:tcW w:w="624" w:type="dxa"/>
          </w:tcPr>
          <w:p w14:paraId="28FCAF57" w14:textId="77777777" w:rsidR="008106E8" w:rsidRDefault="008106E8" w:rsidP="006433B7">
            <w:pPr>
              <w:pStyle w:val="TableText"/>
            </w:pPr>
          </w:p>
        </w:tc>
        <w:tc>
          <w:tcPr>
            <w:tcW w:w="7143" w:type="dxa"/>
            <w:gridSpan w:val="6"/>
          </w:tcPr>
          <w:p w14:paraId="00DF728D" w14:textId="77777777" w:rsidR="008106E8" w:rsidRDefault="008106E8" w:rsidP="006433B7">
            <w:pPr>
              <w:pStyle w:val="TableBlock"/>
              <w:rPr>
                <w:rtl/>
              </w:rPr>
            </w:pPr>
            <w:r>
              <w:rPr>
                <w:rFonts w:hint="cs"/>
                <w:rtl/>
              </w:rPr>
              <w:t xml:space="preserve">5. </w:t>
            </w:r>
            <w:r>
              <w:rPr>
                <w:rtl/>
              </w:rPr>
              <w:tab/>
            </w:r>
            <w:r>
              <w:rPr>
                <w:rFonts w:hint="cs"/>
                <w:rtl/>
              </w:rPr>
              <w:t>קבלת ביגוד מחוץ למתקן הכליאה;</w:t>
            </w:r>
          </w:p>
        </w:tc>
      </w:tr>
      <w:tr w:rsidR="008106E8" w14:paraId="25273BAA" w14:textId="77777777" w:rsidTr="006433B7">
        <w:trPr>
          <w:cantSplit/>
        </w:trPr>
        <w:tc>
          <w:tcPr>
            <w:tcW w:w="1869" w:type="dxa"/>
          </w:tcPr>
          <w:p w14:paraId="327B3412" w14:textId="77777777" w:rsidR="008106E8" w:rsidRDefault="008106E8" w:rsidP="006433B7">
            <w:pPr>
              <w:pStyle w:val="TableSideHeading"/>
            </w:pPr>
          </w:p>
        </w:tc>
        <w:tc>
          <w:tcPr>
            <w:tcW w:w="624" w:type="dxa"/>
          </w:tcPr>
          <w:p w14:paraId="3B895CC9" w14:textId="77777777" w:rsidR="008106E8" w:rsidRDefault="008106E8" w:rsidP="006433B7">
            <w:pPr>
              <w:pStyle w:val="TableText"/>
            </w:pPr>
          </w:p>
        </w:tc>
        <w:tc>
          <w:tcPr>
            <w:tcW w:w="7143" w:type="dxa"/>
            <w:gridSpan w:val="6"/>
          </w:tcPr>
          <w:p w14:paraId="1FB95CBB" w14:textId="77777777" w:rsidR="008106E8" w:rsidRDefault="008106E8" w:rsidP="006433B7">
            <w:pPr>
              <w:pStyle w:val="TableBlock"/>
              <w:rPr>
                <w:rtl/>
              </w:rPr>
            </w:pPr>
            <w:r>
              <w:rPr>
                <w:rFonts w:hint="cs"/>
                <w:rtl/>
              </w:rPr>
              <w:t xml:space="preserve">6. </w:t>
            </w:r>
            <w:r>
              <w:rPr>
                <w:rtl/>
              </w:rPr>
              <w:tab/>
            </w:r>
            <w:r>
              <w:rPr>
                <w:rFonts w:hint="cs"/>
                <w:rtl/>
              </w:rPr>
              <w:t>מימון כספי לחשבון בנק או בנק הדואר;</w:t>
            </w:r>
          </w:p>
        </w:tc>
      </w:tr>
      <w:tr w:rsidR="008106E8" w14:paraId="1F96B4C1" w14:textId="77777777" w:rsidTr="006433B7">
        <w:trPr>
          <w:cantSplit/>
        </w:trPr>
        <w:tc>
          <w:tcPr>
            <w:tcW w:w="1869" w:type="dxa"/>
          </w:tcPr>
          <w:p w14:paraId="6D28B867" w14:textId="77777777" w:rsidR="008106E8" w:rsidRDefault="008106E8" w:rsidP="006433B7">
            <w:pPr>
              <w:pStyle w:val="TableSideHeading"/>
            </w:pPr>
          </w:p>
        </w:tc>
        <w:tc>
          <w:tcPr>
            <w:tcW w:w="624" w:type="dxa"/>
          </w:tcPr>
          <w:p w14:paraId="4E374AD7" w14:textId="77777777" w:rsidR="008106E8" w:rsidRDefault="008106E8" w:rsidP="006433B7">
            <w:pPr>
              <w:pStyle w:val="TableText"/>
            </w:pPr>
          </w:p>
        </w:tc>
        <w:tc>
          <w:tcPr>
            <w:tcW w:w="7143" w:type="dxa"/>
            <w:gridSpan w:val="6"/>
          </w:tcPr>
          <w:p w14:paraId="3A3F0B06" w14:textId="77777777" w:rsidR="008106E8" w:rsidRDefault="008106E8" w:rsidP="006433B7">
            <w:pPr>
              <w:pStyle w:val="TableBlock"/>
              <w:rPr>
                <w:rtl/>
              </w:rPr>
            </w:pPr>
            <w:r>
              <w:rPr>
                <w:rFonts w:hint="cs"/>
                <w:rtl/>
              </w:rPr>
              <w:t>7.</w:t>
            </w:r>
            <w:r>
              <w:rPr>
                <w:rtl/>
              </w:rPr>
              <w:tab/>
            </w:r>
            <w:r>
              <w:rPr>
                <w:rFonts w:hint="cs"/>
                <w:rtl/>
              </w:rPr>
              <w:t>חופשות;</w:t>
            </w:r>
          </w:p>
        </w:tc>
      </w:tr>
      <w:tr w:rsidR="008106E8" w14:paraId="604E033A" w14:textId="77777777" w:rsidTr="006433B7">
        <w:trPr>
          <w:cantSplit/>
        </w:trPr>
        <w:tc>
          <w:tcPr>
            <w:tcW w:w="1869" w:type="dxa"/>
          </w:tcPr>
          <w:p w14:paraId="73A12634" w14:textId="77777777" w:rsidR="008106E8" w:rsidRDefault="008106E8" w:rsidP="006433B7">
            <w:pPr>
              <w:pStyle w:val="TableSideHeading"/>
            </w:pPr>
          </w:p>
        </w:tc>
        <w:tc>
          <w:tcPr>
            <w:tcW w:w="624" w:type="dxa"/>
          </w:tcPr>
          <w:p w14:paraId="08438DC8" w14:textId="77777777" w:rsidR="008106E8" w:rsidRDefault="008106E8" w:rsidP="006433B7">
            <w:pPr>
              <w:pStyle w:val="TableText"/>
            </w:pPr>
          </w:p>
        </w:tc>
        <w:tc>
          <w:tcPr>
            <w:tcW w:w="7143" w:type="dxa"/>
            <w:gridSpan w:val="6"/>
          </w:tcPr>
          <w:p w14:paraId="22A2F2EC" w14:textId="77777777" w:rsidR="008106E8" w:rsidRDefault="008106E8" w:rsidP="006433B7">
            <w:pPr>
              <w:pStyle w:val="TableBlock"/>
              <w:rPr>
                <w:rtl/>
              </w:rPr>
            </w:pPr>
            <w:r>
              <w:rPr>
                <w:rFonts w:hint="cs"/>
                <w:rtl/>
              </w:rPr>
              <w:t>8.</w:t>
            </w:r>
            <w:r>
              <w:rPr>
                <w:rtl/>
              </w:rPr>
              <w:tab/>
            </w:r>
            <w:r>
              <w:rPr>
                <w:rFonts w:hint="cs"/>
                <w:rtl/>
              </w:rPr>
              <w:t>התייחדות;</w:t>
            </w:r>
          </w:p>
        </w:tc>
      </w:tr>
      <w:tr w:rsidR="008106E8" w14:paraId="770B2443" w14:textId="77777777" w:rsidTr="006433B7">
        <w:trPr>
          <w:cantSplit/>
        </w:trPr>
        <w:tc>
          <w:tcPr>
            <w:tcW w:w="1869" w:type="dxa"/>
          </w:tcPr>
          <w:p w14:paraId="2BDEAA74" w14:textId="77777777" w:rsidR="008106E8" w:rsidRDefault="008106E8" w:rsidP="006433B7">
            <w:pPr>
              <w:pStyle w:val="TableSideHeading"/>
            </w:pPr>
          </w:p>
        </w:tc>
        <w:tc>
          <w:tcPr>
            <w:tcW w:w="624" w:type="dxa"/>
          </w:tcPr>
          <w:p w14:paraId="183DEA93" w14:textId="77777777" w:rsidR="008106E8" w:rsidRDefault="008106E8" w:rsidP="006433B7">
            <w:pPr>
              <w:pStyle w:val="TableText"/>
            </w:pPr>
          </w:p>
        </w:tc>
        <w:tc>
          <w:tcPr>
            <w:tcW w:w="7143" w:type="dxa"/>
            <w:gridSpan w:val="6"/>
          </w:tcPr>
          <w:p w14:paraId="1A5CD95A" w14:textId="77777777" w:rsidR="008106E8" w:rsidRDefault="008106E8" w:rsidP="006433B7">
            <w:pPr>
              <w:pStyle w:val="TableBlock"/>
              <w:rPr>
                <w:rtl/>
              </w:rPr>
            </w:pPr>
            <w:r>
              <w:rPr>
                <w:rFonts w:hint="cs"/>
                <w:rtl/>
              </w:rPr>
              <w:t>9.</w:t>
            </w:r>
            <w:r>
              <w:rPr>
                <w:rtl/>
              </w:rPr>
              <w:tab/>
            </w:r>
            <w:r>
              <w:rPr>
                <w:rFonts w:hint="cs"/>
                <w:rtl/>
              </w:rPr>
              <w:t>קשר טלפוני;</w:t>
            </w:r>
          </w:p>
        </w:tc>
      </w:tr>
      <w:tr w:rsidR="008106E8" w14:paraId="47EBD32F" w14:textId="77777777" w:rsidTr="006433B7">
        <w:trPr>
          <w:cantSplit/>
        </w:trPr>
        <w:tc>
          <w:tcPr>
            <w:tcW w:w="1869" w:type="dxa"/>
          </w:tcPr>
          <w:p w14:paraId="017B24FD" w14:textId="77777777" w:rsidR="008106E8" w:rsidRDefault="008106E8" w:rsidP="006433B7">
            <w:pPr>
              <w:pStyle w:val="TableSideHeading"/>
            </w:pPr>
          </w:p>
        </w:tc>
        <w:tc>
          <w:tcPr>
            <w:tcW w:w="624" w:type="dxa"/>
          </w:tcPr>
          <w:p w14:paraId="6C46C11E" w14:textId="77777777" w:rsidR="008106E8" w:rsidRDefault="008106E8" w:rsidP="006433B7">
            <w:pPr>
              <w:pStyle w:val="TableText"/>
            </w:pPr>
          </w:p>
        </w:tc>
        <w:tc>
          <w:tcPr>
            <w:tcW w:w="7143" w:type="dxa"/>
            <w:gridSpan w:val="6"/>
          </w:tcPr>
          <w:p w14:paraId="716B997A" w14:textId="77777777" w:rsidR="008106E8" w:rsidRDefault="008106E8" w:rsidP="006433B7">
            <w:pPr>
              <w:pStyle w:val="TableBlock"/>
              <w:rPr>
                <w:rtl/>
              </w:rPr>
            </w:pPr>
            <w:r>
              <w:rPr>
                <w:rFonts w:hint="cs"/>
                <w:rtl/>
              </w:rPr>
              <w:t>10.</w:t>
            </w:r>
            <w:r>
              <w:rPr>
                <w:rtl/>
              </w:rPr>
              <w:tab/>
            </w:r>
            <w:r>
              <w:rPr>
                <w:rFonts w:hint="cs"/>
                <w:rtl/>
              </w:rPr>
              <w:t>רכישת מוצרים במרכז מכר, לרבות פרטי מזון;</w:t>
            </w:r>
          </w:p>
        </w:tc>
      </w:tr>
      <w:tr w:rsidR="008106E8" w14:paraId="325D4A61" w14:textId="77777777" w:rsidTr="006433B7">
        <w:trPr>
          <w:cantSplit/>
        </w:trPr>
        <w:tc>
          <w:tcPr>
            <w:tcW w:w="1869" w:type="dxa"/>
          </w:tcPr>
          <w:p w14:paraId="3D118146" w14:textId="77777777" w:rsidR="008106E8" w:rsidRDefault="008106E8" w:rsidP="006433B7">
            <w:pPr>
              <w:pStyle w:val="TableSideHeading"/>
            </w:pPr>
          </w:p>
        </w:tc>
        <w:tc>
          <w:tcPr>
            <w:tcW w:w="624" w:type="dxa"/>
          </w:tcPr>
          <w:p w14:paraId="6399340B" w14:textId="77777777" w:rsidR="008106E8" w:rsidRDefault="008106E8" w:rsidP="006433B7">
            <w:pPr>
              <w:pStyle w:val="TableText"/>
            </w:pPr>
          </w:p>
        </w:tc>
        <w:tc>
          <w:tcPr>
            <w:tcW w:w="7143" w:type="dxa"/>
            <w:gridSpan w:val="6"/>
          </w:tcPr>
          <w:p w14:paraId="076E6D21" w14:textId="77777777" w:rsidR="008106E8" w:rsidRDefault="008106E8" w:rsidP="006433B7">
            <w:pPr>
              <w:pStyle w:val="TableBlock"/>
              <w:rPr>
                <w:rtl/>
              </w:rPr>
            </w:pPr>
            <w:r>
              <w:rPr>
                <w:rFonts w:hint="cs"/>
                <w:rtl/>
              </w:rPr>
              <w:t>11.</w:t>
            </w:r>
            <w:r>
              <w:rPr>
                <w:rtl/>
              </w:rPr>
              <w:tab/>
            </w:r>
            <w:r>
              <w:rPr>
                <w:rFonts w:hint="cs"/>
                <w:rtl/>
              </w:rPr>
              <w:t>פעולות חינוך, לרבות קבלת ספרים ועיתונים, השתתפות בבחינות בגרות ולימודים באוניברסיטה."</w:t>
            </w:r>
          </w:p>
        </w:tc>
      </w:tr>
    </w:tbl>
    <w:p w14:paraId="23AD37ED" w14:textId="77777777" w:rsidR="008106E8" w:rsidRDefault="008106E8" w:rsidP="008106E8">
      <w:pPr>
        <w:pStyle w:val="HeadDivreiHesber"/>
        <w:rPr>
          <w:rtl/>
        </w:rPr>
      </w:pPr>
      <w:r w:rsidRPr="0027450A">
        <w:rPr>
          <w:rFonts w:hint="cs"/>
          <w:rtl/>
        </w:rPr>
        <w:t>דברי הסבר</w:t>
      </w:r>
    </w:p>
    <w:p w14:paraId="47473C2A" w14:textId="77777777" w:rsidR="008106E8" w:rsidRPr="00E26FCE" w:rsidRDefault="008106E8" w:rsidP="00EE099C">
      <w:pPr>
        <w:pStyle w:val="Hesber"/>
        <w:rPr>
          <w:rtl/>
        </w:rPr>
      </w:pPr>
      <w:r w:rsidRPr="00E26FCE">
        <w:rPr>
          <w:rFonts w:hint="eastAsia"/>
          <w:rtl/>
        </w:rPr>
        <w:t>אסירים</w:t>
      </w:r>
      <w:r w:rsidRPr="00E26FCE">
        <w:rPr>
          <w:rtl/>
        </w:rPr>
        <w:t xml:space="preserve"> </w:t>
      </w:r>
      <w:r w:rsidRPr="00E26FCE">
        <w:rPr>
          <w:rFonts w:hint="eastAsia"/>
          <w:rtl/>
        </w:rPr>
        <w:t>ביטחוניים</w:t>
      </w:r>
      <w:r w:rsidRPr="00E26FCE">
        <w:rPr>
          <w:rtl/>
        </w:rPr>
        <w:t xml:space="preserve"> הכלואים במתקני כליאה ישראליים נהנים מזכויות יתר רבות לעומת אסירים ממדינות רבות בעולם. בדנג"ץ 204/13, </w:t>
      </w:r>
      <w:r w:rsidRPr="00BC2D7C">
        <w:rPr>
          <w:rFonts w:hint="eastAsia"/>
          <w:b/>
          <w:bCs/>
          <w:rtl/>
        </w:rPr>
        <w:t>סעיד</w:t>
      </w:r>
      <w:r w:rsidRPr="00BC2D7C">
        <w:rPr>
          <w:b/>
          <w:bCs/>
          <w:rtl/>
        </w:rPr>
        <w:t xml:space="preserve"> </w:t>
      </w:r>
      <w:r w:rsidRPr="00BC2D7C">
        <w:rPr>
          <w:rFonts w:hint="eastAsia"/>
          <w:b/>
          <w:bCs/>
          <w:rtl/>
        </w:rPr>
        <w:t>צלאח</w:t>
      </w:r>
      <w:r w:rsidRPr="00BC2D7C">
        <w:rPr>
          <w:b/>
          <w:bCs/>
          <w:rtl/>
        </w:rPr>
        <w:t xml:space="preserve"> </w:t>
      </w:r>
      <w:r w:rsidRPr="00BC2D7C">
        <w:rPr>
          <w:rFonts w:hint="eastAsia"/>
          <w:b/>
          <w:bCs/>
          <w:rtl/>
        </w:rPr>
        <w:t>נ</w:t>
      </w:r>
      <w:r w:rsidRPr="00BC2D7C">
        <w:rPr>
          <w:b/>
          <w:bCs/>
          <w:rtl/>
        </w:rPr>
        <w:t xml:space="preserve">' </w:t>
      </w:r>
      <w:r w:rsidRPr="00BC2D7C">
        <w:rPr>
          <w:rFonts w:hint="eastAsia"/>
          <w:b/>
          <w:bCs/>
          <w:rtl/>
        </w:rPr>
        <w:t>שירות</w:t>
      </w:r>
      <w:r w:rsidRPr="00BC2D7C">
        <w:rPr>
          <w:b/>
          <w:bCs/>
          <w:rtl/>
        </w:rPr>
        <w:t xml:space="preserve"> </w:t>
      </w:r>
      <w:r w:rsidRPr="00BC2D7C">
        <w:rPr>
          <w:rFonts w:hint="eastAsia"/>
          <w:b/>
          <w:bCs/>
          <w:rtl/>
        </w:rPr>
        <w:t>בתי</w:t>
      </w:r>
      <w:r w:rsidRPr="00BC2D7C">
        <w:rPr>
          <w:b/>
          <w:bCs/>
          <w:rtl/>
        </w:rPr>
        <w:t xml:space="preserve"> </w:t>
      </w:r>
      <w:r w:rsidRPr="00BC2D7C">
        <w:rPr>
          <w:rFonts w:hint="eastAsia"/>
          <w:b/>
          <w:bCs/>
          <w:rtl/>
        </w:rPr>
        <w:t>הסוהר</w:t>
      </w:r>
      <w:r w:rsidRPr="00E26FCE">
        <w:rPr>
          <w:rtl/>
        </w:rPr>
        <w:t xml:space="preserve">, ציין בית המשפט העליון כי צוות מקצועי שהוקם בשנת 2009  לבחינת תנאי הכליאה של האסירים הביטחוניים מול הדין הישראלי והדין הבינלאומי קבע כי לאסירים הביטחוניים ניתנות זכויות יתר שאין להן אח ורע בעולם, ושאינן מתחייבות בדין. </w:t>
      </w:r>
    </w:p>
    <w:p w14:paraId="12DBF286" w14:textId="77777777" w:rsidR="008106E8" w:rsidRPr="00E26FCE" w:rsidRDefault="008106E8" w:rsidP="008106E8">
      <w:pPr>
        <w:pStyle w:val="Hesber"/>
        <w:rPr>
          <w:rtl/>
        </w:rPr>
      </w:pPr>
      <w:r w:rsidRPr="00E26FCE">
        <w:rPr>
          <w:rFonts w:hint="eastAsia"/>
          <w:rtl/>
        </w:rPr>
        <w:t>משפחות</w:t>
      </w:r>
      <w:r w:rsidRPr="00E26FCE">
        <w:rPr>
          <w:rtl/>
        </w:rPr>
        <w:t xml:space="preserve"> שכולות שקרוביהן נהרגו בפיגוע חבלני חוות קושי יומי בהתמודדות עם השכול והחוסר בבן המשפחה שנפל חלל, מולם עומדים האסירים הביטחוניים המפתחים חיי חברה וזוכים לראות את משפחותיהם לעיתים קרובות. </w:t>
      </w:r>
    </w:p>
    <w:p w14:paraId="1AF3BB4D" w14:textId="77777777" w:rsidR="008106E8" w:rsidRPr="00E26FCE" w:rsidRDefault="008106E8" w:rsidP="008106E8">
      <w:pPr>
        <w:pStyle w:val="Hesber"/>
        <w:rPr>
          <w:rtl/>
        </w:rPr>
      </w:pPr>
      <w:r w:rsidRPr="00E26FCE">
        <w:rPr>
          <w:rFonts w:hint="eastAsia"/>
          <w:rtl/>
        </w:rPr>
        <w:t>הצעת</w:t>
      </w:r>
      <w:r w:rsidRPr="00E26FCE">
        <w:rPr>
          <w:rtl/>
        </w:rPr>
        <w:t xml:space="preserve"> </w:t>
      </w:r>
      <w:r w:rsidRPr="00E26FCE">
        <w:rPr>
          <w:rFonts w:hint="eastAsia"/>
          <w:rtl/>
        </w:rPr>
        <w:t>חוק</w:t>
      </w:r>
      <w:r w:rsidRPr="00E26FCE">
        <w:rPr>
          <w:rtl/>
        </w:rPr>
        <w:t xml:space="preserve"> </w:t>
      </w:r>
      <w:r w:rsidRPr="00E26FCE">
        <w:rPr>
          <w:rFonts w:hint="eastAsia"/>
          <w:rtl/>
        </w:rPr>
        <w:t>זו</w:t>
      </w:r>
      <w:r w:rsidRPr="00E26FCE">
        <w:rPr>
          <w:rtl/>
        </w:rPr>
        <w:t xml:space="preserve"> </w:t>
      </w:r>
      <w:r w:rsidRPr="00E26FCE">
        <w:rPr>
          <w:rFonts w:hint="eastAsia"/>
          <w:rtl/>
        </w:rPr>
        <w:t>קובעת</w:t>
      </w:r>
      <w:r w:rsidRPr="00E26FCE">
        <w:rPr>
          <w:rtl/>
        </w:rPr>
        <w:t xml:space="preserve"> </w:t>
      </w:r>
      <w:r w:rsidRPr="00E26FCE">
        <w:rPr>
          <w:rFonts w:hint="eastAsia"/>
          <w:rtl/>
        </w:rPr>
        <w:t>כי</w:t>
      </w:r>
      <w:r w:rsidRPr="00E26FCE">
        <w:rPr>
          <w:rtl/>
        </w:rPr>
        <w:t xml:space="preserve"> </w:t>
      </w:r>
      <w:r w:rsidRPr="00E26FCE">
        <w:rPr>
          <w:rFonts w:hint="eastAsia"/>
          <w:rtl/>
        </w:rPr>
        <w:t>טובות</w:t>
      </w:r>
      <w:r w:rsidRPr="00E26FCE">
        <w:rPr>
          <w:rtl/>
        </w:rPr>
        <w:t xml:space="preserve"> </w:t>
      </w:r>
      <w:r w:rsidRPr="00E26FCE">
        <w:rPr>
          <w:rFonts w:hint="eastAsia"/>
          <w:rtl/>
        </w:rPr>
        <w:t>הנאה</w:t>
      </w:r>
      <w:r w:rsidRPr="00E26FCE">
        <w:rPr>
          <w:rtl/>
        </w:rPr>
        <w:t xml:space="preserve"> </w:t>
      </w:r>
      <w:r w:rsidRPr="00E26FCE">
        <w:rPr>
          <w:rFonts w:hint="eastAsia"/>
          <w:rtl/>
        </w:rPr>
        <w:t>וזכויות</w:t>
      </w:r>
      <w:r w:rsidRPr="00E26FCE">
        <w:rPr>
          <w:rtl/>
        </w:rPr>
        <w:t xml:space="preserve"> </w:t>
      </w:r>
      <w:r w:rsidRPr="00E26FCE">
        <w:rPr>
          <w:rFonts w:hint="eastAsia"/>
          <w:rtl/>
        </w:rPr>
        <w:t>יתר</w:t>
      </w:r>
      <w:r w:rsidRPr="00E26FCE">
        <w:rPr>
          <w:rtl/>
        </w:rPr>
        <w:t xml:space="preserve"> </w:t>
      </w:r>
      <w:r w:rsidRPr="00E26FCE">
        <w:rPr>
          <w:rFonts w:hint="eastAsia"/>
          <w:rtl/>
        </w:rPr>
        <w:t>להן</w:t>
      </w:r>
      <w:r w:rsidRPr="00E26FCE">
        <w:rPr>
          <w:rtl/>
        </w:rPr>
        <w:t xml:space="preserve"> </w:t>
      </w:r>
      <w:r w:rsidRPr="00E26FCE">
        <w:rPr>
          <w:rFonts w:hint="eastAsia"/>
          <w:rtl/>
        </w:rPr>
        <w:t>זוכים</w:t>
      </w:r>
      <w:r w:rsidRPr="00E26FCE">
        <w:rPr>
          <w:rtl/>
        </w:rPr>
        <w:t xml:space="preserve"> </w:t>
      </w:r>
      <w:r w:rsidRPr="00E26FCE">
        <w:rPr>
          <w:rFonts w:hint="eastAsia"/>
          <w:rtl/>
        </w:rPr>
        <w:t>אסירים</w:t>
      </w:r>
      <w:r w:rsidRPr="00E26FCE">
        <w:rPr>
          <w:rtl/>
        </w:rPr>
        <w:t xml:space="preserve"> </w:t>
      </w:r>
      <w:r w:rsidRPr="00E26FCE">
        <w:rPr>
          <w:rFonts w:hint="eastAsia"/>
          <w:rtl/>
        </w:rPr>
        <w:t>שהואשמו</w:t>
      </w:r>
      <w:r w:rsidRPr="00E26FCE">
        <w:rPr>
          <w:rtl/>
        </w:rPr>
        <w:t xml:space="preserve"> </w:t>
      </w:r>
      <w:r w:rsidRPr="00E26FCE">
        <w:rPr>
          <w:rFonts w:hint="eastAsia"/>
          <w:rtl/>
        </w:rPr>
        <w:t>בפעילות</w:t>
      </w:r>
      <w:r w:rsidRPr="00E26FCE">
        <w:rPr>
          <w:rtl/>
        </w:rPr>
        <w:t xml:space="preserve"> </w:t>
      </w:r>
      <w:r w:rsidRPr="00E26FCE">
        <w:rPr>
          <w:rFonts w:hint="eastAsia"/>
          <w:rtl/>
        </w:rPr>
        <w:t>חבלנית</w:t>
      </w:r>
      <w:r w:rsidRPr="00E26FCE">
        <w:rPr>
          <w:rtl/>
        </w:rPr>
        <w:t xml:space="preserve"> </w:t>
      </w:r>
      <w:r w:rsidRPr="00E26FCE">
        <w:rPr>
          <w:rFonts w:hint="eastAsia"/>
          <w:rtl/>
        </w:rPr>
        <w:t>נגד</w:t>
      </w:r>
      <w:r w:rsidRPr="00E26FCE">
        <w:rPr>
          <w:rtl/>
        </w:rPr>
        <w:t xml:space="preserve"> </w:t>
      </w:r>
      <w:r w:rsidRPr="00E26FCE">
        <w:rPr>
          <w:rFonts w:hint="eastAsia"/>
          <w:rtl/>
        </w:rPr>
        <w:t>מדינת</w:t>
      </w:r>
      <w:r w:rsidRPr="00E26FCE">
        <w:rPr>
          <w:rtl/>
        </w:rPr>
        <w:t xml:space="preserve"> </w:t>
      </w:r>
      <w:r w:rsidRPr="00E26FCE">
        <w:rPr>
          <w:rFonts w:hint="eastAsia"/>
          <w:rtl/>
        </w:rPr>
        <w:t>ישראל</w:t>
      </w:r>
      <w:r w:rsidRPr="00E26FCE">
        <w:rPr>
          <w:rtl/>
        </w:rPr>
        <w:t xml:space="preserve"> </w:t>
      </w:r>
      <w:r w:rsidRPr="00E26FCE">
        <w:rPr>
          <w:rFonts w:hint="eastAsia"/>
          <w:rtl/>
        </w:rPr>
        <w:t>ישללו</w:t>
      </w:r>
      <w:r w:rsidRPr="00E26FCE">
        <w:rPr>
          <w:rtl/>
        </w:rPr>
        <w:t xml:space="preserve">. </w:t>
      </w:r>
      <w:r w:rsidRPr="00E26FCE">
        <w:rPr>
          <w:rFonts w:hint="eastAsia"/>
          <w:rtl/>
        </w:rPr>
        <w:t>אך</w:t>
      </w:r>
      <w:r w:rsidRPr="00E26FCE">
        <w:rPr>
          <w:rtl/>
        </w:rPr>
        <w:t xml:space="preserve"> </w:t>
      </w:r>
      <w:r w:rsidRPr="00E26FCE">
        <w:rPr>
          <w:rFonts w:hint="eastAsia"/>
          <w:rtl/>
        </w:rPr>
        <w:t>עם</w:t>
      </w:r>
      <w:r w:rsidRPr="00E26FCE">
        <w:rPr>
          <w:rtl/>
        </w:rPr>
        <w:t xml:space="preserve"> </w:t>
      </w:r>
      <w:r w:rsidRPr="00E26FCE">
        <w:rPr>
          <w:rFonts w:hint="eastAsia"/>
          <w:rtl/>
        </w:rPr>
        <w:t>זאת</w:t>
      </w:r>
      <w:r w:rsidRPr="00E26FCE">
        <w:rPr>
          <w:rtl/>
        </w:rPr>
        <w:t xml:space="preserve">, </w:t>
      </w:r>
      <w:r w:rsidRPr="00E26FCE">
        <w:rPr>
          <w:rFonts w:hint="eastAsia"/>
          <w:rtl/>
        </w:rPr>
        <w:t>אין</w:t>
      </w:r>
      <w:r w:rsidRPr="00E26FCE">
        <w:rPr>
          <w:rtl/>
        </w:rPr>
        <w:t xml:space="preserve"> </w:t>
      </w:r>
      <w:r w:rsidRPr="00E26FCE">
        <w:rPr>
          <w:rFonts w:hint="eastAsia"/>
          <w:rtl/>
        </w:rPr>
        <w:t>בהצעת</w:t>
      </w:r>
      <w:r w:rsidRPr="00E26FCE">
        <w:rPr>
          <w:rtl/>
        </w:rPr>
        <w:t xml:space="preserve"> </w:t>
      </w:r>
      <w:r w:rsidRPr="00E26FCE">
        <w:rPr>
          <w:rFonts w:hint="eastAsia"/>
          <w:rtl/>
        </w:rPr>
        <w:t>חוק</w:t>
      </w:r>
      <w:r w:rsidRPr="00E26FCE">
        <w:rPr>
          <w:rtl/>
        </w:rPr>
        <w:t xml:space="preserve"> </w:t>
      </w:r>
      <w:r w:rsidRPr="00E26FCE">
        <w:rPr>
          <w:rFonts w:hint="eastAsia"/>
          <w:rtl/>
        </w:rPr>
        <w:t>זו</w:t>
      </w:r>
      <w:r w:rsidRPr="00E26FCE">
        <w:rPr>
          <w:rtl/>
        </w:rPr>
        <w:t xml:space="preserve"> </w:t>
      </w:r>
      <w:r w:rsidRPr="00E26FCE">
        <w:rPr>
          <w:rFonts w:hint="eastAsia"/>
          <w:rtl/>
        </w:rPr>
        <w:t>לפגוע</w:t>
      </w:r>
      <w:r w:rsidRPr="00E26FCE">
        <w:rPr>
          <w:rtl/>
        </w:rPr>
        <w:t xml:space="preserve"> </w:t>
      </w:r>
      <w:r w:rsidRPr="00E26FCE">
        <w:rPr>
          <w:rFonts w:hint="eastAsia"/>
          <w:rtl/>
        </w:rPr>
        <w:t>בזכויות</w:t>
      </w:r>
      <w:r w:rsidRPr="00E26FCE">
        <w:rPr>
          <w:rtl/>
        </w:rPr>
        <w:t xml:space="preserve"> </w:t>
      </w:r>
      <w:r w:rsidRPr="00E26FCE">
        <w:rPr>
          <w:rFonts w:hint="eastAsia"/>
          <w:rtl/>
        </w:rPr>
        <w:t>הבסיסיות</w:t>
      </w:r>
      <w:r w:rsidRPr="00E26FCE">
        <w:rPr>
          <w:rtl/>
        </w:rPr>
        <w:t xml:space="preserve"> </w:t>
      </w:r>
      <w:r w:rsidRPr="00E26FCE">
        <w:rPr>
          <w:rFonts w:hint="eastAsia"/>
          <w:rtl/>
        </w:rPr>
        <w:t>עליהם</w:t>
      </w:r>
      <w:r w:rsidRPr="00E26FCE">
        <w:rPr>
          <w:rtl/>
        </w:rPr>
        <w:t xml:space="preserve"> </w:t>
      </w:r>
      <w:r w:rsidRPr="00E26FCE">
        <w:rPr>
          <w:rFonts w:hint="eastAsia"/>
          <w:rtl/>
        </w:rPr>
        <w:t>חתומה</w:t>
      </w:r>
      <w:r w:rsidRPr="00E26FCE">
        <w:rPr>
          <w:rtl/>
        </w:rPr>
        <w:t xml:space="preserve"> </w:t>
      </w:r>
      <w:r w:rsidRPr="00E26FCE">
        <w:rPr>
          <w:rFonts w:hint="eastAsia"/>
          <w:rtl/>
        </w:rPr>
        <w:t>מדינת</w:t>
      </w:r>
      <w:r w:rsidRPr="00E26FCE">
        <w:rPr>
          <w:rtl/>
        </w:rPr>
        <w:t xml:space="preserve"> </w:t>
      </w:r>
      <w:r w:rsidRPr="00E26FCE">
        <w:rPr>
          <w:rFonts w:hint="eastAsia"/>
          <w:rtl/>
        </w:rPr>
        <w:t>ישראל</w:t>
      </w:r>
      <w:r w:rsidRPr="00E26FCE">
        <w:rPr>
          <w:rtl/>
        </w:rPr>
        <w:t xml:space="preserve"> </w:t>
      </w:r>
      <w:r w:rsidRPr="00E26FCE">
        <w:rPr>
          <w:rFonts w:hint="eastAsia"/>
          <w:rtl/>
        </w:rPr>
        <w:t>באמנות</w:t>
      </w:r>
      <w:r w:rsidRPr="00E26FCE">
        <w:rPr>
          <w:rtl/>
        </w:rPr>
        <w:t xml:space="preserve"> </w:t>
      </w:r>
      <w:r w:rsidRPr="00E26FCE">
        <w:rPr>
          <w:rFonts w:hint="eastAsia"/>
          <w:rtl/>
        </w:rPr>
        <w:t>בינלאומיות</w:t>
      </w:r>
      <w:r w:rsidRPr="00E26FCE">
        <w:rPr>
          <w:rtl/>
        </w:rPr>
        <w:t xml:space="preserve">, </w:t>
      </w:r>
      <w:r w:rsidRPr="00E26FCE">
        <w:rPr>
          <w:rFonts w:hint="eastAsia"/>
          <w:rtl/>
        </w:rPr>
        <w:t>המתייחסות</w:t>
      </w:r>
      <w:r w:rsidRPr="00E26FCE">
        <w:rPr>
          <w:rtl/>
        </w:rPr>
        <w:t xml:space="preserve"> </w:t>
      </w:r>
      <w:r w:rsidRPr="00E26FCE">
        <w:rPr>
          <w:rFonts w:hint="eastAsia"/>
          <w:rtl/>
        </w:rPr>
        <w:t>לכליאת</w:t>
      </w:r>
      <w:r w:rsidRPr="00E26FCE">
        <w:rPr>
          <w:rtl/>
        </w:rPr>
        <w:t xml:space="preserve"> </w:t>
      </w:r>
      <w:r w:rsidRPr="00E26FCE">
        <w:rPr>
          <w:rFonts w:hint="eastAsia"/>
          <w:rtl/>
        </w:rPr>
        <w:t>אסירים</w:t>
      </w:r>
      <w:r w:rsidRPr="00E26FCE">
        <w:rPr>
          <w:rtl/>
        </w:rPr>
        <w:t>.</w:t>
      </w:r>
    </w:p>
    <w:p w14:paraId="13652A6E" w14:textId="77777777" w:rsidR="008106E8" w:rsidRPr="00E26FCE" w:rsidRDefault="008106E8" w:rsidP="008106E8">
      <w:pPr>
        <w:pStyle w:val="Hesber"/>
        <w:rPr>
          <w:rtl/>
        </w:rPr>
      </w:pPr>
      <w:r w:rsidRPr="00E26FCE">
        <w:rPr>
          <w:rFonts w:hint="eastAsia"/>
          <w:rtl/>
        </w:rPr>
        <w:t>על</w:t>
      </w:r>
      <w:r w:rsidRPr="00E26FCE">
        <w:rPr>
          <w:rtl/>
        </w:rPr>
        <w:t xml:space="preserve"> </w:t>
      </w:r>
      <w:r w:rsidRPr="00E26FCE">
        <w:rPr>
          <w:rFonts w:hint="eastAsia"/>
          <w:rtl/>
        </w:rPr>
        <w:t>מנת</w:t>
      </w:r>
      <w:r w:rsidRPr="00E26FCE">
        <w:rPr>
          <w:rtl/>
        </w:rPr>
        <w:t xml:space="preserve"> </w:t>
      </w:r>
      <w:r w:rsidRPr="00E26FCE">
        <w:rPr>
          <w:rFonts w:hint="eastAsia"/>
          <w:rtl/>
        </w:rPr>
        <w:t>להימנע</w:t>
      </w:r>
      <w:r w:rsidRPr="00E26FCE">
        <w:rPr>
          <w:rtl/>
        </w:rPr>
        <w:t xml:space="preserve"> </w:t>
      </w:r>
      <w:r w:rsidRPr="00E26FCE">
        <w:rPr>
          <w:rFonts w:hint="eastAsia"/>
          <w:rtl/>
        </w:rPr>
        <w:t>מפגיעה</w:t>
      </w:r>
      <w:r w:rsidRPr="00E26FCE">
        <w:rPr>
          <w:rtl/>
        </w:rPr>
        <w:t xml:space="preserve"> </w:t>
      </w:r>
      <w:r w:rsidRPr="00E26FCE">
        <w:rPr>
          <w:rFonts w:hint="eastAsia"/>
          <w:rtl/>
        </w:rPr>
        <w:t>שאינה</w:t>
      </w:r>
      <w:r w:rsidRPr="00E26FCE">
        <w:rPr>
          <w:rtl/>
        </w:rPr>
        <w:t xml:space="preserve"> </w:t>
      </w:r>
      <w:r w:rsidRPr="00E26FCE">
        <w:rPr>
          <w:rFonts w:hint="eastAsia"/>
          <w:rtl/>
        </w:rPr>
        <w:t>מידתית</w:t>
      </w:r>
      <w:r w:rsidRPr="00E26FCE">
        <w:rPr>
          <w:rtl/>
        </w:rPr>
        <w:t xml:space="preserve"> </w:t>
      </w:r>
      <w:r w:rsidRPr="00E26FCE">
        <w:rPr>
          <w:rFonts w:hint="eastAsia"/>
          <w:rtl/>
        </w:rPr>
        <w:t>בזכויותיהם</w:t>
      </w:r>
      <w:r w:rsidRPr="00E26FCE">
        <w:rPr>
          <w:rtl/>
        </w:rPr>
        <w:t xml:space="preserve"> </w:t>
      </w:r>
      <w:r w:rsidRPr="00E26FCE">
        <w:rPr>
          <w:rFonts w:hint="eastAsia"/>
          <w:rtl/>
        </w:rPr>
        <w:t>של</w:t>
      </w:r>
      <w:r w:rsidRPr="00E26FCE">
        <w:rPr>
          <w:rtl/>
        </w:rPr>
        <w:t xml:space="preserve"> </w:t>
      </w:r>
      <w:r w:rsidRPr="00E26FCE">
        <w:rPr>
          <w:rFonts w:hint="eastAsia"/>
          <w:rtl/>
        </w:rPr>
        <w:t>האסירים</w:t>
      </w:r>
      <w:r w:rsidRPr="00E26FCE">
        <w:rPr>
          <w:rtl/>
        </w:rPr>
        <w:t xml:space="preserve">, </w:t>
      </w:r>
      <w:r w:rsidRPr="00E26FCE">
        <w:rPr>
          <w:rFonts w:hint="eastAsia"/>
          <w:rtl/>
        </w:rPr>
        <w:t>מוצע</w:t>
      </w:r>
      <w:r w:rsidRPr="00E26FCE">
        <w:rPr>
          <w:rtl/>
        </w:rPr>
        <w:t xml:space="preserve">, </w:t>
      </w:r>
      <w:r w:rsidRPr="00E26FCE">
        <w:rPr>
          <w:rFonts w:hint="eastAsia"/>
          <w:rtl/>
        </w:rPr>
        <w:t>כי</w:t>
      </w:r>
      <w:r w:rsidRPr="00E26FCE">
        <w:rPr>
          <w:rtl/>
        </w:rPr>
        <w:t xml:space="preserve"> </w:t>
      </w:r>
      <w:r w:rsidRPr="00E26FCE">
        <w:rPr>
          <w:rFonts w:hint="eastAsia"/>
          <w:rtl/>
        </w:rPr>
        <w:t>השר</w:t>
      </w:r>
      <w:r w:rsidRPr="00E26FCE">
        <w:rPr>
          <w:rtl/>
        </w:rPr>
        <w:t xml:space="preserve"> </w:t>
      </w:r>
      <w:r w:rsidRPr="00E26FCE">
        <w:rPr>
          <w:rFonts w:hint="eastAsia"/>
          <w:rtl/>
        </w:rPr>
        <w:t>לביטחון</w:t>
      </w:r>
      <w:r w:rsidRPr="00E26FCE">
        <w:rPr>
          <w:rtl/>
        </w:rPr>
        <w:t xml:space="preserve"> </w:t>
      </w:r>
      <w:r w:rsidRPr="00E26FCE">
        <w:rPr>
          <w:rFonts w:hint="eastAsia"/>
          <w:rtl/>
        </w:rPr>
        <w:t>הפנים</w:t>
      </w:r>
      <w:r w:rsidRPr="00E26FCE">
        <w:rPr>
          <w:rtl/>
        </w:rPr>
        <w:t xml:space="preserve">, </w:t>
      </w:r>
      <w:r w:rsidRPr="00E26FCE">
        <w:rPr>
          <w:rFonts w:hint="eastAsia"/>
          <w:rtl/>
        </w:rPr>
        <w:t>לאחר</w:t>
      </w:r>
      <w:r w:rsidRPr="00E26FCE">
        <w:rPr>
          <w:rtl/>
        </w:rPr>
        <w:t xml:space="preserve"> </w:t>
      </w:r>
      <w:r w:rsidRPr="00E26FCE">
        <w:rPr>
          <w:rFonts w:hint="eastAsia"/>
          <w:rtl/>
        </w:rPr>
        <w:t>התייעצות</w:t>
      </w:r>
      <w:r w:rsidRPr="00E26FCE">
        <w:rPr>
          <w:rtl/>
        </w:rPr>
        <w:t xml:space="preserve"> </w:t>
      </w:r>
      <w:r w:rsidRPr="00E26FCE">
        <w:rPr>
          <w:rFonts w:hint="eastAsia"/>
          <w:rtl/>
        </w:rPr>
        <w:t>עם</w:t>
      </w:r>
      <w:r w:rsidRPr="00E26FCE">
        <w:rPr>
          <w:rtl/>
        </w:rPr>
        <w:t xml:space="preserve"> </w:t>
      </w:r>
      <w:r w:rsidRPr="00E26FCE">
        <w:rPr>
          <w:rFonts w:hint="eastAsia"/>
          <w:rtl/>
        </w:rPr>
        <w:t>שר</w:t>
      </w:r>
      <w:r w:rsidRPr="00E26FCE">
        <w:rPr>
          <w:rtl/>
        </w:rPr>
        <w:t xml:space="preserve"> </w:t>
      </w:r>
      <w:r w:rsidRPr="00E26FCE">
        <w:rPr>
          <w:rFonts w:hint="eastAsia"/>
          <w:rtl/>
        </w:rPr>
        <w:t>הביטחון</w:t>
      </w:r>
      <w:r w:rsidRPr="00E26FCE">
        <w:rPr>
          <w:rtl/>
        </w:rPr>
        <w:t xml:space="preserve">, </w:t>
      </w:r>
      <w:r w:rsidRPr="00E26FCE">
        <w:rPr>
          <w:rFonts w:hint="eastAsia"/>
          <w:rtl/>
        </w:rPr>
        <w:t>יהיה</w:t>
      </w:r>
      <w:r w:rsidRPr="00E26FCE">
        <w:rPr>
          <w:rtl/>
        </w:rPr>
        <w:t xml:space="preserve"> </w:t>
      </w:r>
      <w:r w:rsidRPr="00E26FCE">
        <w:rPr>
          <w:rFonts w:hint="eastAsia"/>
          <w:rtl/>
        </w:rPr>
        <w:t>רשאי</w:t>
      </w:r>
      <w:r w:rsidRPr="00E26FCE">
        <w:rPr>
          <w:rtl/>
        </w:rPr>
        <w:t xml:space="preserve"> </w:t>
      </w:r>
      <w:r w:rsidRPr="00E26FCE">
        <w:rPr>
          <w:rFonts w:hint="eastAsia"/>
          <w:rtl/>
        </w:rPr>
        <w:t>להתיר</w:t>
      </w:r>
      <w:r w:rsidRPr="00E26FCE">
        <w:rPr>
          <w:rtl/>
        </w:rPr>
        <w:t xml:space="preserve"> </w:t>
      </w:r>
      <w:r w:rsidRPr="00E26FCE">
        <w:rPr>
          <w:rFonts w:hint="eastAsia"/>
          <w:rtl/>
        </w:rPr>
        <w:t>לאסיר</w:t>
      </w:r>
      <w:r w:rsidRPr="00E26FCE">
        <w:rPr>
          <w:rtl/>
        </w:rPr>
        <w:t xml:space="preserve"> </w:t>
      </w:r>
      <w:r w:rsidRPr="00E26FCE">
        <w:rPr>
          <w:rFonts w:hint="eastAsia"/>
          <w:rtl/>
        </w:rPr>
        <w:t>מנימוקים</w:t>
      </w:r>
      <w:r w:rsidRPr="00E26FCE">
        <w:rPr>
          <w:rtl/>
        </w:rPr>
        <w:t xml:space="preserve"> </w:t>
      </w:r>
      <w:r w:rsidRPr="00E26FCE">
        <w:rPr>
          <w:rFonts w:hint="eastAsia"/>
          <w:rtl/>
        </w:rPr>
        <w:t>מיוחדים</w:t>
      </w:r>
      <w:r w:rsidRPr="00E26FCE">
        <w:rPr>
          <w:rtl/>
        </w:rPr>
        <w:t xml:space="preserve"> </w:t>
      </w:r>
      <w:r w:rsidRPr="00E26FCE">
        <w:rPr>
          <w:rFonts w:hint="eastAsia"/>
          <w:rtl/>
        </w:rPr>
        <w:t>ובאופן</w:t>
      </w:r>
      <w:r w:rsidRPr="00E26FCE">
        <w:rPr>
          <w:rtl/>
        </w:rPr>
        <w:t xml:space="preserve"> </w:t>
      </w:r>
      <w:r w:rsidRPr="00E26FCE">
        <w:rPr>
          <w:rFonts w:hint="eastAsia"/>
          <w:rtl/>
        </w:rPr>
        <w:t>חריג</w:t>
      </w:r>
      <w:r w:rsidRPr="00E26FCE">
        <w:rPr>
          <w:rtl/>
        </w:rPr>
        <w:t xml:space="preserve"> </w:t>
      </w:r>
      <w:r w:rsidRPr="00E26FCE">
        <w:rPr>
          <w:rFonts w:hint="eastAsia"/>
          <w:rtl/>
        </w:rPr>
        <w:t>את</w:t>
      </w:r>
      <w:r w:rsidRPr="00E26FCE">
        <w:rPr>
          <w:rtl/>
        </w:rPr>
        <w:t xml:space="preserve"> </w:t>
      </w:r>
      <w:r w:rsidRPr="00E26FCE">
        <w:rPr>
          <w:rFonts w:hint="eastAsia"/>
          <w:rtl/>
        </w:rPr>
        <w:t>הזכויות</w:t>
      </w:r>
      <w:r w:rsidRPr="00E26FCE">
        <w:rPr>
          <w:rtl/>
        </w:rPr>
        <w:t xml:space="preserve"> </w:t>
      </w:r>
      <w:r w:rsidRPr="00E26FCE">
        <w:rPr>
          <w:rFonts w:hint="eastAsia"/>
          <w:rtl/>
        </w:rPr>
        <w:t>האמורות</w:t>
      </w:r>
      <w:r w:rsidRPr="00E26FCE">
        <w:rPr>
          <w:rtl/>
        </w:rPr>
        <w:t xml:space="preserve"> </w:t>
      </w:r>
      <w:r w:rsidRPr="00E26FCE">
        <w:rPr>
          <w:rFonts w:hint="eastAsia"/>
          <w:rtl/>
        </w:rPr>
        <w:t>לעיל</w:t>
      </w:r>
      <w:r w:rsidRPr="00E26FCE">
        <w:rPr>
          <w:rtl/>
        </w:rPr>
        <w:t xml:space="preserve">. </w:t>
      </w:r>
      <w:r w:rsidRPr="00E26FCE">
        <w:rPr>
          <w:rFonts w:hint="eastAsia"/>
          <w:rtl/>
        </w:rPr>
        <w:t>כמו</w:t>
      </w:r>
      <w:r w:rsidRPr="00E26FCE">
        <w:rPr>
          <w:rtl/>
        </w:rPr>
        <w:t xml:space="preserve"> </w:t>
      </w:r>
      <w:r w:rsidRPr="00E26FCE">
        <w:rPr>
          <w:rFonts w:hint="eastAsia"/>
          <w:rtl/>
        </w:rPr>
        <w:t>כן</w:t>
      </w:r>
      <w:r w:rsidRPr="00E26FCE">
        <w:rPr>
          <w:rtl/>
        </w:rPr>
        <w:t xml:space="preserve"> </w:t>
      </w:r>
      <w:r w:rsidRPr="00E26FCE">
        <w:rPr>
          <w:rFonts w:hint="eastAsia"/>
          <w:rtl/>
        </w:rPr>
        <w:t>מוצע</w:t>
      </w:r>
      <w:r w:rsidRPr="00E26FCE">
        <w:rPr>
          <w:rtl/>
        </w:rPr>
        <w:t xml:space="preserve"> </w:t>
      </w:r>
      <w:r w:rsidRPr="00E26FCE">
        <w:rPr>
          <w:rFonts w:hint="eastAsia"/>
          <w:rtl/>
        </w:rPr>
        <w:t>להחריג</w:t>
      </w:r>
      <w:r w:rsidRPr="00E26FCE">
        <w:rPr>
          <w:rtl/>
        </w:rPr>
        <w:t xml:space="preserve"> </w:t>
      </w:r>
      <w:r w:rsidRPr="00E26FCE">
        <w:rPr>
          <w:rFonts w:hint="eastAsia"/>
          <w:rtl/>
        </w:rPr>
        <w:t>מקביעה</w:t>
      </w:r>
      <w:r w:rsidRPr="00E26FCE">
        <w:rPr>
          <w:rtl/>
        </w:rPr>
        <w:t xml:space="preserve"> </w:t>
      </w:r>
      <w:r w:rsidRPr="00E26FCE">
        <w:rPr>
          <w:rFonts w:hint="eastAsia"/>
          <w:rtl/>
        </w:rPr>
        <w:t>זו</w:t>
      </w:r>
      <w:r w:rsidRPr="00E26FCE">
        <w:rPr>
          <w:rtl/>
        </w:rPr>
        <w:t xml:space="preserve"> </w:t>
      </w:r>
      <w:r w:rsidRPr="00E26FCE">
        <w:rPr>
          <w:rFonts w:hint="eastAsia"/>
          <w:rtl/>
        </w:rPr>
        <w:t>ביקורים</w:t>
      </w:r>
      <w:r w:rsidRPr="00E26FCE">
        <w:rPr>
          <w:rtl/>
        </w:rPr>
        <w:t xml:space="preserve"> </w:t>
      </w:r>
      <w:r w:rsidRPr="00E26FCE">
        <w:rPr>
          <w:rFonts w:hint="eastAsia"/>
          <w:rtl/>
        </w:rPr>
        <w:t>של</w:t>
      </w:r>
      <w:r w:rsidRPr="00E26FCE">
        <w:rPr>
          <w:rtl/>
        </w:rPr>
        <w:t xml:space="preserve"> </w:t>
      </w:r>
      <w:r w:rsidRPr="00E26FCE">
        <w:rPr>
          <w:rFonts w:hint="eastAsia"/>
          <w:rtl/>
        </w:rPr>
        <w:t>עורך</w:t>
      </w:r>
      <w:r w:rsidRPr="00E26FCE">
        <w:rPr>
          <w:rtl/>
        </w:rPr>
        <w:t xml:space="preserve"> </w:t>
      </w:r>
      <w:r w:rsidRPr="00E26FCE">
        <w:rPr>
          <w:rFonts w:hint="eastAsia"/>
          <w:rtl/>
        </w:rPr>
        <w:t>דין</w:t>
      </w:r>
      <w:r w:rsidRPr="00E26FCE">
        <w:rPr>
          <w:rtl/>
        </w:rPr>
        <w:t xml:space="preserve"> </w:t>
      </w:r>
      <w:r w:rsidRPr="00E26FCE">
        <w:rPr>
          <w:rFonts w:hint="eastAsia"/>
          <w:rtl/>
        </w:rPr>
        <w:t>וכן</w:t>
      </w:r>
      <w:r w:rsidRPr="00E26FCE">
        <w:rPr>
          <w:rtl/>
        </w:rPr>
        <w:t xml:space="preserve"> </w:t>
      </w:r>
      <w:r w:rsidRPr="00E26FCE">
        <w:rPr>
          <w:rFonts w:hint="eastAsia"/>
          <w:rtl/>
        </w:rPr>
        <w:t>ביקורים</w:t>
      </w:r>
      <w:r w:rsidRPr="00E26FCE">
        <w:rPr>
          <w:rtl/>
        </w:rPr>
        <w:t xml:space="preserve"> </w:t>
      </w:r>
      <w:r w:rsidRPr="00E26FCE">
        <w:rPr>
          <w:rFonts w:hint="eastAsia"/>
          <w:rtl/>
        </w:rPr>
        <w:t>של</w:t>
      </w:r>
      <w:r w:rsidRPr="00E26FCE">
        <w:rPr>
          <w:rtl/>
        </w:rPr>
        <w:t xml:space="preserve"> </w:t>
      </w:r>
      <w:r w:rsidRPr="00E26FCE">
        <w:rPr>
          <w:rFonts w:hint="eastAsia"/>
          <w:rtl/>
        </w:rPr>
        <w:t>ארגון</w:t>
      </w:r>
      <w:r w:rsidRPr="00E26FCE">
        <w:rPr>
          <w:rtl/>
        </w:rPr>
        <w:t xml:space="preserve"> </w:t>
      </w:r>
      <w:r w:rsidRPr="00E26FCE">
        <w:rPr>
          <w:rFonts w:hint="eastAsia"/>
          <w:rtl/>
        </w:rPr>
        <w:t>הצלב</w:t>
      </w:r>
      <w:r w:rsidRPr="00E26FCE">
        <w:rPr>
          <w:rtl/>
        </w:rPr>
        <w:t xml:space="preserve"> </w:t>
      </w:r>
      <w:r w:rsidRPr="00E26FCE">
        <w:rPr>
          <w:rFonts w:hint="eastAsia"/>
          <w:rtl/>
        </w:rPr>
        <w:t>האדום</w:t>
      </w:r>
      <w:r w:rsidRPr="00E26FCE">
        <w:rPr>
          <w:rtl/>
        </w:rPr>
        <w:t xml:space="preserve">. </w:t>
      </w:r>
    </w:p>
    <w:p w14:paraId="2B196CF1" w14:textId="11DA8C09" w:rsidR="008106E8" w:rsidRPr="00E26FCE" w:rsidRDefault="008106E8" w:rsidP="008106E8">
      <w:pPr>
        <w:pStyle w:val="Hesber"/>
        <w:rPr>
          <w:rtl/>
        </w:rPr>
      </w:pPr>
      <w:r w:rsidRPr="00E26FCE">
        <w:rPr>
          <w:rFonts w:hint="eastAsia"/>
          <w:rtl/>
        </w:rPr>
        <w:t>הצעות</w:t>
      </w:r>
      <w:r w:rsidRPr="00E26FCE">
        <w:rPr>
          <w:rtl/>
        </w:rPr>
        <w:t xml:space="preserve"> </w:t>
      </w:r>
      <w:r w:rsidRPr="00E26FCE">
        <w:rPr>
          <w:rFonts w:hint="eastAsia"/>
          <w:rtl/>
        </w:rPr>
        <w:t>חוק</w:t>
      </w:r>
      <w:r w:rsidRPr="00E26FCE">
        <w:rPr>
          <w:rtl/>
        </w:rPr>
        <w:t xml:space="preserve"> </w:t>
      </w:r>
      <w:r w:rsidRPr="00E26FCE">
        <w:rPr>
          <w:rFonts w:hint="eastAsia"/>
          <w:rtl/>
        </w:rPr>
        <w:t>דומות</w:t>
      </w:r>
      <w:r w:rsidRPr="00E26FCE">
        <w:rPr>
          <w:rtl/>
        </w:rPr>
        <w:t xml:space="preserve"> </w:t>
      </w:r>
      <w:r w:rsidRPr="00E26FCE">
        <w:rPr>
          <w:rFonts w:hint="eastAsia"/>
          <w:rtl/>
        </w:rPr>
        <w:t>בעיקרן</w:t>
      </w:r>
      <w:r w:rsidRPr="00E26FCE">
        <w:rPr>
          <w:rtl/>
        </w:rPr>
        <w:t xml:space="preserve"> </w:t>
      </w:r>
      <w:r w:rsidRPr="00E26FCE">
        <w:rPr>
          <w:rFonts w:hint="eastAsia"/>
          <w:rtl/>
        </w:rPr>
        <w:t>הונחו</w:t>
      </w:r>
      <w:r w:rsidRPr="00E26FCE" w:rsidDel="0078396E">
        <w:rPr>
          <w:rtl/>
        </w:rPr>
        <w:t xml:space="preserve"> </w:t>
      </w:r>
      <w:r w:rsidRPr="00E26FCE">
        <w:rPr>
          <w:rFonts w:hint="eastAsia"/>
          <w:rtl/>
        </w:rPr>
        <w:t>על</w:t>
      </w:r>
      <w:r w:rsidRPr="00E26FCE">
        <w:rPr>
          <w:rtl/>
        </w:rPr>
        <w:t xml:space="preserve"> </w:t>
      </w:r>
      <w:r w:rsidRPr="00E26FCE">
        <w:rPr>
          <w:rFonts w:hint="eastAsia"/>
          <w:rtl/>
        </w:rPr>
        <w:t>שולחן</w:t>
      </w:r>
      <w:r w:rsidRPr="00E26FCE">
        <w:rPr>
          <w:rtl/>
        </w:rPr>
        <w:t xml:space="preserve"> </w:t>
      </w:r>
      <w:r w:rsidRPr="00E26FCE">
        <w:rPr>
          <w:rFonts w:hint="eastAsia"/>
          <w:rtl/>
        </w:rPr>
        <w:t>הכנסת</w:t>
      </w:r>
      <w:r w:rsidRPr="00E26FCE">
        <w:rPr>
          <w:rtl/>
        </w:rPr>
        <w:t xml:space="preserve"> </w:t>
      </w:r>
      <w:r w:rsidRPr="00E26FCE">
        <w:rPr>
          <w:rFonts w:hint="eastAsia"/>
          <w:rtl/>
        </w:rPr>
        <w:t>השבע</w:t>
      </w:r>
      <w:r w:rsidRPr="00E26FCE">
        <w:rPr>
          <w:rtl/>
        </w:rPr>
        <w:t xml:space="preserve">-עשרה </w:t>
      </w:r>
      <w:r w:rsidRPr="00E26FCE">
        <w:rPr>
          <w:rFonts w:hint="eastAsia"/>
          <w:rtl/>
        </w:rPr>
        <w:t>על</w:t>
      </w:r>
      <w:r w:rsidRPr="00E26FCE">
        <w:rPr>
          <w:rtl/>
        </w:rPr>
        <w:t xml:space="preserve"> </w:t>
      </w:r>
      <w:r w:rsidRPr="00E26FCE">
        <w:rPr>
          <w:rFonts w:hint="eastAsia"/>
          <w:rtl/>
        </w:rPr>
        <w:t>ידי</w:t>
      </w:r>
      <w:r w:rsidRPr="00E26FCE">
        <w:rPr>
          <w:rtl/>
        </w:rPr>
        <w:t xml:space="preserve"> </w:t>
      </w:r>
      <w:r w:rsidRPr="00E26FCE">
        <w:rPr>
          <w:rFonts w:hint="eastAsia"/>
          <w:rtl/>
        </w:rPr>
        <w:t>חבר</w:t>
      </w:r>
      <w:r w:rsidRPr="00E26FCE">
        <w:rPr>
          <w:rtl/>
        </w:rPr>
        <w:t xml:space="preserve"> </w:t>
      </w:r>
      <w:r w:rsidRPr="00E26FCE">
        <w:rPr>
          <w:rFonts w:hint="eastAsia"/>
          <w:rtl/>
        </w:rPr>
        <w:t>הכנסת</w:t>
      </w:r>
      <w:r w:rsidRPr="00E26FCE">
        <w:rPr>
          <w:rtl/>
        </w:rPr>
        <w:t xml:space="preserve"> </w:t>
      </w:r>
      <w:r w:rsidRPr="00E26FCE">
        <w:rPr>
          <w:rFonts w:hint="eastAsia"/>
          <w:rtl/>
        </w:rPr>
        <w:t>אריה</w:t>
      </w:r>
      <w:r w:rsidRPr="00E26FCE">
        <w:rPr>
          <w:rtl/>
        </w:rPr>
        <w:t xml:space="preserve"> </w:t>
      </w:r>
      <w:r w:rsidRPr="00E26FCE">
        <w:rPr>
          <w:rFonts w:hint="eastAsia"/>
          <w:rtl/>
        </w:rPr>
        <w:t>אלדד</w:t>
      </w:r>
      <w:r w:rsidR="00EE099C">
        <w:rPr>
          <w:rtl/>
        </w:rPr>
        <w:t xml:space="preserve"> (פ/2904/17)</w:t>
      </w:r>
      <w:r w:rsidR="00EE099C">
        <w:rPr>
          <w:rFonts w:hint="cs"/>
          <w:rtl/>
        </w:rPr>
        <w:t>,</w:t>
      </w:r>
      <w:r w:rsidRPr="00E26FCE">
        <w:rPr>
          <w:rtl/>
        </w:rPr>
        <w:t xml:space="preserve"> </w:t>
      </w:r>
      <w:r w:rsidRPr="00E26FCE">
        <w:rPr>
          <w:rFonts w:hint="eastAsia"/>
          <w:rtl/>
        </w:rPr>
        <w:t>על</w:t>
      </w:r>
      <w:r w:rsidRPr="00E26FCE">
        <w:rPr>
          <w:rtl/>
        </w:rPr>
        <w:t xml:space="preserve"> </w:t>
      </w:r>
      <w:r w:rsidRPr="00E26FCE">
        <w:rPr>
          <w:rFonts w:hint="eastAsia"/>
          <w:rtl/>
        </w:rPr>
        <w:t>שולחן</w:t>
      </w:r>
      <w:r w:rsidRPr="00E26FCE">
        <w:rPr>
          <w:rtl/>
        </w:rPr>
        <w:t xml:space="preserve"> </w:t>
      </w:r>
      <w:r w:rsidRPr="00E26FCE">
        <w:rPr>
          <w:rFonts w:hint="eastAsia"/>
          <w:rtl/>
        </w:rPr>
        <w:t>הכנסת</w:t>
      </w:r>
      <w:r w:rsidRPr="00E26FCE">
        <w:rPr>
          <w:rtl/>
        </w:rPr>
        <w:t xml:space="preserve"> </w:t>
      </w:r>
      <w:r w:rsidRPr="00E26FCE">
        <w:rPr>
          <w:rFonts w:hint="eastAsia"/>
          <w:rtl/>
        </w:rPr>
        <w:t>השמונה</w:t>
      </w:r>
      <w:r w:rsidRPr="00E26FCE">
        <w:rPr>
          <w:rtl/>
        </w:rPr>
        <w:t xml:space="preserve">-עשרה </w:t>
      </w:r>
      <w:r w:rsidRPr="00E26FCE">
        <w:rPr>
          <w:rFonts w:hint="eastAsia"/>
          <w:rtl/>
        </w:rPr>
        <w:t>על</w:t>
      </w:r>
      <w:r w:rsidRPr="00E26FCE">
        <w:rPr>
          <w:rtl/>
        </w:rPr>
        <w:t xml:space="preserve"> </w:t>
      </w:r>
      <w:r w:rsidRPr="00E26FCE">
        <w:rPr>
          <w:rFonts w:hint="eastAsia"/>
          <w:rtl/>
        </w:rPr>
        <w:t>ידי</w:t>
      </w:r>
      <w:r w:rsidRPr="00E26FCE">
        <w:rPr>
          <w:rtl/>
        </w:rPr>
        <w:t xml:space="preserve"> </w:t>
      </w:r>
      <w:r w:rsidRPr="00E26FCE">
        <w:rPr>
          <w:rFonts w:hint="eastAsia"/>
          <w:rtl/>
        </w:rPr>
        <w:t>חבר</w:t>
      </w:r>
      <w:r w:rsidRPr="00E26FCE">
        <w:rPr>
          <w:rtl/>
        </w:rPr>
        <w:t xml:space="preserve"> </w:t>
      </w:r>
      <w:r w:rsidRPr="00E26FCE">
        <w:rPr>
          <w:rFonts w:hint="eastAsia"/>
          <w:rtl/>
        </w:rPr>
        <w:t>הכנסת</w:t>
      </w:r>
      <w:r w:rsidRPr="00E26FCE">
        <w:rPr>
          <w:rtl/>
        </w:rPr>
        <w:t xml:space="preserve"> </w:t>
      </w:r>
      <w:r w:rsidRPr="00E26FCE">
        <w:rPr>
          <w:rFonts w:hint="eastAsia"/>
          <w:rtl/>
        </w:rPr>
        <w:t>אריה</w:t>
      </w:r>
      <w:r w:rsidRPr="00E26FCE">
        <w:rPr>
          <w:rtl/>
        </w:rPr>
        <w:t xml:space="preserve"> </w:t>
      </w:r>
      <w:r w:rsidRPr="00E26FCE">
        <w:rPr>
          <w:rFonts w:hint="eastAsia"/>
          <w:rtl/>
        </w:rPr>
        <w:t>אלדד</w:t>
      </w:r>
      <w:r w:rsidRPr="00E26FCE">
        <w:rPr>
          <w:rtl/>
        </w:rPr>
        <w:t xml:space="preserve"> (פ/683/18), </w:t>
      </w:r>
      <w:r w:rsidRPr="00E26FCE">
        <w:rPr>
          <w:rFonts w:hint="eastAsia"/>
          <w:rtl/>
        </w:rPr>
        <w:t>על</w:t>
      </w:r>
      <w:r w:rsidRPr="00E26FCE">
        <w:rPr>
          <w:rtl/>
        </w:rPr>
        <w:t xml:space="preserve"> </w:t>
      </w:r>
      <w:r w:rsidRPr="00E26FCE">
        <w:rPr>
          <w:rFonts w:hint="eastAsia"/>
          <w:rtl/>
        </w:rPr>
        <w:t>ידי</w:t>
      </w:r>
      <w:r w:rsidRPr="00E26FCE">
        <w:rPr>
          <w:rtl/>
        </w:rPr>
        <w:t xml:space="preserve"> </w:t>
      </w:r>
      <w:r w:rsidRPr="00E26FCE">
        <w:rPr>
          <w:rFonts w:hint="eastAsia"/>
          <w:rtl/>
        </w:rPr>
        <w:t>חבר</w:t>
      </w:r>
      <w:r w:rsidRPr="00E26FCE">
        <w:rPr>
          <w:rtl/>
        </w:rPr>
        <w:t xml:space="preserve"> </w:t>
      </w:r>
      <w:r w:rsidRPr="00E26FCE">
        <w:rPr>
          <w:rFonts w:hint="eastAsia"/>
          <w:rtl/>
        </w:rPr>
        <w:t>הכנסת</w:t>
      </w:r>
      <w:r w:rsidRPr="00E26FCE">
        <w:rPr>
          <w:rtl/>
        </w:rPr>
        <w:t xml:space="preserve"> </w:t>
      </w:r>
      <w:r w:rsidRPr="00E26FCE">
        <w:rPr>
          <w:rFonts w:hint="eastAsia"/>
          <w:rtl/>
        </w:rPr>
        <w:t>דני</w:t>
      </w:r>
      <w:r w:rsidRPr="00E26FCE">
        <w:rPr>
          <w:rtl/>
        </w:rPr>
        <w:t xml:space="preserve"> </w:t>
      </w:r>
      <w:r w:rsidRPr="00E26FCE">
        <w:rPr>
          <w:rFonts w:hint="eastAsia"/>
          <w:rtl/>
        </w:rPr>
        <w:t>דנון</w:t>
      </w:r>
      <w:r w:rsidRPr="00E26FCE">
        <w:rPr>
          <w:rtl/>
        </w:rPr>
        <w:t xml:space="preserve"> </w:t>
      </w:r>
      <w:r w:rsidRPr="00E26FCE">
        <w:rPr>
          <w:rFonts w:hint="eastAsia"/>
          <w:rtl/>
        </w:rPr>
        <w:t>וקבוצת</w:t>
      </w:r>
      <w:r w:rsidRPr="00E26FCE">
        <w:rPr>
          <w:rtl/>
        </w:rPr>
        <w:t xml:space="preserve"> </w:t>
      </w:r>
      <w:r w:rsidRPr="00E26FCE">
        <w:rPr>
          <w:rFonts w:hint="eastAsia"/>
          <w:rtl/>
        </w:rPr>
        <w:t>חברי</w:t>
      </w:r>
      <w:r w:rsidRPr="00E26FCE">
        <w:rPr>
          <w:rtl/>
        </w:rPr>
        <w:t xml:space="preserve"> </w:t>
      </w:r>
      <w:r w:rsidRPr="00E26FCE">
        <w:rPr>
          <w:rFonts w:hint="eastAsia"/>
          <w:rtl/>
        </w:rPr>
        <w:t>הכנסת</w:t>
      </w:r>
      <w:r w:rsidRPr="00E26FCE">
        <w:rPr>
          <w:rtl/>
        </w:rPr>
        <w:t xml:space="preserve"> (פ/735/18), </w:t>
      </w:r>
      <w:r w:rsidRPr="00E26FCE">
        <w:rPr>
          <w:rFonts w:hint="eastAsia"/>
          <w:rtl/>
        </w:rPr>
        <w:t>על</w:t>
      </w:r>
      <w:r w:rsidRPr="00E26FCE">
        <w:rPr>
          <w:rtl/>
        </w:rPr>
        <w:t xml:space="preserve"> </w:t>
      </w:r>
      <w:r w:rsidRPr="00E26FCE">
        <w:rPr>
          <w:rFonts w:hint="eastAsia"/>
          <w:rtl/>
        </w:rPr>
        <w:t>ידי</w:t>
      </w:r>
      <w:r w:rsidRPr="00E26FCE">
        <w:rPr>
          <w:rtl/>
        </w:rPr>
        <w:t xml:space="preserve"> </w:t>
      </w:r>
      <w:r w:rsidRPr="00E26FCE">
        <w:rPr>
          <w:rFonts w:hint="eastAsia"/>
          <w:rtl/>
        </w:rPr>
        <w:t>חבר</w:t>
      </w:r>
      <w:r w:rsidRPr="00E26FCE">
        <w:rPr>
          <w:rtl/>
        </w:rPr>
        <w:t xml:space="preserve"> </w:t>
      </w:r>
      <w:r w:rsidRPr="00E26FCE">
        <w:rPr>
          <w:rFonts w:hint="eastAsia"/>
          <w:rtl/>
        </w:rPr>
        <w:t>הכנסת</w:t>
      </w:r>
      <w:r w:rsidRPr="00E26FCE">
        <w:rPr>
          <w:rtl/>
        </w:rPr>
        <w:t xml:space="preserve"> </w:t>
      </w:r>
      <w:r w:rsidRPr="00E26FCE">
        <w:rPr>
          <w:rFonts w:hint="eastAsia"/>
          <w:rtl/>
        </w:rPr>
        <w:t>יריב</w:t>
      </w:r>
      <w:r w:rsidRPr="00E26FCE">
        <w:rPr>
          <w:rtl/>
        </w:rPr>
        <w:t xml:space="preserve"> </w:t>
      </w:r>
      <w:r w:rsidRPr="00E26FCE">
        <w:rPr>
          <w:rFonts w:hint="eastAsia"/>
          <w:rtl/>
        </w:rPr>
        <w:t>לוין</w:t>
      </w:r>
      <w:r w:rsidRPr="00E26FCE">
        <w:rPr>
          <w:rtl/>
        </w:rPr>
        <w:t xml:space="preserve"> </w:t>
      </w:r>
      <w:r w:rsidRPr="00E26FCE">
        <w:rPr>
          <w:rFonts w:hint="eastAsia"/>
          <w:rtl/>
        </w:rPr>
        <w:t>וקבוצת</w:t>
      </w:r>
      <w:r w:rsidRPr="00E26FCE">
        <w:rPr>
          <w:rtl/>
        </w:rPr>
        <w:t xml:space="preserve"> </w:t>
      </w:r>
      <w:r w:rsidRPr="00E26FCE">
        <w:rPr>
          <w:rFonts w:hint="eastAsia"/>
          <w:rtl/>
        </w:rPr>
        <w:t>חברי</w:t>
      </w:r>
      <w:r w:rsidRPr="00E26FCE">
        <w:rPr>
          <w:rtl/>
        </w:rPr>
        <w:t xml:space="preserve"> </w:t>
      </w:r>
      <w:r w:rsidRPr="00E26FCE">
        <w:rPr>
          <w:rFonts w:hint="eastAsia"/>
          <w:rtl/>
        </w:rPr>
        <w:t>כנסת</w:t>
      </w:r>
      <w:r w:rsidRPr="00E26FCE">
        <w:rPr>
          <w:rtl/>
        </w:rPr>
        <w:t xml:space="preserve"> (פ/758/18), </w:t>
      </w:r>
      <w:r w:rsidRPr="00E26FCE">
        <w:rPr>
          <w:rFonts w:hint="eastAsia"/>
          <w:rtl/>
        </w:rPr>
        <w:t>על</w:t>
      </w:r>
      <w:r w:rsidRPr="00E26FCE">
        <w:rPr>
          <w:rtl/>
        </w:rPr>
        <w:t xml:space="preserve"> </w:t>
      </w:r>
      <w:r w:rsidRPr="00E26FCE">
        <w:rPr>
          <w:rFonts w:hint="eastAsia"/>
          <w:rtl/>
        </w:rPr>
        <w:t>ידי</w:t>
      </w:r>
      <w:r w:rsidRPr="00E26FCE">
        <w:rPr>
          <w:rtl/>
        </w:rPr>
        <w:t xml:space="preserve"> </w:t>
      </w:r>
      <w:r w:rsidRPr="00E26FCE">
        <w:rPr>
          <w:rFonts w:hint="eastAsia"/>
          <w:rtl/>
        </w:rPr>
        <w:t>חברת</w:t>
      </w:r>
      <w:r w:rsidRPr="00E26FCE">
        <w:rPr>
          <w:rtl/>
        </w:rPr>
        <w:t xml:space="preserve"> </w:t>
      </w:r>
      <w:r w:rsidRPr="00E26FCE">
        <w:rPr>
          <w:rFonts w:hint="eastAsia"/>
          <w:rtl/>
        </w:rPr>
        <w:t>הכנסת</w:t>
      </w:r>
      <w:r w:rsidRPr="00E26FCE">
        <w:rPr>
          <w:rtl/>
        </w:rPr>
        <w:t xml:space="preserve"> </w:t>
      </w:r>
      <w:r w:rsidRPr="00E26FCE">
        <w:rPr>
          <w:rFonts w:hint="eastAsia"/>
          <w:rtl/>
        </w:rPr>
        <w:t>מרינה</w:t>
      </w:r>
      <w:r w:rsidRPr="00E26FCE">
        <w:rPr>
          <w:rtl/>
        </w:rPr>
        <w:t xml:space="preserve"> </w:t>
      </w:r>
      <w:r w:rsidRPr="00E26FCE">
        <w:rPr>
          <w:rFonts w:hint="eastAsia"/>
          <w:rtl/>
        </w:rPr>
        <w:t>סולודקין</w:t>
      </w:r>
      <w:r w:rsidRPr="00E26FCE">
        <w:rPr>
          <w:rtl/>
        </w:rPr>
        <w:t xml:space="preserve"> (פ/829/18), </w:t>
      </w:r>
      <w:r w:rsidRPr="00E26FCE">
        <w:rPr>
          <w:rFonts w:hint="eastAsia"/>
          <w:rtl/>
        </w:rPr>
        <w:t>ועל</w:t>
      </w:r>
      <w:r w:rsidRPr="00E26FCE">
        <w:rPr>
          <w:rtl/>
        </w:rPr>
        <w:t xml:space="preserve"> </w:t>
      </w:r>
      <w:r w:rsidRPr="00E26FCE">
        <w:rPr>
          <w:rFonts w:hint="eastAsia"/>
          <w:rtl/>
        </w:rPr>
        <w:t>ידי</w:t>
      </w:r>
      <w:r w:rsidRPr="00E26FCE">
        <w:rPr>
          <w:rtl/>
        </w:rPr>
        <w:t xml:space="preserve"> </w:t>
      </w:r>
      <w:r w:rsidRPr="00E26FCE">
        <w:rPr>
          <w:rFonts w:hint="eastAsia"/>
          <w:rtl/>
        </w:rPr>
        <w:t>חבר</w:t>
      </w:r>
      <w:r w:rsidRPr="00E26FCE">
        <w:rPr>
          <w:rtl/>
        </w:rPr>
        <w:t xml:space="preserve"> </w:t>
      </w:r>
      <w:r w:rsidRPr="00E26FCE">
        <w:rPr>
          <w:rFonts w:hint="eastAsia"/>
          <w:rtl/>
        </w:rPr>
        <w:t>הכנסת</w:t>
      </w:r>
      <w:r w:rsidRPr="00E26FCE">
        <w:rPr>
          <w:rtl/>
        </w:rPr>
        <w:t xml:space="preserve"> </w:t>
      </w:r>
      <w:r w:rsidRPr="00E26FCE">
        <w:rPr>
          <w:rFonts w:hint="eastAsia"/>
          <w:rtl/>
        </w:rPr>
        <w:t>אריה</w:t>
      </w:r>
      <w:r w:rsidRPr="00E26FCE">
        <w:rPr>
          <w:rtl/>
        </w:rPr>
        <w:t xml:space="preserve"> </w:t>
      </w:r>
      <w:r w:rsidRPr="00E26FCE">
        <w:rPr>
          <w:rFonts w:hint="eastAsia"/>
          <w:rtl/>
        </w:rPr>
        <w:t>אלדד</w:t>
      </w:r>
      <w:r w:rsidR="00EE099C">
        <w:rPr>
          <w:rtl/>
        </w:rPr>
        <w:t xml:space="preserve"> (פ/2396/18)</w:t>
      </w:r>
      <w:r w:rsidR="00EE099C">
        <w:rPr>
          <w:rFonts w:hint="cs"/>
          <w:rtl/>
        </w:rPr>
        <w:t>,</w:t>
      </w:r>
      <w:bookmarkStart w:id="0" w:name="_GoBack"/>
      <w:bookmarkEnd w:id="0"/>
      <w:r w:rsidRPr="00E26FCE">
        <w:rPr>
          <w:rtl/>
        </w:rPr>
        <w:t xml:space="preserve"> </w:t>
      </w:r>
      <w:r w:rsidRPr="00E26FCE">
        <w:rPr>
          <w:rFonts w:hint="eastAsia"/>
          <w:rtl/>
        </w:rPr>
        <w:t>ועל</w:t>
      </w:r>
      <w:r w:rsidRPr="00E26FCE">
        <w:rPr>
          <w:rtl/>
        </w:rPr>
        <w:t xml:space="preserve"> </w:t>
      </w:r>
      <w:r w:rsidRPr="00E26FCE">
        <w:rPr>
          <w:rFonts w:hint="eastAsia"/>
          <w:rtl/>
        </w:rPr>
        <w:t>שולחן</w:t>
      </w:r>
      <w:r w:rsidRPr="00E26FCE">
        <w:rPr>
          <w:rtl/>
        </w:rPr>
        <w:t xml:space="preserve"> </w:t>
      </w:r>
      <w:r w:rsidRPr="00E26FCE">
        <w:rPr>
          <w:rFonts w:hint="eastAsia"/>
          <w:rtl/>
        </w:rPr>
        <w:t>הכנסת</w:t>
      </w:r>
      <w:r w:rsidRPr="00E26FCE">
        <w:rPr>
          <w:rtl/>
        </w:rPr>
        <w:t xml:space="preserve"> </w:t>
      </w:r>
      <w:r w:rsidRPr="00E26FCE">
        <w:rPr>
          <w:rFonts w:hint="eastAsia"/>
          <w:rtl/>
        </w:rPr>
        <w:t>התשע</w:t>
      </w:r>
      <w:r w:rsidRPr="00E26FCE">
        <w:rPr>
          <w:rtl/>
        </w:rPr>
        <w:t xml:space="preserve">-עשרה </w:t>
      </w:r>
      <w:r w:rsidRPr="00E26FCE">
        <w:rPr>
          <w:rFonts w:hint="eastAsia"/>
          <w:rtl/>
        </w:rPr>
        <w:t>על</w:t>
      </w:r>
      <w:r w:rsidRPr="00E26FCE">
        <w:rPr>
          <w:rtl/>
        </w:rPr>
        <w:t xml:space="preserve"> </w:t>
      </w:r>
      <w:r w:rsidRPr="00E26FCE">
        <w:rPr>
          <w:rFonts w:hint="eastAsia"/>
          <w:rtl/>
        </w:rPr>
        <w:t>ידי</w:t>
      </w:r>
      <w:r w:rsidRPr="00E26FCE">
        <w:rPr>
          <w:rtl/>
        </w:rPr>
        <w:t xml:space="preserve"> </w:t>
      </w:r>
      <w:r w:rsidRPr="00E26FCE">
        <w:rPr>
          <w:rFonts w:hint="eastAsia"/>
          <w:rtl/>
        </w:rPr>
        <w:t>חברת</w:t>
      </w:r>
      <w:r w:rsidRPr="00E26FCE">
        <w:rPr>
          <w:rtl/>
        </w:rPr>
        <w:t xml:space="preserve"> </w:t>
      </w:r>
      <w:r w:rsidRPr="00E26FCE">
        <w:rPr>
          <w:rFonts w:hint="eastAsia"/>
          <w:rtl/>
        </w:rPr>
        <w:t>הכנסת</w:t>
      </w:r>
      <w:r w:rsidRPr="00E26FCE">
        <w:rPr>
          <w:rtl/>
        </w:rPr>
        <w:t xml:space="preserve"> </w:t>
      </w:r>
      <w:r w:rsidRPr="00E26FCE">
        <w:rPr>
          <w:rFonts w:hint="eastAsia"/>
          <w:rtl/>
        </w:rPr>
        <w:t>מירי</w:t>
      </w:r>
      <w:r w:rsidRPr="00E26FCE">
        <w:rPr>
          <w:rtl/>
        </w:rPr>
        <w:t xml:space="preserve"> </w:t>
      </w:r>
      <w:r w:rsidRPr="00E26FCE">
        <w:rPr>
          <w:rFonts w:hint="eastAsia"/>
          <w:rtl/>
        </w:rPr>
        <w:t>רגב</w:t>
      </w:r>
      <w:r w:rsidRPr="00E26FCE">
        <w:rPr>
          <w:rtl/>
        </w:rPr>
        <w:t xml:space="preserve"> (פ/484/19</w:t>
      </w:r>
      <w:r w:rsidRPr="00BC2D7C">
        <w:rPr>
          <w:rtl/>
        </w:rPr>
        <w:t>).</w:t>
      </w:r>
    </w:p>
    <w:p w14:paraId="09752F1F" w14:textId="2B18FBD4" w:rsidR="008106E8" w:rsidRDefault="008106E8" w:rsidP="008106E8">
      <w:pPr>
        <w:pStyle w:val="Hesber"/>
        <w:rPr>
          <w:rtl/>
        </w:rPr>
      </w:pPr>
      <w:r w:rsidRPr="00E26FCE">
        <w:rPr>
          <w:rFonts w:hint="eastAsia"/>
          <w:rtl/>
        </w:rPr>
        <w:t>הצעות</w:t>
      </w:r>
      <w:r w:rsidRPr="00E26FCE">
        <w:rPr>
          <w:rtl/>
        </w:rPr>
        <w:t xml:space="preserve"> </w:t>
      </w:r>
      <w:r w:rsidRPr="00E26FCE">
        <w:rPr>
          <w:rFonts w:hint="eastAsia"/>
          <w:rtl/>
        </w:rPr>
        <w:t>חוק</w:t>
      </w:r>
      <w:r w:rsidRPr="00E26FCE">
        <w:rPr>
          <w:rtl/>
        </w:rPr>
        <w:t xml:space="preserve"> </w:t>
      </w:r>
      <w:r w:rsidRPr="00E26FCE">
        <w:rPr>
          <w:rFonts w:hint="eastAsia"/>
          <w:rtl/>
        </w:rPr>
        <w:t>זהות</w:t>
      </w:r>
      <w:r w:rsidRPr="00E26FCE">
        <w:rPr>
          <w:rtl/>
        </w:rPr>
        <w:t xml:space="preserve"> </w:t>
      </w:r>
      <w:r w:rsidRPr="00E26FCE">
        <w:rPr>
          <w:rFonts w:hint="eastAsia"/>
          <w:rtl/>
        </w:rPr>
        <w:t>הונחו</w:t>
      </w:r>
      <w:r w:rsidRPr="00E26FCE">
        <w:rPr>
          <w:rtl/>
        </w:rPr>
        <w:t xml:space="preserve"> </w:t>
      </w:r>
      <w:r w:rsidRPr="00E26FCE">
        <w:rPr>
          <w:rFonts w:hint="eastAsia"/>
          <w:rtl/>
        </w:rPr>
        <w:t>על</w:t>
      </w:r>
      <w:r w:rsidRPr="00E26FCE">
        <w:rPr>
          <w:rtl/>
        </w:rPr>
        <w:t xml:space="preserve"> </w:t>
      </w:r>
      <w:r w:rsidRPr="00E26FCE">
        <w:rPr>
          <w:rFonts w:hint="eastAsia"/>
          <w:rtl/>
        </w:rPr>
        <w:t>שולחן</w:t>
      </w:r>
      <w:r w:rsidRPr="00E26FCE">
        <w:rPr>
          <w:rtl/>
        </w:rPr>
        <w:t xml:space="preserve"> </w:t>
      </w:r>
      <w:r w:rsidRPr="00E26FCE">
        <w:rPr>
          <w:rFonts w:hint="eastAsia"/>
          <w:rtl/>
        </w:rPr>
        <w:t>הכנסת</w:t>
      </w:r>
      <w:r w:rsidRPr="00E26FCE">
        <w:rPr>
          <w:rtl/>
        </w:rPr>
        <w:t xml:space="preserve"> </w:t>
      </w:r>
      <w:r w:rsidRPr="00E26FCE">
        <w:rPr>
          <w:rFonts w:hint="eastAsia"/>
          <w:rtl/>
        </w:rPr>
        <w:t>השמונה</w:t>
      </w:r>
      <w:r w:rsidRPr="00E26FCE">
        <w:rPr>
          <w:rtl/>
        </w:rPr>
        <w:t xml:space="preserve">-עשרה </w:t>
      </w:r>
      <w:r w:rsidRPr="00E26FCE">
        <w:rPr>
          <w:rFonts w:hint="eastAsia"/>
          <w:rtl/>
        </w:rPr>
        <w:t>על</w:t>
      </w:r>
      <w:r w:rsidRPr="00E26FCE">
        <w:rPr>
          <w:rtl/>
        </w:rPr>
        <w:t xml:space="preserve"> </w:t>
      </w:r>
      <w:r w:rsidRPr="00E26FCE">
        <w:rPr>
          <w:rFonts w:hint="eastAsia"/>
          <w:rtl/>
        </w:rPr>
        <w:t>ידי</w:t>
      </w:r>
      <w:r w:rsidRPr="00E26FCE">
        <w:rPr>
          <w:rtl/>
        </w:rPr>
        <w:t xml:space="preserve"> </w:t>
      </w:r>
      <w:r w:rsidRPr="00E26FCE">
        <w:rPr>
          <w:rFonts w:hint="eastAsia"/>
          <w:rtl/>
        </w:rPr>
        <w:t>חברי</w:t>
      </w:r>
      <w:r w:rsidRPr="00E26FCE">
        <w:rPr>
          <w:rtl/>
        </w:rPr>
        <w:t xml:space="preserve"> </w:t>
      </w:r>
      <w:r w:rsidRPr="00E26FCE">
        <w:rPr>
          <w:rFonts w:hint="eastAsia"/>
          <w:rtl/>
        </w:rPr>
        <w:t>הכנסת</w:t>
      </w:r>
      <w:r w:rsidRPr="00E26FCE">
        <w:rPr>
          <w:rtl/>
        </w:rPr>
        <w:t xml:space="preserve"> </w:t>
      </w:r>
      <w:r w:rsidRPr="00E26FCE">
        <w:rPr>
          <w:rFonts w:hint="eastAsia"/>
          <w:rtl/>
        </w:rPr>
        <w:t>מירי</w:t>
      </w:r>
      <w:r w:rsidRPr="00E26FCE">
        <w:rPr>
          <w:rtl/>
        </w:rPr>
        <w:t xml:space="preserve"> </w:t>
      </w:r>
      <w:r w:rsidRPr="00E26FCE">
        <w:rPr>
          <w:rFonts w:hint="eastAsia"/>
          <w:rtl/>
        </w:rPr>
        <w:t>רגב</w:t>
      </w:r>
      <w:r w:rsidRPr="00E26FCE">
        <w:rPr>
          <w:rtl/>
        </w:rPr>
        <w:t xml:space="preserve"> </w:t>
      </w:r>
      <w:r w:rsidRPr="00E26FCE">
        <w:rPr>
          <w:rFonts w:hint="eastAsia"/>
          <w:rtl/>
        </w:rPr>
        <w:t>ואורי</w:t>
      </w:r>
      <w:r w:rsidRPr="00E26FCE">
        <w:rPr>
          <w:rtl/>
        </w:rPr>
        <w:t xml:space="preserve"> </w:t>
      </w:r>
      <w:r w:rsidRPr="00E26FCE">
        <w:rPr>
          <w:rFonts w:hint="eastAsia"/>
          <w:rtl/>
        </w:rPr>
        <w:t>אורבך</w:t>
      </w:r>
      <w:r w:rsidRPr="00E26FCE">
        <w:rPr>
          <w:rtl/>
        </w:rPr>
        <w:t xml:space="preserve"> (פ/2898/18</w:t>
      </w:r>
      <w:r w:rsidR="00EE099C">
        <w:rPr>
          <w:rtl/>
        </w:rPr>
        <w:t>)</w:t>
      </w:r>
      <w:r w:rsidR="00EE099C">
        <w:rPr>
          <w:rFonts w:hint="cs"/>
          <w:rtl/>
        </w:rPr>
        <w:t xml:space="preserve"> </w:t>
      </w:r>
      <w:r w:rsidRPr="00E26FCE">
        <w:rPr>
          <w:rFonts w:hint="eastAsia"/>
          <w:rtl/>
        </w:rPr>
        <w:t>ועל</w:t>
      </w:r>
      <w:r w:rsidRPr="00E26FCE">
        <w:rPr>
          <w:rtl/>
        </w:rPr>
        <w:t xml:space="preserve"> שולחן הכנסת העשרים </w:t>
      </w:r>
      <w:r w:rsidRPr="00BC2D7C">
        <w:rPr>
          <w:rtl/>
        </w:rPr>
        <w:t>על ידי חבר הכנסת עודד פורר (פ/3282/20)</w:t>
      </w:r>
      <w:r>
        <w:rPr>
          <w:rFonts w:hint="cs"/>
          <w:rtl/>
        </w:rPr>
        <w:t>.</w:t>
      </w:r>
    </w:p>
    <w:p w14:paraId="7881B0C8" w14:textId="77777777" w:rsidR="00EE099C" w:rsidRDefault="00EE099C" w:rsidP="008106E8">
      <w:pPr>
        <w:pStyle w:val="Hesber"/>
        <w:rPr>
          <w:rtl/>
        </w:rPr>
      </w:pPr>
    </w:p>
    <w:p w14:paraId="2267CE69" w14:textId="77777777" w:rsidR="00EE099C" w:rsidRDefault="00EE099C" w:rsidP="008106E8">
      <w:pPr>
        <w:pStyle w:val="Hesber"/>
        <w:rPr>
          <w:rtl/>
        </w:rPr>
      </w:pPr>
    </w:p>
    <w:p w14:paraId="2384E667" w14:textId="77777777" w:rsidR="00EE099C" w:rsidRPr="003C5528" w:rsidRDefault="00EE099C" w:rsidP="00EE099C">
      <w:pPr>
        <w:pStyle w:val="Hesber"/>
        <w:rPr>
          <w:rtl/>
        </w:rPr>
      </w:pPr>
      <w:r w:rsidRPr="003C5528">
        <w:rPr>
          <w:rtl/>
        </w:rPr>
        <w:t>---------------------------------</w:t>
      </w:r>
    </w:p>
    <w:p w14:paraId="3C87B863" w14:textId="77777777" w:rsidR="00EE099C" w:rsidRPr="003C5528" w:rsidRDefault="00EE099C" w:rsidP="00EE099C">
      <w:pPr>
        <w:pStyle w:val="Hesber"/>
        <w:rPr>
          <w:rtl/>
        </w:rPr>
      </w:pPr>
      <w:r w:rsidRPr="003C5528">
        <w:rPr>
          <w:rFonts w:hint="cs"/>
          <w:rtl/>
        </w:rPr>
        <w:t>הוגשה</w:t>
      </w:r>
      <w:r w:rsidRPr="003C5528">
        <w:rPr>
          <w:rtl/>
        </w:rPr>
        <w:t xml:space="preserve"> </w:t>
      </w:r>
      <w:r w:rsidRPr="003C5528">
        <w:rPr>
          <w:rFonts w:hint="cs"/>
          <w:rtl/>
        </w:rPr>
        <w:t>ליו</w:t>
      </w:r>
      <w:r w:rsidRPr="003C5528">
        <w:rPr>
          <w:rtl/>
        </w:rPr>
        <w:t>"</w:t>
      </w:r>
      <w:r w:rsidRPr="003C5528">
        <w:rPr>
          <w:rFonts w:hint="cs"/>
          <w:rtl/>
        </w:rPr>
        <w:t>ר</w:t>
      </w:r>
      <w:r w:rsidRPr="003C5528">
        <w:rPr>
          <w:rtl/>
        </w:rPr>
        <w:t xml:space="preserve"> </w:t>
      </w:r>
      <w:r w:rsidRPr="003C5528">
        <w:rPr>
          <w:rFonts w:hint="cs"/>
          <w:rtl/>
        </w:rPr>
        <w:t>הכנסת</w:t>
      </w:r>
      <w:r w:rsidRPr="003C5528">
        <w:rPr>
          <w:rtl/>
        </w:rPr>
        <w:t xml:space="preserve"> </w:t>
      </w:r>
      <w:r w:rsidRPr="003C5528">
        <w:rPr>
          <w:rFonts w:hint="cs"/>
          <w:rtl/>
        </w:rPr>
        <w:t>והסגנים</w:t>
      </w:r>
    </w:p>
    <w:p w14:paraId="3DB985EE" w14:textId="77777777" w:rsidR="00EE099C" w:rsidRPr="003C5528" w:rsidRDefault="00EE099C" w:rsidP="00EE099C">
      <w:pPr>
        <w:pStyle w:val="Hesber"/>
        <w:rPr>
          <w:rtl/>
        </w:rPr>
      </w:pPr>
      <w:r w:rsidRPr="003C5528">
        <w:rPr>
          <w:rFonts w:hint="cs"/>
          <w:rtl/>
        </w:rPr>
        <w:t>והונחה</w:t>
      </w:r>
      <w:r w:rsidRPr="003C5528">
        <w:rPr>
          <w:rtl/>
        </w:rPr>
        <w:t xml:space="preserve"> </w:t>
      </w:r>
      <w:r w:rsidRPr="003C5528">
        <w:rPr>
          <w:rFonts w:hint="cs"/>
          <w:rtl/>
        </w:rPr>
        <w:t>על</w:t>
      </w:r>
      <w:r w:rsidRPr="003C5528">
        <w:rPr>
          <w:rtl/>
        </w:rPr>
        <w:t xml:space="preserve"> </w:t>
      </w:r>
      <w:r w:rsidRPr="003C5528">
        <w:rPr>
          <w:rFonts w:hint="cs"/>
          <w:rtl/>
        </w:rPr>
        <w:t>שולחן</w:t>
      </w:r>
      <w:r w:rsidRPr="003C5528">
        <w:rPr>
          <w:rtl/>
        </w:rPr>
        <w:t xml:space="preserve"> </w:t>
      </w:r>
      <w:r w:rsidRPr="003C5528">
        <w:rPr>
          <w:rFonts w:hint="cs"/>
          <w:rtl/>
        </w:rPr>
        <w:t>הכנסת</w:t>
      </w:r>
      <w:r w:rsidRPr="003C5528">
        <w:rPr>
          <w:rtl/>
        </w:rPr>
        <w:t xml:space="preserve"> </w:t>
      </w:r>
      <w:r w:rsidRPr="003C5528">
        <w:rPr>
          <w:rFonts w:hint="cs"/>
          <w:rtl/>
        </w:rPr>
        <w:t>ביום</w:t>
      </w:r>
    </w:p>
    <w:p w14:paraId="03665F66" w14:textId="5994EC59" w:rsidR="00EE099C" w:rsidRPr="00BC2D7C" w:rsidRDefault="00EE099C" w:rsidP="00EE099C">
      <w:pPr>
        <w:pStyle w:val="Hesber"/>
        <w:rPr>
          <w:rtl/>
        </w:rPr>
      </w:pPr>
      <w:r>
        <w:rPr>
          <w:rFonts w:hint="cs"/>
          <w:rtl/>
        </w:rPr>
        <w:t>כ"ב באייר</w:t>
      </w:r>
      <w:r w:rsidRPr="00D73212">
        <w:rPr>
          <w:rtl/>
        </w:rPr>
        <w:t xml:space="preserve"> </w:t>
      </w:r>
      <w:r w:rsidRPr="00D73212">
        <w:rPr>
          <w:rFonts w:hint="cs"/>
          <w:rtl/>
        </w:rPr>
        <w:t>התשע</w:t>
      </w:r>
      <w:r w:rsidRPr="00D73212">
        <w:rPr>
          <w:rtl/>
        </w:rPr>
        <w:t>"</w:t>
      </w:r>
      <w:r>
        <w:rPr>
          <w:rFonts w:hint="cs"/>
          <w:rtl/>
        </w:rPr>
        <w:t xml:space="preserve">ט </w:t>
      </w:r>
      <w:r w:rsidRPr="00D73212">
        <w:rPr>
          <w:rtl/>
        </w:rPr>
        <w:t>–</w:t>
      </w:r>
      <w:r>
        <w:rPr>
          <w:rFonts w:hint="cs"/>
          <w:rtl/>
        </w:rPr>
        <w:t xml:space="preserve"> 27.5</w:t>
      </w:r>
      <w:r w:rsidRPr="00D73212">
        <w:rPr>
          <w:rtl/>
        </w:rPr>
        <w:t>.</w:t>
      </w:r>
      <w:r>
        <w:rPr>
          <w:rFonts w:hint="cs"/>
          <w:rtl/>
        </w:rPr>
        <w:t>19</w:t>
      </w:r>
    </w:p>
    <w:p w14:paraId="6F9D7C5E" w14:textId="77777777" w:rsidR="008106E8" w:rsidRPr="00E26FCE" w:rsidRDefault="008106E8" w:rsidP="008106E8">
      <w:pPr>
        <w:pStyle w:val="Hesber"/>
        <w:rPr>
          <w:rtl/>
        </w:rPr>
      </w:pPr>
    </w:p>
    <w:p w14:paraId="7F6961CB" w14:textId="77777777" w:rsidR="00E13C27" w:rsidRPr="002E7E78" w:rsidRDefault="00E13C27" w:rsidP="008106E8">
      <w:pPr>
        <w:pStyle w:val="Hesber"/>
        <w:rPr>
          <w:rtl/>
        </w:rPr>
      </w:pPr>
    </w:p>
    <w:sectPr w:rsidR="00E13C27" w:rsidRPr="002E7E78" w:rsidSect="00EE099C">
      <w:footerReference w:type="even" r:id="rId11"/>
      <w:footerReference w:type="default" r:id="rId12"/>
      <w:pgSz w:w="11907" w:h="16840" w:code="9"/>
      <w:pgMar w:top="1701" w:right="1134" w:bottom="993"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EE099C">
      <w:rPr>
        <w:rStyle w:val="ab"/>
        <w:noProof/>
        <w:rtl/>
      </w:rPr>
      <w:t>4</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8106E8">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07B926A0" w14:textId="77777777" w:rsidR="008106E8" w:rsidRDefault="008106E8" w:rsidP="008106E8">
      <w:pPr>
        <w:pStyle w:val="a4"/>
        <w:rPr>
          <w:rtl/>
        </w:rPr>
      </w:pPr>
      <w:r>
        <w:rPr>
          <w:rStyle w:val="a6"/>
        </w:rPr>
        <w:footnoteRef/>
      </w:r>
      <w:r>
        <w:rPr>
          <w:rtl/>
        </w:rPr>
        <w:t xml:space="preserve"> </w:t>
      </w:r>
      <w:r>
        <w:rPr>
          <w:rFonts w:hint="cs"/>
          <w:rtl/>
        </w:rPr>
        <w:t xml:space="preserve">דיני מדינת ישראל, נוסח חדש 21, עמ' 459. </w:t>
      </w:r>
    </w:p>
  </w:footnote>
  <w:footnote w:id="3">
    <w:p w14:paraId="650B80FE" w14:textId="77777777" w:rsidR="008106E8" w:rsidRDefault="008106E8" w:rsidP="008106E8">
      <w:pPr>
        <w:pStyle w:val="a4"/>
        <w:rPr>
          <w:rtl/>
        </w:rPr>
      </w:pPr>
      <w:r>
        <w:rPr>
          <w:rStyle w:val="a6"/>
        </w:rPr>
        <w:footnoteRef/>
      </w:r>
      <w:r>
        <w:rPr>
          <w:rtl/>
        </w:rPr>
        <w:t xml:space="preserve"> </w:t>
      </w:r>
      <w:r>
        <w:rPr>
          <w:rFonts w:hint="cs"/>
          <w:rtl/>
        </w:rPr>
        <w:t>ס"ח התשע"ו, עמ' 898.</w:t>
      </w:r>
    </w:p>
  </w:footnote>
  <w:footnote w:id="4">
    <w:p w14:paraId="05608B4F" w14:textId="77777777" w:rsidR="008106E8" w:rsidRDefault="008106E8" w:rsidP="008106E8">
      <w:pPr>
        <w:pStyle w:val="a4"/>
      </w:pPr>
      <w:r>
        <w:rPr>
          <w:rStyle w:val="a6"/>
        </w:rPr>
        <w:footnoteRef/>
      </w:r>
      <w:r>
        <w:rPr>
          <w:rtl/>
        </w:rPr>
        <w:t xml:space="preserve"> </w:t>
      </w:r>
      <w:r>
        <w:rPr>
          <w:rFonts w:hint="cs"/>
          <w:rtl/>
        </w:rPr>
        <w:t>ע"ר התש"ח, תוס' א', עמ' 73.</w:t>
      </w:r>
    </w:p>
  </w:footnote>
  <w:footnote w:id="5">
    <w:p w14:paraId="63CD12EA" w14:textId="77777777" w:rsidR="008106E8" w:rsidRDefault="008106E8" w:rsidP="008106E8">
      <w:pPr>
        <w:pStyle w:val="a4"/>
      </w:pPr>
      <w:r>
        <w:rPr>
          <w:rStyle w:val="a6"/>
        </w:rPr>
        <w:footnoteRef/>
      </w:r>
      <w:r>
        <w:rPr>
          <w:rtl/>
        </w:rPr>
        <w:t xml:space="preserve"> </w:t>
      </w:r>
      <w:r>
        <w:rPr>
          <w:rFonts w:hint="cs"/>
          <w:rtl/>
        </w:rPr>
        <w:t>ע"ר 1945, תס' 2, עמ' (ע) 855, עמ' (א) 1055.</w:t>
      </w:r>
    </w:p>
  </w:footnote>
  <w:footnote w:id="6">
    <w:p w14:paraId="4D5B8435" w14:textId="77777777" w:rsidR="008106E8" w:rsidRDefault="008106E8" w:rsidP="008106E8">
      <w:pPr>
        <w:pStyle w:val="a4"/>
      </w:pPr>
      <w:r>
        <w:rPr>
          <w:rStyle w:val="a6"/>
        </w:rPr>
        <w:footnoteRef/>
      </w:r>
      <w:r>
        <w:rPr>
          <w:rtl/>
        </w:rPr>
        <w:t xml:space="preserve"> </w:t>
      </w:r>
      <w:r>
        <w:rPr>
          <w:rFonts w:hint="cs"/>
          <w:rtl/>
        </w:rPr>
        <w:t>ס"ח התשס"ו, עמ' 364.</w:t>
      </w:r>
    </w:p>
  </w:footnote>
  <w:footnote w:id="7">
    <w:p w14:paraId="4AEBBFFE" w14:textId="77777777" w:rsidR="008106E8" w:rsidRDefault="008106E8" w:rsidP="008106E8">
      <w:pPr>
        <w:pStyle w:val="a4"/>
      </w:pPr>
      <w:r>
        <w:rPr>
          <w:rStyle w:val="a6"/>
        </w:rPr>
        <w:footnoteRef/>
      </w:r>
      <w:r>
        <w:rPr>
          <w:rtl/>
        </w:rPr>
        <w:t xml:space="preserve"> </w:t>
      </w:r>
      <w:r>
        <w:rPr>
          <w:rFonts w:hint="cs"/>
          <w:rtl/>
        </w:rPr>
        <w:t>ק"ת התשכ"ז, עמ' 2741; ס"ח התשכ"ח, עמ' 20; התשע"ז, עמ' 994.</w:t>
      </w:r>
    </w:p>
  </w:footnote>
  <w:footnote w:id="8">
    <w:p w14:paraId="51314BD7" w14:textId="77777777" w:rsidR="008106E8" w:rsidRDefault="008106E8" w:rsidP="008106E8">
      <w:pPr>
        <w:pStyle w:val="a4"/>
      </w:pPr>
      <w:r>
        <w:rPr>
          <w:rStyle w:val="a6"/>
        </w:rPr>
        <w:footnoteRef/>
      </w:r>
      <w:r>
        <w:rPr>
          <w:rtl/>
        </w:rPr>
        <w:t xml:space="preserve"> </w:t>
      </w:r>
      <w:r>
        <w:rPr>
          <w:rFonts w:hint="cs"/>
          <w:rtl/>
        </w:rPr>
        <w:t>קובץ המנשרים התש"ע, עמ' 5902.</w:t>
      </w:r>
    </w:p>
  </w:footnote>
  <w:footnote w:id="9">
    <w:p w14:paraId="6B374567" w14:textId="77777777" w:rsidR="008106E8" w:rsidRDefault="008106E8" w:rsidP="008106E8">
      <w:pPr>
        <w:pStyle w:val="a4"/>
      </w:pPr>
      <w:r>
        <w:rPr>
          <w:rStyle w:val="a6"/>
        </w:rPr>
        <w:footnoteRef/>
      </w:r>
      <w:r>
        <w:rPr>
          <w:rtl/>
        </w:rPr>
        <w:t xml:space="preserve"> </w:t>
      </w:r>
      <w:r>
        <w:rPr>
          <w:rFonts w:hint="cs"/>
          <w:rtl/>
        </w:rPr>
        <w:t>ס"ח התשע"ו, עמ' 898.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E7E78"/>
    <w:rsid w:val="002F1D80"/>
    <w:rsid w:val="003232A2"/>
    <w:rsid w:val="00325C14"/>
    <w:rsid w:val="0036422C"/>
    <w:rsid w:val="00370EB1"/>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6E8"/>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E099C"/>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3029BD70-7744-4770-BE06-65F365923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7E78"/>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2E7E78"/>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2E7E78"/>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2E7E78"/>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2E7E78"/>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2E7E78"/>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2E7E78"/>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2E7E78"/>
    <w:rPr>
      <w:sz w:val="36"/>
      <w:szCs w:val="52"/>
    </w:rPr>
  </w:style>
  <w:style w:type="paragraph" w:customStyle="1" w:styleId="Cover3-Haknesset">
    <w:name w:val="Cover 3-Haknesset"/>
    <w:basedOn w:val="Cover1-Reshumot"/>
    <w:rsid w:val="002E7E78"/>
    <w:rPr>
      <w:b/>
      <w:bCs/>
      <w:spacing w:val="60"/>
    </w:rPr>
  </w:style>
  <w:style w:type="paragraph" w:customStyle="1" w:styleId="Cover4-Date">
    <w:name w:val="Cover 4-Date"/>
    <w:basedOn w:val="a"/>
    <w:rsid w:val="002E7E78"/>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2E7E78"/>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2E7E78"/>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2E7E78"/>
    <w:pPr>
      <w:spacing w:before="120" w:after="120"/>
    </w:pPr>
    <w:rPr>
      <w:color w:val="FF0000"/>
      <w:w w:val="80"/>
    </w:rPr>
  </w:style>
  <w:style w:type="paragraph" w:styleId="a3">
    <w:name w:val="endnote text"/>
    <w:basedOn w:val="a"/>
    <w:semiHidden/>
    <w:rsid w:val="002E7E78"/>
    <w:pPr>
      <w:ind w:left="227" w:hanging="227"/>
    </w:pPr>
    <w:rPr>
      <w:sz w:val="14"/>
      <w:szCs w:val="22"/>
    </w:rPr>
  </w:style>
  <w:style w:type="paragraph" w:customStyle="1" w:styleId="TableText">
    <w:name w:val="Table Text"/>
    <w:basedOn w:val="a"/>
    <w:link w:val="TableText0"/>
    <w:rsid w:val="002E7E78"/>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2E7E78"/>
    <w:pPr>
      <w:outlineLvl w:val="2"/>
    </w:pPr>
  </w:style>
  <w:style w:type="paragraph" w:customStyle="1" w:styleId="TableBlock">
    <w:name w:val="Table Block"/>
    <w:basedOn w:val="TableText"/>
    <w:rsid w:val="002E7E78"/>
    <w:pPr>
      <w:jc w:val="both"/>
    </w:pPr>
  </w:style>
  <w:style w:type="paragraph" w:customStyle="1" w:styleId="TableHead">
    <w:name w:val="Table Head"/>
    <w:basedOn w:val="TableText"/>
    <w:rsid w:val="002E7E78"/>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2E7E78"/>
    <w:pPr>
      <w:outlineLvl w:val="9"/>
    </w:pPr>
  </w:style>
  <w:style w:type="paragraph" w:customStyle="1" w:styleId="Hesber">
    <w:name w:val="Hesber"/>
    <w:basedOn w:val="a"/>
    <w:rsid w:val="002E7E78"/>
    <w:pPr>
      <w:snapToGrid w:val="0"/>
      <w:ind w:left="0" w:firstLine="340"/>
    </w:pPr>
    <w:rPr>
      <w:rFonts w:ascii="Arial" w:eastAsia="Arial Unicode MS" w:hAnsi="Arial"/>
      <w:snapToGrid w:val="0"/>
      <w:sz w:val="20"/>
      <w:szCs w:val="26"/>
    </w:rPr>
  </w:style>
  <w:style w:type="paragraph" w:styleId="a4">
    <w:name w:val="footnote text"/>
    <w:basedOn w:val="a"/>
    <w:link w:val="a5"/>
    <w:autoRedefine/>
    <w:semiHidden/>
    <w:rsid w:val="002E7E78"/>
    <w:pPr>
      <w:snapToGrid w:val="0"/>
      <w:spacing w:line="240" w:lineRule="auto"/>
      <w:ind w:left="0"/>
      <w:jc w:val="left"/>
    </w:pPr>
    <w:rPr>
      <w:rFonts w:ascii="Arial" w:eastAsia="Arial Unicode MS" w:hAnsi="Arial"/>
      <w:snapToGrid w:val="0"/>
      <w:sz w:val="14"/>
      <w:szCs w:val="20"/>
    </w:rPr>
  </w:style>
  <w:style w:type="character" w:styleId="a6">
    <w:name w:val="footnote reference"/>
    <w:aliases w:val="Footnote Reference"/>
    <w:basedOn w:val="a0"/>
    <w:semiHidden/>
    <w:rsid w:val="002E7E78"/>
    <w:rPr>
      <w:vertAlign w:val="superscript"/>
    </w:rPr>
  </w:style>
  <w:style w:type="paragraph" w:customStyle="1" w:styleId="HesberHeading">
    <w:name w:val="Hesber Heading"/>
    <w:basedOn w:val="Hesber"/>
    <w:rsid w:val="002E7E78"/>
    <w:pPr>
      <w:tabs>
        <w:tab w:val="left" w:pos="624"/>
        <w:tab w:val="left" w:pos="1247"/>
      </w:tabs>
    </w:pPr>
    <w:rPr>
      <w:b/>
      <w:bCs/>
    </w:rPr>
  </w:style>
  <w:style w:type="paragraph" w:customStyle="1" w:styleId="HesberWriters">
    <w:name w:val="Hesber Writers"/>
    <w:basedOn w:val="Hesber"/>
    <w:rsid w:val="002E7E78"/>
    <w:pPr>
      <w:spacing w:before="120" w:after="120"/>
      <w:ind w:left="1418"/>
      <w:jc w:val="right"/>
    </w:pPr>
    <w:rPr>
      <w:b/>
      <w:bCs/>
    </w:rPr>
  </w:style>
  <w:style w:type="paragraph" w:customStyle="1" w:styleId="Hesber1st">
    <w:name w:val="Hesber 1st"/>
    <w:basedOn w:val="Hesber"/>
    <w:rsid w:val="002E7E78"/>
    <w:pPr>
      <w:tabs>
        <w:tab w:val="left" w:pos="680"/>
        <w:tab w:val="left" w:pos="1020"/>
      </w:tabs>
      <w:ind w:firstLine="0"/>
    </w:pPr>
  </w:style>
  <w:style w:type="character" w:styleId="a7">
    <w:name w:val="endnote reference"/>
    <w:basedOn w:val="a0"/>
    <w:semiHidden/>
    <w:rsid w:val="002E7E78"/>
    <w:rPr>
      <w:vertAlign w:val="superscript"/>
    </w:rPr>
  </w:style>
  <w:style w:type="paragraph" w:customStyle="1" w:styleId="TableBlockOutdent">
    <w:name w:val="Table BlockOutdent"/>
    <w:basedOn w:val="TableBlock"/>
    <w:rsid w:val="002E7E78"/>
    <w:pPr>
      <w:ind w:left="624" w:hanging="624"/>
    </w:pPr>
  </w:style>
  <w:style w:type="paragraph" w:styleId="a8">
    <w:name w:val="header"/>
    <w:basedOn w:val="a"/>
    <w:rsid w:val="002E7E78"/>
    <w:pPr>
      <w:tabs>
        <w:tab w:val="center" w:pos="4153"/>
        <w:tab w:val="right" w:pos="8306"/>
      </w:tabs>
    </w:pPr>
  </w:style>
  <w:style w:type="paragraph" w:styleId="a9">
    <w:name w:val="footer"/>
    <w:basedOn w:val="a"/>
    <w:rsid w:val="002E7E78"/>
    <w:pPr>
      <w:tabs>
        <w:tab w:val="center" w:pos="4153"/>
        <w:tab w:val="right" w:pos="8306"/>
      </w:tabs>
    </w:pPr>
  </w:style>
  <w:style w:type="paragraph" w:customStyle="1" w:styleId="HeadDivreiHesber">
    <w:name w:val="Head DivreiHesber"/>
    <w:basedOn w:val="a"/>
    <w:rsid w:val="002E7E78"/>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2E7E78"/>
    <w:pPr>
      <w:snapToGrid w:val="0"/>
      <w:jc w:val="left"/>
    </w:pPr>
    <w:rPr>
      <w:rFonts w:ascii="Arial" w:eastAsia="Arial Unicode MS" w:hAnsi="Arial"/>
      <w:snapToGrid w:val="0"/>
      <w:sz w:val="20"/>
      <w:szCs w:val="26"/>
    </w:rPr>
  </w:style>
  <w:style w:type="paragraph" w:styleId="aa">
    <w:name w:val="Title"/>
    <w:basedOn w:val="a"/>
    <w:qFormat/>
    <w:rsid w:val="00943386"/>
    <w:pPr>
      <w:jc w:val="center"/>
    </w:pPr>
    <w:rPr>
      <w:b/>
      <w:bCs/>
      <w:sz w:val="28"/>
      <w:szCs w:val="28"/>
      <w:u w:val="single"/>
    </w:rPr>
  </w:style>
  <w:style w:type="character" w:styleId="ab">
    <w:name w:val="page number"/>
    <w:basedOn w:val="a0"/>
    <w:rsid w:val="002E7E78"/>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c">
    <w:name w:val="Balloon Text"/>
    <w:basedOn w:val="a"/>
    <w:link w:val="ad"/>
    <w:semiHidden/>
    <w:unhideWhenUsed/>
    <w:rsid w:val="00325C14"/>
    <w:pPr>
      <w:spacing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link w:val="a4"/>
    <w:semiHidden/>
    <w:rsid w:val="00370EB1"/>
    <w:rPr>
      <w:rFonts w:ascii="Arial" w:eastAsia="Arial Unicode MS" w:hAnsi="Arial" w:cs="David"/>
      <w:snapToGrid w:val="0"/>
      <w:sz w:val="14"/>
    </w:rPr>
  </w:style>
  <w:style w:type="character" w:customStyle="1" w:styleId="TableText0">
    <w:name w:val="Table Text תו"/>
    <w:link w:val="TableText"/>
    <w:rsid w:val="00370EB1"/>
    <w:rPr>
      <w:rFonts w:ascii="Arial" w:eastAsia="Arial Unicode MS" w:hAnsi="Arial" w:cs="David"/>
      <w:snapToGrid w:val="0"/>
      <w:szCs w:val="26"/>
    </w:rPr>
  </w:style>
  <w:style w:type="character" w:customStyle="1" w:styleId="10">
    <w:name w:val="כותרת 1 תו"/>
    <w:basedOn w:val="a0"/>
    <w:link w:val="1"/>
    <w:uiPriority w:val="9"/>
    <w:rsid w:val="002E7E78"/>
    <w:rPr>
      <w:rFonts w:asciiTheme="majorHAnsi" w:eastAsiaTheme="majorEastAsia" w:hAnsiTheme="majorHAnsi" w:cs="David"/>
      <w:bCs/>
      <w:sz w:val="32"/>
      <w:szCs w:val="36"/>
    </w:rPr>
  </w:style>
  <w:style w:type="character" w:customStyle="1" w:styleId="20">
    <w:name w:val="כותרת 2 תו"/>
    <w:basedOn w:val="a0"/>
    <w:link w:val="2"/>
    <w:rsid w:val="002E7E78"/>
    <w:rPr>
      <w:rFonts w:asciiTheme="majorHAnsi" w:eastAsiaTheme="majorEastAsia" w:hAnsiTheme="majorHAnsi" w:cs="David"/>
      <w:bCs/>
      <w:sz w:val="26"/>
      <w:szCs w:val="36"/>
      <w:u w:val="single"/>
    </w:rPr>
  </w:style>
  <w:style w:type="character" w:customStyle="1" w:styleId="30">
    <w:name w:val="כותרת 3 תו"/>
    <w:basedOn w:val="a0"/>
    <w:link w:val="3"/>
    <w:rsid w:val="002E7E78"/>
    <w:rPr>
      <w:rFonts w:asciiTheme="majorHAnsi" w:eastAsiaTheme="majorEastAsia" w:hAnsiTheme="majorHAnsi" w:cs="David"/>
      <w:sz w:val="24"/>
      <w:szCs w:val="28"/>
      <w:u w:val="double"/>
    </w:rPr>
  </w:style>
  <w:style w:type="character" w:customStyle="1" w:styleId="40">
    <w:name w:val="כותרת 4 תו"/>
    <w:basedOn w:val="a0"/>
    <w:link w:val="4"/>
    <w:uiPriority w:val="9"/>
    <w:rsid w:val="002E7E78"/>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2E7E78"/>
    <w:rPr>
      <w:rFonts w:ascii="David" w:eastAsiaTheme="minorHAnsi" w:hAnsi="David" w:cs="David"/>
      <w:color w:val="000000" w:themeColor="text1"/>
      <w:sz w:val="24"/>
      <w:szCs w:val="24"/>
    </w:rPr>
  </w:style>
  <w:style w:type="paragraph" w:styleId="ae">
    <w:name w:val="TOC Heading"/>
    <w:basedOn w:val="1"/>
    <w:next w:val="a"/>
    <w:uiPriority w:val="39"/>
    <w:unhideWhenUsed/>
    <w:qFormat/>
    <w:rsid w:val="002E7E78"/>
    <w:pPr>
      <w:widowControl/>
      <w:spacing w:before="120" w:after="120"/>
      <w:outlineLvl w:val="9"/>
    </w:pPr>
    <w:rPr>
      <w:rtl/>
      <w:cs/>
    </w:rPr>
  </w:style>
  <w:style w:type="paragraph" w:styleId="TOC1">
    <w:name w:val="toc 1"/>
    <w:basedOn w:val="a"/>
    <w:next w:val="a"/>
    <w:autoRedefine/>
    <w:uiPriority w:val="39"/>
    <w:unhideWhenUsed/>
    <w:rsid w:val="002E7E78"/>
    <w:pPr>
      <w:tabs>
        <w:tab w:val="right" w:leader="dot" w:pos="9629"/>
      </w:tabs>
      <w:spacing w:after="100"/>
    </w:pPr>
    <w:rPr>
      <w:bCs/>
      <w:szCs w:val="22"/>
    </w:rPr>
  </w:style>
  <w:style w:type="paragraph" w:styleId="TOC2">
    <w:name w:val="toc 2"/>
    <w:basedOn w:val="a"/>
    <w:next w:val="a"/>
    <w:uiPriority w:val="39"/>
    <w:unhideWhenUsed/>
    <w:rsid w:val="002E7E78"/>
    <w:pPr>
      <w:tabs>
        <w:tab w:val="right" w:leader="dot" w:pos="9628"/>
      </w:tabs>
      <w:spacing w:after="100"/>
    </w:pPr>
    <w:rPr>
      <w:szCs w:val="22"/>
    </w:rPr>
  </w:style>
  <w:style w:type="character" w:styleId="Hyperlink">
    <w:name w:val="Hyperlink"/>
    <w:basedOn w:val="a0"/>
    <w:uiPriority w:val="99"/>
    <w:unhideWhenUsed/>
    <w:rsid w:val="002E7E78"/>
    <w:rPr>
      <w:color w:val="0000FF" w:themeColor="hyperlink"/>
      <w:u w:val="single"/>
    </w:rPr>
  </w:style>
  <w:style w:type="paragraph" w:styleId="TOC3">
    <w:name w:val="toc 3"/>
    <w:basedOn w:val="a"/>
    <w:next w:val="a"/>
    <w:uiPriority w:val="39"/>
    <w:unhideWhenUsed/>
    <w:rsid w:val="002E7E78"/>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2E7E78"/>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2E7E78"/>
    <w:pPr>
      <w:tabs>
        <w:tab w:val="right" w:leader="dot" w:pos="9628"/>
      </w:tabs>
      <w:spacing w:after="100"/>
      <w:ind w:left="567"/>
    </w:pPr>
    <w:rPr>
      <w:szCs w:val="22"/>
    </w:rPr>
  </w:style>
  <w:style w:type="paragraph" w:styleId="TOC6">
    <w:name w:val="toc 6"/>
    <w:basedOn w:val="a"/>
    <w:next w:val="a"/>
    <w:autoRedefine/>
    <w:semiHidden/>
    <w:unhideWhenUsed/>
    <w:rsid w:val="002E7E78"/>
    <w:pPr>
      <w:spacing w:after="100"/>
      <w:ind w:left="850"/>
    </w:pPr>
  </w:style>
  <w:style w:type="paragraph" w:styleId="TOC7">
    <w:name w:val="toc 7"/>
    <w:basedOn w:val="a"/>
    <w:next w:val="a"/>
    <w:autoRedefine/>
    <w:semiHidden/>
    <w:unhideWhenUsed/>
    <w:rsid w:val="002E7E78"/>
    <w:pPr>
      <w:spacing w:after="100"/>
      <w:ind w:left="1020"/>
    </w:pPr>
  </w:style>
  <w:style w:type="paragraph" w:styleId="TOC8">
    <w:name w:val="toc 8"/>
    <w:basedOn w:val="a"/>
    <w:next w:val="a"/>
    <w:autoRedefine/>
    <w:semiHidden/>
    <w:unhideWhenUsed/>
    <w:rsid w:val="002E7E78"/>
    <w:pPr>
      <w:spacing w:after="100"/>
      <w:ind w:left="1190"/>
    </w:pPr>
  </w:style>
  <w:style w:type="paragraph" w:styleId="TOC9">
    <w:name w:val="toc 9"/>
    <w:basedOn w:val="a"/>
    <w:next w:val="a"/>
    <w:autoRedefine/>
    <w:semiHidden/>
    <w:unhideWhenUsed/>
    <w:rsid w:val="002E7E78"/>
    <w:pPr>
      <w:spacing w:after="100"/>
      <w:ind w:left="1360"/>
    </w:pPr>
  </w:style>
  <w:style w:type="paragraph" w:customStyle="1" w:styleId="TableHead2">
    <w:name w:val="Table Head2"/>
    <w:basedOn w:val="TableHead"/>
    <w:qFormat/>
    <w:rsid w:val="002E7E78"/>
    <w:pPr>
      <w:outlineLvl w:val="9"/>
    </w:pPr>
  </w:style>
  <w:style w:type="paragraph" w:customStyle="1" w:styleId="TableSideHeading2">
    <w:name w:val="Table SideHeading2"/>
    <w:basedOn w:val="TableSideHeading"/>
    <w:autoRedefine/>
    <w:qFormat/>
    <w:rsid w:val="002E7E78"/>
    <w:pPr>
      <w:keepLines w:val="0"/>
      <w:outlineLvl w:val="9"/>
    </w:pPr>
  </w:style>
  <w:style w:type="paragraph" w:customStyle="1" w:styleId="0">
    <w:name w:val="סגנון שורה ראשונה:  0  ס''מ"/>
    <w:basedOn w:val="2"/>
    <w:rsid w:val="002E7E78"/>
    <w:rPr>
      <w:rFonts w:eastAsia="Times New Roman"/>
    </w:rPr>
  </w:style>
  <w:style w:type="paragraph" w:styleId="af">
    <w:name w:val="List Paragraph"/>
    <w:basedOn w:val="a"/>
    <w:uiPriority w:val="34"/>
    <w:qFormat/>
    <w:rsid w:val="002E7E78"/>
    <w:pPr>
      <w:widowControl/>
      <w:spacing w:line="259" w:lineRule="auto"/>
    </w:pPr>
    <w:rPr>
      <w:rFonts w:asciiTheme="minorHAnsi" w:hAnsiTheme="minorHAnsi"/>
      <w:sz w:val="22"/>
    </w:rPr>
  </w:style>
  <w:style w:type="table" w:styleId="af0">
    <w:name w:val="Table Grid"/>
    <w:basedOn w:val="a1"/>
    <w:rsid w:val="002E7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2E7E7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2E7E7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1">
    <w:name w:val="טבלת חקיקה"/>
    <w:basedOn w:val="a1"/>
    <w:uiPriority w:val="99"/>
    <w:rsid w:val="002E7E78"/>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2E7E78"/>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697467741CB98040970A6DBBC195775F" ma:contentTypeVersion="" ma:contentTypeDescription="צור מסמך חדש." ma:contentTypeScope="" ma:versionID="6e55fc6acbead604c2f45a2c1dd20751">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88F4AFE3-9455-419C-8851-785A55F4451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48DDF7E4-64AA-40AC-9B7B-7F8FC1FC5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87BB304-278D-4E25-923B-6A8DA27E2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701</Words>
  <Characters>3505</Characters>
  <Application>Microsoft Office Word</Application>
  <DocSecurity>0</DocSecurity>
  <Lines>29</Lines>
  <Paragraphs>8</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רשומות</vt:lpstr>
      <vt:lpstr>רשומות</vt:lpstr>
    </vt:vector>
  </TitlesOfParts>
  <Company>Knesset</Company>
  <LinksUpToDate>false</LinksUpToDate>
  <CharactersWithSpaces>4198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דפנה ברנאי</cp:lastModifiedBy>
  <cp:revision>7</cp:revision>
  <cp:lastPrinted>2013-07-04T08:25:00Z</cp:lastPrinted>
  <dcterms:created xsi:type="dcterms:W3CDTF">2015-04-20T09:58:00Z</dcterms:created>
  <dcterms:modified xsi:type="dcterms:W3CDTF">2019-05-22T10:33:00Z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0x010100697467741CB98040970A6DBBC195775F</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2079467</vt:r8>
  </property>
</Properties>
</file>