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2079455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יוליה </w:t>
      </w:r>
      <w:proofErr w:type="spellStart"/>
      <w:r>
        <w:rPr>
          <w:rFonts w:hint="cs"/>
          <w:b/>
          <w:bCs/>
          <w:rtl/>
        </w:rPr>
        <w:t>מלינובסקי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6E9F55F9" w:rsidR="00E13C27" w:rsidRDefault="00904591" w:rsidP="00825D4E">
      <w:pPr>
        <w:pStyle w:val="David"/>
        <w:spacing w:before="0"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פ/399/21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מיסוי מקרקעין (שבח ורכישה) (תיקון – אי תחולת פטור ממס שבח על מי שהשכיר דירת מגורים לשוהה שלא כדין),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47"/>
      </w:tblGrid>
      <w:tr w:rsidR="00A43173" w:rsidRPr="004D4A6B" w14:paraId="2E84C721" w14:textId="77777777" w:rsidTr="008D6A19">
        <w:trPr>
          <w:cantSplit/>
        </w:trPr>
        <w:tc>
          <w:tcPr>
            <w:tcW w:w="1871" w:type="dxa"/>
          </w:tcPr>
          <w:p w14:paraId="0F899A40" w14:textId="77777777" w:rsidR="00A43173" w:rsidRPr="00380EB7" w:rsidRDefault="00A43173" w:rsidP="008D6A19">
            <w:pPr>
              <w:pStyle w:val="TableSideHeading"/>
              <w:ind w:right="0"/>
            </w:pPr>
            <w:r w:rsidRPr="00380EB7">
              <w:rPr>
                <w:rtl/>
              </w:rPr>
              <w:t>הוספת סעיף 49</w:t>
            </w:r>
            <w:r w:rsidRPr="00380EB7">
              <w:rPr>
                <w:rFonts w:hint="cs"/>
                <w:rtl/>
              </w:rPr>
              <w:t>ז2</w:t>
            </w:r>
          </w:p>
        </w:tc>
        <w:tc>
          <w:tcPr>
            <w:tcW w:w="624" w:type="dxa"/>
          </w:tcPr>
          <w:p w14:paraId="2CEF32FD" w14:textId="77777777" w:rsidR="00A43173" w:rsidRPr="00380EB7" w:rsidRDefault="00A43173" w:rsidP="008D6A19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6F83CE0D" w14:textId="77777777" w:rsidR="00A43173" w:rsidRPr="004D4A6B" w:rsidRDefault="00A43173" w:rsidP="008D6A19">
            <w:pPr>
              <w:pStyle w:val="TableBlock"/>
              <w:rPr>
                <w:rtl/>
              </w:rPr>
            </w:pPr>
            <w:r w:rsidRPr="00F71340">
              <w:rPr>
                <w:rtl/>
              </w:rPr>
              <w:t>בחוק מיסוי מקרקעין (שבח ורכישה),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</w:t>
            </w:r>
            <w:r w:rsidRPr="00F71340">
              <w:rPr>
                <w:rtl/>
              </w:rPr>
              <w:t>תשכ"ג</w:t>
            </w:r>
            <w:proofErr w:type="spellEnd"/>
            <w:r>
              <w:rPr>
                <w:rFonts w:hint="cs"/>
                <w:rtl/>
              </w:rPr>
              <w:t>–</w:t>
            </w:r>
            <w:r w:rsidRPr="00F71340">
              <w:rPr>
                <w:rtl/>
              </w:rPr>
              <w:t>1963</w:t>
            </w:r>
            <w:r>
              <w:rPr>
                <w:rStyle w:val="a5"/>
                <w:rtl/>
              </w:rPr>
              <w:footnoteReference w:id="2"/>
            </w:r>
            <w:r>
              <w:rPr>
                <w:rtl/>
              </w:rPr>
              <w:t xml:space="preserve">, אחרי סעיף </w:t>
            </w:r>
            <w:r>
              <w:rPr>
                <w:rFonts w:hint="cs"/>
                <w:rtl/>
              </w:rPr>
              <w:t xml:space="preserve">49ז1 </w:t>
            </w:r>
            <w:r>
              <w:rPr>
                <w:rtl/>
              </w:rPr>
              <w:t>יבוא:</w:t>
            </w:r>
          </w:p>
        </w:tc>
      </w:tr>
      <w:tr w:rsidR="00A43173" w14:paraId="17A07698" w14:textId="77777777" w:rsidTr="008D6A19">
        <w:trPr>
          <w:cantSplit/>
        </w:trPr>
        <w:tc>
          <w:tcPr>
            <w:tcW w:w="1871" w:type="dxa"/>
          </w:tcPr>
          <w:p w14:paraId="36D800F3" w14:textId="77777777" w:rsidR="00A43173" w:rsidRDefault="00A43173" w:rsidP="008D6A19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7A93A74" w14:textId="77777777" w:rsidR="00A43173" w:rsidRDefault="00A43173" w:rsidP="008D6A19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52343541" w14:textId="77777777" w:rsidR="00A43173" w:rsidRDefault="00A43173" w:rsidP="008D6A19">
            <w:pPr>
              <w:pStyle w:val="TableInnerSideHeading"/>
            </w:pPr>
            <w:r>
              <w:rPr>
                <w:rFonts w:hint="cs"/>
                <w:rtl/>
              </w:rPr>
              <w:t>"אי תחולת הפטור ממס על מי שהשכיר דירת מגורים לשוהה שלא כדין</w:t>
            </w:r>
          </w:p>
        </w:tc>
        <w:tc>
          <w:tcPr>
            <w:tcW w:w="624" w:type="dxa"/>
          </w:tcPr>
          <w:p w14:paraId="37EBD289" w14:textId="77777777" w:rsidR="00A43173" w:rsidRPr="00380EB7" w:rsidRDefault="00A43173" w:rsidP="008D6A19">
            <w:pPr>
              <w:pStyle w:val="TableText"/>
            </w:pPr>
            <w:r>
              <w:rPr>
                <w:rFonts w:hint="cs"/>
                <w:rtl/>
              </w:rPr>
              <w:t>49ז2.</w:t>
            </w:r>
          </w:p>
        </w:tc>
        <w:tc>
          <w:tcPr>
            <w:tcW w:w="4647" w:type="dxa"/>
          </w:tcPr>
          <w:p w14:paraId="6CF89607" w14:textId="77777777" w:rsidR="00A43173" w:rsidRDefault="00A43173" w:rsidP="008D6A19">
            <w:pPr>
              <w:pStyle w:val="TableBlock"/>
            </w:pPr>
            <w:r>
              <w:rPr>
                <w:rtl/>
              </w:rPr>
              <w:t xml:space="preserve">על אף האמור </w:t>
            </w:r>
            <w:r>
              <w:rPr>
                <w:rFonts w:hint="cs"/>
                <w:rtl/>
              </w:rPr>
              <w:t>בפרק</w:t>
            </w:r>
            <w:r>
              <w:rPr>
                <w:rtl/>
              </w:rPr>
              <w:t xml:space="preserve"> זה, </w:t>
            </w:r>
            <w:r w:rsidRPr="00613393">
              <w:rPr>
                <w:rtl/>
              </w:rPr>
              <w:t xml:space="preserve">בעל דירה </w:t>
            </w:r>
            <w:r>
              <w:rPr>
                <w:rFonts w:hint="cs"/>
                <w:rtl/>
              </w:rPr>
              <w:t xml:space="preserve">המוכר דירת מגורים מזכה לא יהיה זכאי לפטור ממס במכירתה בהתאם להוראות פרק זה אם השכיר אותה טרם המכירה לשוכר שהוא שוהה שלא כדין </w:t>
            </w:r>
            <w:r w:rsidRPr="00613393">
              <w:rPr>
                <w:rtl/>
              </w:rPr>
              <w:t xml:space="preserve">כהגדרתו בסעיף 13(א) </w:t>
            </w:r>
            <w:r>
              <w:rPr>
                <w:rFonts w:hint="cs"/>
                <w:rtl/>
              </w:rPr>
              <w:t>ל</w:t>
            </w:r>
            <w:r w:rsidRPr="00613393">
              <w:rPr>
                <w:rtl/>
              </w:rPr>
              <w:t xml:space="preserve">חוק הכניסה לישראל, </w:t>
            </w:r>
            <w:r>
              <w:rPr>
                <w:rtl/>
              </w:rPr>
              <w:br/>
            </w:r>
            <w:proofErr w:type="spellStart"/>
            <w:r>
              <w:rPr>
                <w:rFonts w:hint="cs"/>
                <w:rtl/>
              </w:rPr>
              <w:t>ה</w:t>
            </w:r>
            <w:r w:rsidRPr="00613393">
              <w:rPr>
                <w:rtl/>
              </w:rPr>
              <w:t>תשי"ב</w:t>
            </w:r>
            <w:proofErr w:type="spellEnd"/>
            <w:r>
              <w:rPr>
                <w:rFonts w:hint="cs"/>
                <w:rtl/>
              </w:rPr>
              <w:t>–</w:t>
            </w:r>
            <w:r w:rsidRPr="00613393">
              <w:rPr>
                <w:rtl/>
              </w:rPr>
              <w:t>1952</w:t>
            </w:r>
            <w:r>
              <w:rPr>
                <w:rStyle w:val="a5"/>
                <w:rtl/>
              </w:rPr>
              <w:footnoteReference w:id="3"/>
            </w:r>
            <w:r>
              <w:rPr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CBE9152" w14:textId="77777777" w:rsidR="00A43173" w:rsidRPr="00B548CA" w:rsidRDefault="00A43173" w:rsidP="00825D4E">
      <w:pPr>
        <w:pStyle w:val="Hesber"/>
        <w:spacing w:line="276" w:lineRule="auto"/>
        <w:rPr>
          <w:rtl/>
        </w:rPr>
      </w:pPr>
      <w:bookmarkStart w:id="8" w:name="_GoBack"/>
      <w:r w:rsidRPr="00B548CA">
        <w:rPr>
          <w:rFonts w:hint="cs"/>
          <w:rtl/>
        </w:rPr>
        <w:t xml:space="preserve">בחוק </w:t>
      </w:r>
      <w:r w:rsidRPr="00B548CA">
        <w:rPr>
          <w:rtl/>
        </w:rPr>
        <w:t>מיסוי מקרקעין (שבח ורכישה),</w:t>
      </w:r>
      <w:r w:rsidRPr="00B548CA">
        <w:rPr>
          <w:rFonts w:hint="cs"/>
          <w:rtl/>
        </w:rPr>
        <w:t xml:space="preserve"> </w:t>
      </w:r>
      <w:proofErr w:type="spellStart"/>
      <w:r w:rsidRPr="00B548CA">
        <w:rPr>
          <w:rFonts w:hint="cs"/>
          <w:rtl/>
        </w:rPr>
        <w:t>ה</w:t>
      </w:r>
      <w:r w:rsidRPr="00B548CA">
        <w:rPr>
          <w:rtl/>
        </w:rPr>
        <w:t>תשכ"ג</w:t>
      </w:r>
      <w:proofErr w:type="spellEnd"/>
      <w:r w:rsidRPr="00B548CA">
        <w:rPr>
          <w:rFonts w:hint="cs"/>
          <w:rtl/>
        </w:rPr>
        <w:t>–</w:t>
      </w:r>
      <w:r w:rsidRPr="00B548CA">
        <w:rPr>
          <w:rtl/>
        </w:rPr>
        <w:t>1963</w:t>
      </w:r>
      <w:r w:rsidRPr="00B548CA">
        <w:rPr>
          <w:rFonts w:hint="cs"/>
          <w:rtl/>
        </w:rPr>
        <w:t>, נקבעו סוגים שונים של פטורים ממס שבח למוכר דירת מגורים מזכה. כך למשל, פטור על דירת מגורים יחידה ופטור לנכס שהתקבל בירושה.</w:t>
      </w:r>
    </w:p>
    <w:p w14:paraId="35D9F80B" w14:textId="77777777" w:rsidR="00A43173" w:rsidRPr="00B548CA" w:rsidRDefault="00A43173" w:rsidP="00825D4E">
      <w:pPr>
        <w:pStyle w:val="Hesber"/>
        <w:spacing w:line="276" w:lineRule="auto"/>
        <w:rPr>
          <w:rtl/>
        </w:rPr>
      </w:pPr>
      <w:r w:rsidRPr="00B548CA">
        <w:rPr>
          <w:rFonts w:hint="cs"/>
          <w:rtl/>
        </w:rPr>
        <w:t>כיום</w:t>
      </w:r>
      <w:r w:rsidRPr="00B548CA">
        <w:rPr>
          <w:rtl/>
        </w:rPr>
        <w:t xml:space="preserve"> יש</w:t>
      </w:r>
      <w:r w:rsidRPr="00B548CA">
        <w:rPr>
          <w:rFonts w:hint="cs"/>
          <w:rtl/>
        </w:rPr>
        <w:t>נם</w:t>
      </w:r>
      <w:r w:rsidRPr="00B548CA">
        <w:rPr>
          <w:rtl/>
        </w:rPr>
        <w:t xml:space="preserve"> אזורים ושכונות במדינת ישראל</w:t>
      </w:r>
      <w:r w:rsidRPr="00B548CA">
        <w:rPr>
          <w:rFonts w:hint="cs"/>
          <w:rtl/>
        </w:rPr>
        <w:t>,</w:t>
      </w:r>
      <w:r w:rsidRPr="00B548CA">
        <w:rPr>
          <w:rtl/>
        </w:rPr>
        <w:t xml:space="preserve"> שבהם בעלי דירות משכירים </w:t>
      </w:r>
      <w:r w:rsidRPr="00B548CA">
        <w:rPr>
          <w:rFonts w:hint="cs"/>
          <w:rtl/>
        </w:rPr>
        <w:t>את דירותיהם</w:t>
      </w:r>
      <w:r w:rsidRPr="00B548CA">
        <w:rPr>
          <w:rtl/>
        </w:rPr>
        <w:t xml:space="preserve"> לשוהים </w:t>
      </w:r>
      <w:r w:rsidRPr="00B548CA">
        <w:rPr>
          <w:rFonts w:hint="cs"/>
          <w:rtl/>
        </w:rPr>
        <w:t xml:space="preserve">שלא כדין ובכך </w:t>
      </w:r>
      <w:r w:rsidRPr="00B548CA">
        <w:rPr>
          <w:rtl/>
        </w:rPr>
        <w:t>פועלים כנגד מדיניות הממשלה</w:t>
      </w:r>
      <w:r w:rsidRPr="00B548CA">
        <w:rPr>
          <w:rFonts w:hint="cs"/>
          <w:rtl/>
        </w:rPr>
        <w:t>.</w:t>
      </w:r>
      <w:r w:rsidRPr="00B548CA">
        <w:rPr>
          <w:rtl/>
        </w:rPr>
        <w:t xml:space="preserve"> </w:t>
      </w:r>
      <w:r w:rsidRPr="00B548CA">
        <w:rPr>
          <w:rFonts w:hint="cs"/>
          <w:rtl/>
        </w:rPr>
        <w:t xml:space="preserve">אותם בעלי דירות </w:t>
      </w:r>
      <w:r w:rsidRPr="00B548CA">
        <w:rPr>
          <w:rtl/>
        </w:rPr>
        <w:t>משכיר</w:t>
      </w:r>
      <w:r w:rsidRPr="00B548CA">
        <w:rPr>
          <w:rFonts w:hint="cs"/>
          <w:rtl/>
        </w:rPr>
        <w:t>י</w:t>
      </w:r>
      <w:r w:rsidRPr="00B548CA">
        <w:rPr>
          <w:rtl/>
        </w:rPr>
        <w:t xml:space="preserve">ם את דירותיהם לשוהים </w:t>
      </w:r>
      <w:r w:rsidRPr="00B548CA">
        <w:rPr>
          <w:rFonts w:hint="cs"/>
          <w:rtl/>
        </w:rPr>
        <w:t xml:space="preserve">שלא כדין, </w:t>
      </w:r>
      <w:r w:rsidRPr="00B548CA">
        <w:rPr>
          <w:rtl/>
        </w:rPr>
        <w:t xml:space="preserve">לרוב תוך גריפת רווחים </w:t>
      </w:r>
      <w:r w:rsidRPr="00B548CA">
        <w:rPr>
          <w:rFonts w:hint="cs"/>
          <w:rtl/>
        </w:rPr>
        <w:t>גבוהים</w:t>
      </w:r>
      <w:r w:rsidRPr="00B548CA">
        <w:rPr>
          <w:rtl/>
        </w:rPr>
        <w:t xml:space="preserve"> מדמי שכירות מופקעים</w:t>
      </w:r>
      <w:r w:rsidRPr="00B548CA">
        <w:rPr>
          <w:rFonts w:hint="cs"/>
          <w:rtl/>
        </w:rPr>
        <w:t>,</w:t>
      </w:r>
      <w:r w:rsidRPr="00B548CA">
        <w:rPr>
          <w:rtl/>
        </w:rPr>
        <w:t xml:space="preserve"> תוך דחיסת</w:t>
      </w:r>
      <w:r w:rsidRPr="00B548CA">
        <w:rPr>
          <w:rFonts w:hint="cs"/>
          <w:rtl/>
        </w:rPr>
        <w:t>ם של</w:t>
      </w:r>
      <w:r w:rsidRPr="00B548CA">
        <w:rPr>
          <w:rtl/>
        </w:rPr>
        <w:t xml:space="preserve"> </w:t>
      </w:r>
      <w:r w:rsidRPr="00B548CA">
        <w:rPr>
          <w:rFonts w:hint="cs"/>
          <w:rtl/>
        </w:rPr>
        <w:t>ה</w:t>
      </w:r>
      <w:r w:rsidRPr="00B548CA">
        <w:rPr>
          <w:rtl/>
        </w:rPr>
        <w:t xml:space="preserve">שוהים </w:t>
      </w:r>
      <w:r w:rsidRPr="00B548CA">
        <w:rPr>
          <w:rFonts w:hint="cs"/>
          <w:rtl/>
        </w:rPr>
        <w:t xml:space="preserve">שלא כדין </w:t>
      </w:r>
      <w:r w:rsidRPr="00B548CA">
        <w:rPr>
          <w:rtl/>
        </w:rPr>
        <w:t xml:space="preserve">לדירות שאינן מיועדות להחיל מספר רב של דיירים. </w:t>
      </w:r>
    </w:p>
    <w:p w14:paraId="264E52D0" w14:textId="77777777" w:rsidR="00F50643" w:rsidRPr="00B548CA" w:rsidRDefault="00A43173" w:rsidP="00825D4E">
      <w:pPr>
        <w:pStyle w:val="Hesber"/>
        <w:spacing w:line="276" w:lineRule="auto"/>
        <w:rPr>
          <w:rtl/>
        </w:rPr>
      </w:pPr>
      <w:r w:rsidRPr="00B548CA">
        <w:rPr>
          <w:rFonts w:hint="cs"/>
          <w:rtl/>
        </w:rPr>
        <w:t>ב</w:t>
      </w:r>
      <w:r w:rsidRPr="00B548CA">
        <w:rPr>
          <w:rtl/>
        </w:rPr>
        <w:t xml:space="preserve">הצעת חוק </w:t>
      </w:r>
      <w:r w:rsidRPr="00B548CA">
        <w:rPr>
          <w:rFonts w:hint="cs"/>
          <w:rtl/>
        </w:rPr>
        <w:t xml:space="preserve">זו מוצע </w:t>
      </w:r>
      <w:r w:rsidRPr="00B548CA">
        <w:rPr>
          <w:rtl/>
        </w:rPr>
        <w:t xml:space="preserve">לקבוע כי בעל דירה אשר השכיר את דירתו לשוהים </w:t>
      </w:r>
      <w:r w:rsidRPr="00B548CA">
        <w:rPr>
          <w:rFonts w:hint="cs"/>
          <w:rtl/>
        </w:rPr>
        <w:t>שלא כדין</w:t>
      </w:r>
      <w:r w:rsidRPr="00B548CA">
        <w:rPr>
          <w:rtl/>
        </w:rPr>
        <w:t>, לא יוכל ל</w:t>
      </w:r>
      <w:r w:rsidRPr="00B548CA">
        <w:rPr>
          <w:rFonts w:hint="cs"/>
          <w:rtl/>
        </w:rPr>
        <w:t>י</w:t>
      </w:r>
      <w:r w:rsidRPr="00B548CA">
        <w:rPr>
          <w:rtl/>
        </w:rPr>
        <w:t xml:space="preserve">הנות מפטור מתשלום מס שבח לפי חוק מיסוי מקרקעין (שבח ורכישה), </w:t>
      </w:r>
      <w:proofErr w:type="spellStart"/>
      <w:r w:rsidRPr="00B548CA">
        <w:rPr>
          <w:rtl/>
        </w:rPr>
        <w:t>התשכ"ג</w:t>
      </w:r>
      <w:proofErr w:type="spellEnd"/>
      <w:r w:rsidRPr="00B548CA">
        <w:rPr>
          <w:rFonts w:hint="cs"/>
          <w:rtl/>
        </w:rPr>
        <w:t>–</w:t>
      </w:r>
      <w:r w:rsidRPr="00B548CA">
        <w:rPr>
          <w:rtl/>
        </w:rPr>
        <w:t xml:space="preserve">1963.  </w:t>
      </w:r>
    </w:p>
    <w:p w14:paraId="060D7E37" w14:textId="20141412" w:rsidR="00A43173" w:rsidRPr="00B548CA" w:rsidRDefault="00A43173" w:rsidP="00825D4E">
      <w:pPr>
        <w:pStyle w:val="Hesber"/>
        <w:spacing w:line="276" w:lineRule="auto"/>
        <w:rPr>
          <w:rtl/>
        </w:rPr>
      </w:pPr>
      <w:r w:rsidRPr="00B548CA">
        <w:rPr>
          <w:rtl/>
        </w:rPr>
        <w:t xml:space="preserve">הצעת חוק זהה </w:t>
      </w:r>
      <w:r w:rsidR="00F50643" w:rsidRPr="00B548CA">
        <w:rPr>
          <w:rFonts w:hint="cs"/>
          <w:rtl/>
        </w:rPr>
        <w:t>הונחה על שולחן הכנסת העשרים</w:t>
      </w:r>
      <w:r w:rsidR="00F50643" w:rsidRPr="00B548CA">
        <w:rPr>
          <w:rtl/>
        </w:rPr>
        <w:t xml:space="preserve"> </w:t>
      </w:r>
      <w:r w:rsidRPr="00B548CA">
        <w:rPr>
          <w:rtl/>
        </w:rPr>
        <w:t xml:space="preserve">על ידי חבר הכנסת עודד פורר </w:t>
      </w:r>
      <w:r w:rsidR="00F50643" w:rsidRPr="00B548CA">
        <w:rPr>
          <w:rFonts w:hint="cs"/>
          <w:rtl/>
        </w:rPr>
        <w:t xml:space="preserve">וקבוצת חברי הכנסת </w:t>
      </w:r>
      <w:r w:rsidRPr="00B548CA">
        <w:rPr>
          <w:rtl/>
        </w:rPr>
        <w:t>(פ/</w:t>
      </w:r>
      <w:r w:rsidRPr="00B548CA">
        <w:rPr>
          <w:rFonts w:hint="cs"/>
          <w:rtl/>
        </w:rPr>
        <w:t>3006</w:t>
      </w:r>
      <w:r w:rsidRPr="00B548CA">
        <w:rPr>
          <w:rtl/>
        </w:rPr>
        <w:t>/20)</w:t>
      </w:r>
      <w:r w:rsidR="00F50643" w:rsidRPr="00B548CA">
        <w:rPr>
          <w:rFonts w:hint="cs"/>
          <w:rtl/>
        </w:rPr>
        <w:t>.</w:t>
      </w:r>
    </w:p>
    <w:p w14:paraId="71B22AB0" w14:textId="77777777" w:rsidR="00825D4E" w:rsidRPr="003C5528" w:rsidRDefault="00825D4E" w:rsidP="00825D4E">
      <w:pPr>
        <w:pStyle w:val="Hesber"/>
        <w:spacing w:line="276" w:lineRule="auto"/>
        <w:rPr>
          <w:rtl/>
        </w:rPr>
      </w:pPr>
      <w:r w:rsidRPr="003C5528">
        <w:rPr>
          <w:rtl/>
        </w:rPr>
        <w:lastRenderedPageBreak/>
        <w:t>---------------------------------</w:t>
      </w:r>
    </w:p>
    <w:p w14:paraId="5B1C9E3E" w14:textId="77777777" w:rsidR="00825D4E" w:rsidRPr="003C5528" w:rsidRDefault="00825D4E" w:rsidP="00825D4E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73EF978C" w14:textId="77777777" w:rsidR="00825D4E" w:rsidRPr="003C5528" w:rsidRDefault="00825D4E" w:rsidP="00825D4E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7F6961CB" w14:textId="12DAA5CE" w:rsidR="00E13C27" w:rsidRDefault="00825D4E" w:rsidP="00825D4E">
      <w:pPr>
        <w:pStyle w:val="Hesber"/>
        <w:spacing w:line="276" w:lineRule="auto"/>
        <w:rPr>
          <w:rtl/>
        </w:rPr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25D4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1F25600" w14:textId="77777777" w:rsidR="00A43173" w:rsidRDefault="00A43173" w:rsidP="00A43173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התשכ</w:t>
      </w:r>
      <w:proofErr w:type="spellEnd"/>
      <w:r>
        <w:rPr>
          <w:rFonts w:hint="cs"/>
          <w:rtl/>
        </w:rPr>
        <w:t>''ג, עמ' 156.</w:t>
      </w:r>
    </w:p>
  </w:footnote>
  <w:footnote w:id="3">
    <w:p w14:paraId="48D9FAFE" w14:textId="77777777" w:rsidR="00A43173" w:rsidRDefault="00A43173" w:rsidP="00A43173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התשי</w:t>
      </w:r>
      <w:proofErr w:type="spellEnd"/>
      <w:r>
        <w:rPr>
          <w:rFonts w:hint="cs"/>
          <w:rtl/>
        </w:rPr>
        <w:t>''ב, עמ' 354.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8628C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25D4E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3173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548CA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50643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37E2EC2-DBAC-4925-BAA4-C3402F93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4E86-8C45-446A-9648-E42D8911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6A884-2446-4FF4-AD36-08E368DF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9</cp:revision>
  <cp:lastPrinted>2019-05-13T05:20:00Z</cp:lastPrinted>
  <dcterms:created xsi:type="dcterms:W3CDTF">2015-04-20T09:58:00Z</dcterms:created>
  <dcterms:modified xsi:type="dcterms:W3CDTF">2019-05-22T10:21:00Z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2079455</vt:r8>
  </property>
</Properties>
</file>