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2079415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עודד פורר</w:t>
      </w:r>
      <w:r>
        <w:br/>
      </w:r>
      <w:r>
        <w:rPr>
          <w:rFonts w:hint="cs"/>
          <w:b/>
          <w:bCs/>
          <w:rtl/>
        </w:rPr>
        <w:t xml:space="preserve"> </w:t>
      </w:r>
      <w:r>
        <w:tab/>
      </w:r>
      <w:r>
        <w:tab/>
      </w:r>
      <w:r>
        <w:tab/>
      </w:r>
      <w:r>
        <w:tab/>
      </w:r>
      <w:r>
        <w:rPr>
          <w:rFonts w:hint="cs"/>
          <w:b/>
          <w:bCs/>
          <w:rtl/>
        </w:rPr>
        <w:t>אלי אבידר</w:t>
      </w:r>
      <w:r>
        <w:br/>
      </w:r>
      <w:r>
        <w:rPr>
          <w:rFonts w:hint="cs"/>
          <w:b/>
          <w:bCs/>
          <w:rtl/>
        </w:rPr>
        <w:t xml:space="preserve"> </w:t>
      </w:r>
      <w:r>
        <w:tab/>
      </w:r>
      <w:r>
        <w:tab/>
      </w:r>
      <w:r>
        <w:tab/>
      </w:r>
      <w:r>
        <w:tab/>
      </w:r>
      <w:r>
        <w:rPr>
          <w:rFonts w:hint="cs"/>
          <w:b/>
          <w:bCs/>
          <w:rtl/>
        </w:rPr>
        <w:t>יוליה מלינובסקי</w:t>
      </w:r>
      <w:r>
        <w:br/>
      </w:r>
      <w:r>
        <w:rPr>
          <w:rFonts w:hint="cs"/>
          <w:b/>
          <w:bCs/>
          <w:rtl/>
        </w:rPr>
        <w:t xml:space="preserve"> </w:t>
      </w:r>
      <w:r>
        <w:tab/>
      </w:r>
      <w:r>
        <w:tab/>
      </w:r>
      <w:r>
        <w:tab/>
      </w:r>
      <w:r>
        <w:tab/>
      </w:r>
      <w:r>
        <w:rPr>
          <w:rFonts w:hint="cs"/>
          <w:b/>
          <w:bCs/>
          <w:rtl/>
        </w:rPr>
        <w:t>יבגני סובה</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172B7C9" w:rsidR="00E13C27" w:rsidRPr="00E06736" w:rsidRDefault="00904591" w:rsidP="00EB26D6">
      <w:pPr>
        <w:pStyle w:val="David"/>
        <w:spacing w:line="240" w:lineRule="auto"/>
        <w:ind w:left="6424" w:firstLine="56"/>
        <w:rPr>
          <w:rtl/>
        </w:rPr>
      </w:pPr>
      <w:bookmarkStart w:id="6" w:name="Private_Number"/>
      <w:r>
        <w:rPr>
          <w:rFonts w:hint="cs"/>
          <w:rtl/>
        </w:rPr>
        <w:t>פ/432/21</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ביטוח בריאות ממלכתי (תיקון – השתתפות עצמית ברכישת תכשיר מרשם מבית מרקחת שאינו בהסדר עם קופת החולים), התשע"ט–2019</w:t>
      </w:r>
      <w:bookmarkEnd w:id="7"/>
    </w:p>
    <w:tbl>
      <w:tblPr>
        <w:bidiVisual/>
        <w:tblW w:w="9639" w:type="dxa"/>
        <w:tblCellMar>
          <w:top w:w="57" w:type="dxa"/>
          <w:left w:w="0" w:type="dxa"/>
          <w:bottom w:w="57" w:type="dxa"/>
          <w:right w:w="0" w:type="dxa"/>
        </w:tblCellMar>
        <w:tblLook w:val="01E0" w:firstRow="1" w:lastRow="1" w:firstColumn="1" w:lastColumn="1" w:noHBand="0" w:noVBand="0"/>
      </w:tblPr>
      <w:tblGrid>
        <w:gridCol w:w="1870"/>
        <w:gridCol w:w="624"/>
        <w:gridCol w:w="624"/>
        <w:gridCol w:w="6521"/>
      </w:tblGrid>
      <w:tr w:rsidR="008D189E" w:rsidRPr="00BA4337" w14:paraId="23EB567D" w14:textId="77777777" w:rsidTr="000B56BF">
        <w:trPr>
          <w:cantSplit/>
        </w:trPr>
        <w:tc>
          <w:tcPr>
            <w:tcW w:w="1870" w:type="dxa"/>
          </w:tcPr>
          <w:p w14:paraId="23CF973E" w14:textId="77777777" w:rsidR="008D189E" w:rsidRPr="00AA078F" w:rsidRDefault="008D189E" w:rsidP="000B56BF">
            <w:pPr>
              <w:pStyle w:val="TableSideHeading"/>
              <w:outlineLvl w:val="9"/>
            </w:pPr>
            <w:r w:rsidRPr="00AA078F">
              <w:rPr>
                <w:rFonts w:hint="eastAsia"/>
                <w:rtl/>
              </w:rPr>
              <w:t>תיקון</w:t>
            </w:r>
            <w:r w:rsidRPr="00AA078F">
              <w:rPr>
                <w:rtl/>
              </w:rPr>
              <w:t xml:space="preserve"> </w:t>
            </w:r>
            <w:r w:rsidRPr="00AA078F">
              <w:rPr>
                <w:rFonts w:hint="eastAsia"/>
                <w:rtl/>
              </w:rPr>
              <w:t>סעיף</w:t>
            </w:r>
            <w:r w:rsidRPr="00AA078F">
              <w:rPr>
                <w:rtl/>
              </w:rPr>
              <w:t xml:space="preserve"> 21ד</w:t>
            </w:r>
          </w:p>
        </w:tc>
        <w:tc>
          <w:tcPr>
            <w:tcW w:w="624" w:type="dxa"/>
          </w:tcPr>
          <w:p w14:paraId="6DE9FC37" w14:textId="77777777" w:rsidR="008D189E" w:rsidRPr="00AA078F" w:rsidRDefault="008D189E" w:rsidP="000B56BF">
            <w:pPr>
              <w:pStyle w:val="TableText"/>
              <w:jc w:val="both"/>
            </w:pPr>
            <w:r w:rsidRPr="00AA078F">
              <w:rPr>
                <w:rtl/>
              </w:rPr>
              <w:t>1.</w:t>
            </w:r>
          </w:p>
        </w:tc>
        <w:tc>
          <w:tcPr>
            <w:tcW w:w="7145" w:type="dxa"/>
            <w:gridSpan w:val="2"/>
          </w:tcPr>
          <w:p w14:paraId="447DA9E4" w14:textId="77777777" w:rsidR="008D189E" w:rsidRPr="00AA078F" w:rsidRDefault="008D189E" w:rsidP="000B56BF">
            <w:pPr>
              <w:pStyle w:val="TableBlock"/>
            </w:pPr>
            <w:r w:rsidRPr="00AA078F">
              <w:rPr>
                <w:rFonts w:hint="eastAsia"/>
                <w:rtl/>
              </w:rPr>
              <w:t>בחוק</w:t>
            </w:r>
            <w:r w:rsidRPr="00AA078F">
              <w:rPr>
                <w:rtl/>
              </w:rPr>
              <w:t xml:space="preserve"> ביטוח בריאות ממלכתי, </w:t>
            </w:r>
            <w:r w:rsidRPr="00AA078F">
              <w:rPr>
                <w:rFonts w:hint="eastAsia"/>
                <w:rtl/>
              </w:rPr>
              <w:t>התשנ</w:t>
            </w:r>
            <w:r w:rsidRPr="00AA078F">
              <w:rPr>
                <w:rtl/>
              </w:rPr>
              <w:t>"ד</w:t>
            </w:r>
            <w:r w:rsidRPr="00AA078F">
              <w:rPr>
                <w:rFonts w:hint="eastAsia"/>
                <w:rtl/>
              </w:rPr>
              <w:t>–</w:t>
            </w:r>
            <w:r w:rsidRPr="00AA078F">
              <w:rPr>
                <w:rtl/>
              </w:rPr>
              <w:t>1994</w:t>
            </w:r>
            <w:r w:rsidRPr="00AA078F">
              <w:rPr>
                <w:vertAlign w:val="superscript"/>
                <w:rtl/>
              </w:rPr>
              <w:footnoteReference w:id="2"/>
            </w:r>
            <w:r w:rsidRPr="00AA078F">
              <w:rPr>
                <w:rtl/>
              </w:rPr>
              <w:t xml:space="preserve">, </w:t>
            </w:r>
            <w:r w:rsidRPr="00AA078F">
              <w:rPr>
                <w:rFonts w:hint="eastAsia"/>
                <w:rtl/>
              </w:rPr>
              <w:t>בסעיף</w:t>
            </w:r>
            <w:r w:rsidRPr="00AA078F">
              <w:rPr>
                <w:rtl/>
              </w:rPr>
              <w:t xml:space="preserve"> 21ד</w:t>
            </w:r>
            <w:r w:rsidRPr="00AA078F">
              <w:t xml:space="preserve"> </w:t>
            </w:r>
            <w:r w:rsidRPr="00AA078F">
              <w:rPr>
                <w:rtl/>
              </w:rPr>
              <w:t xml:space="preserve"> </w:t>
            </w:r>
            <w:r w:rsidRPr="00AA078F">
              <w:rPr>
                <w:rFonts w:hint="eastAsia"/>
                <w:rtl/>
              </w:rPr>
              <w:t>–</w:t>
            </w:r>
            <w:r w:rsidRPr="00AA078F">
              <w:rPr>
                <w:rtl/>
              </w:rPr>
              <w:t xml:space="preserve"> </w:t>
            </w:r>
            <w:r w:rsidRPr="00AA078F">
              <w:rPr>
                <w:rtl/>
              </w:rPr>
              <w:tab/>
            </w:r>
          </w:p>
        </w:tc>
      </w:tr>
      <w:tr w:rsidR="008D189E" w:rsidRPr="00BA4337" w14:paraId="1D1201D8" w14:textId="77777777" w:rsidTr="000B56BF">
        <w:trPr>
          <w:cantSplit/>
        </w:trPr>
        <w:tc>
          <w:tcPr>
            <w:tcW w:w="1870" w:type="dxa"/>
          </w:tcPr>
          <w:p w14:paraId="1661B7E7" w14:textId="77777777" w:rsidR="008D189E" w:rsidRPr="00AA078F" w:rsidDel="0059294B" w:rsidRDefault="008D189E" w:rsidP="000B56BF">
            <w:pPr>
              <w:pStyle w:val="TableSideHeading"/>
              <w:rPr>
                <w:rtl/>
              </w:rPr>
            </w:pPr>
          </w:p>
        </w:tc>
        <w:tc>
          <w:tcPr>
            <w:tcW w:w="624" w:type="dxa"/>
          </w:tcPr>
          <w:p w14:paraId="3DD8DF20" w14:textId="77777777" w:rsidR="008D189E" w:rsidRPr="00AA078F" w:rsidRDefault="008D189E" w:rsidP="000B56BF">
            <w:pPr>
              <w:pStyle w:val="TableText"/>
              <w:rPr>
                <w:rtl/>
              </w:rPr>
            </w:pPr>
          </w:p>
        </w:tc>
        <w:tc>
          <w:tcPr>
            <w:tcW w:w="7145" w:type="dxa"/>
            <w:gridSpan w:val="2"/>
          </w:tcPr>
          <w:p w14:paraId="43F4B008" w14:textId="77777777" w:rsidR="008D189E" w:rsidRPr="00AA078F" w:rsidRDefault="008D189E" w:rsidP="000B56BF">
            <w:pPr>
              <w:pStyle w:val="TableBlock"/>
              <w:rPr>
                <w:rtl/>
              </w:rPr>
            </w:pPr>
            <w:r w:rsidRPr="00AA078F">
              <w:rPr>
                <w:rtl/>
              </w:rPr>
              <w:t>(1)</w:t>
            </w:r>
            <w:r w:rsidRPr="00AA078F">
              <w:rPr>
                <w:rtl/>
              </w:rPr>
              <w:tab/>
            </w:r>
            <w:r w:rsidRPr="00AA078F">
              <w:rPr>
                <w:rFonts w:hint="eastAsia"/>
                <w:rtl/>
              </w:rPr>
              <w:t>אחרי</w:t>
            </w:r>
            <w:r w:rsidRPr="00AA078F">
              <w:rPr>
                <w:rtl/>
              </w:rPr>
              <w:t xml:space="preserve"> סעיף קטן (א) יבוא: </w:t>
            </w:r>
          </w:p>
        </w:tc>
      </w:tr>
      <w:tr w:rsidR="008D189E" w14:paraId="009AFB79" w14:textId="77777777" w:rsidTr="000B56BF">
        <w:trPr>
          <w:cantSplit/>
        </w:trPr>
        <w:tc>
          <w:tcPr>
            <w:tcW w:w="1870" w:type="dxa"/>
          </w:tcPr>
          <w:p w14:paraId="56DD7443" w14:textId="77777777" w:rsidR="008D189E" w:rsidRPr="00AA078F" w:rsidRDefault="008D189E" w:rsidP="000B56BF">
            <w:pPr>
              <w:pStyle w:val="TableSideHeading"/>
            </w:pPr>
          </w:p>
        </w:tc>
        <w:tc>
          <w:tcPr>
            <w:tcW w:w="624" w:type="dxa"/>
          </w:tcPr>
          <w:p w14:paraId="08C22268" w14:textId="77777777" w:rsidR="008D189E" w:rsidRPr="00AA078F" w:rsidRDefault="008D189E" w:rsidP="000B56BF">
            <w:pPr>
              <w:pStyle w:val="TableText"/>
            </w:pPr>
          </w:p>
        </w:tc>
        <w:tc>
          <w:tcPr>
            <w:tcW w:w="624" w:type="dxa"/>
          </w:tcPr>
          <w:p w14:paraId="1AAEB11F" w14:textId="77777777" w:rsidR="008D189E" w:rsidRPr="00AA078F" w:rsidRDefault="008D189E" w:rsidP="000B56BF">
            <w:pPr>
              <w:pStyle w:val="TableBlock"/>
            </w:pPr>
          </w:p>
        </w:tc>
        <w:tc>
          <w:tcPr>
            <w:tcW w:w="6521" w:type="dxa"/>
          </w:tcPr>
          <w:p w14:paraId="3ACDB4B9" w14:textId="77777777" w:rsidR="008D189E" w:rsidRPr="00AA078F" w:rsidRDefault="008D189E" w:rsidP="000B56BF">
            <w:pPr>
              <w:pStyle w:val="TableBlock"/>
            </w:pPr>
            <w:r w:rsidRPr="00AA078F">
              <w:rPr>
                <w:rtl/>
              </w:rPr>
              <w:t>"(א1)</w:t>
            </w:r>
            <w:r w:rsidRPr="00AA078F">
              <w:rPr>
                <w:rtl/>
              </w:rPr>
              <w:tab/>
            </w:r>
            <w:r w:rsidRPr="00AA078F">
              <w:rPr>
                <w:rFonts w:hint="eastAsia"/>
                <w:rtl/>
              </w:rPr>
              <w:t>ההשתתפות</w:t>
            </w:r>
            <w:r w:rsidRPr="00AA078F">
              <w:rPr>
                <w:rtl/>
              </w:rPr>
              <w:t xml:space="preserve"> העצמית של המבוטח ברכישת תכשיר מרשם מבית מרקחת שקיבל גישה למערכת הממוחשבת של הקופה אך אינו נמצא בהסדר </w:t>
            </w:r>
            <w:r w:rsidRPr="00AA078F">
              <w:rPr>
                <w:rFonts w:hint="eastAsia"/>
                <w:rtl/>
              </w:rPr>
              <w:t>עימה</w:t>
            </w:r>
            <w:r w:rsidRPr="00AA078F">
              <w:rPr>
                <w:rtl/>
              </w:rPr>
              <w:t xml:space="preserve">, </w:t>
            </w:r>
            <w:r w:rsidRPr="00AA078F">
              <w:rPr>
                <w:rFonts w:hint="eastAsia"/>
                <w:rtl/>
              </w:rPr>
              <w:t>תהיה</w:t>
            </w:r>
            <w:r w:rsidRPr="00AA078F">
              <w:rPr>
                <w:rtl/>
              </w:rPr>
              <w:t xml:space="preserve"> </w:t>
            </w:r>
            <w:r w:rsidRPr="00AA078F">
              <w:rPr>
                <w:rFonts w:hint="eastAsia"/>
                <w:rtl/>
              </w:rPr>
              <w:t>זהה</w:t>
            </w:r>
            <w:r w:rsidRPr="00AA078F">
              <w:rPr>
                <w:rtl/>
              </w:rPr>
              <w:t xml:space="preserve"> </w:t>
            </w:r>
            <w:r w:rsidRPr="00AA078F">
              <w:rPr>
                <w:rFonts w:hint="eastAsia"/>
                <w:rtl/>
              </w:rPr>
              <w:t>להשתתפות</w:t>
            </w:r>
            <w:r w:rsidRPr="00AA078F">
              <w:rPr>
                <w:rtl/>
              </w:rPr>
              <w:t xml:space="preserve"> </w:t>
            </w:r>
            <w:r w:rsidRPr="00AA078F">
              <w:rPr>
                <w:rFonts w:hint="eastAsia"/>
                <w:rtl/>
              </w:rPr>
              <w:t>העצמית</w:t>
            </w:r>
            <w:r w:rsidRPr="00AA078F">
              <w:rPr>
                <w:rtl/>
              </w:rPr>
              <w:t xml:space="preserve"> </w:t>
            </w:r>
            <w:r w:rsidRPr="00AA078F">
              <w:rPr>
                <w:rFonts w:hint="eastAsia"/>
                <w:rtl/>
              </w:rPr>
              <w:t>שהיה</w:t>
            </w:r>
            <w:r w:rsidRPr="00AA078F">
              <w:rPr>
                <w:rtl/>
              </w:rPr>
              <w:t xml:space="preserve"> </w:t>
            </w:r>
            <w:r w:rsidRPr="00AA078F">
              <w:rPr>
                <w:rFonts w:hint="eastAsia"/>
                <w:rtl/>
              </w:rPr>
              <w:t>משלם</w:t>
            </w:r>
            <w:r w:rsidRPr="00AA078F">
              <w:rPr>
                <w:rtl/>
              </w:rPr>
              <w:t xml:space="preserve"> </w:t>
            </w:r>
            <w:r w:rsidRPr="00AA078F">
              <w:rPr>
                <w:rFonts w:hint="eastAsia"/>
                <w:rtl/>
              </w:rPr>
              <w:t>לו</w:t>
            </w:r>
            <w:r w:rsidRPr="00AA078F">
              <w:rPr>
                <w:rtl/>
              </w:rPr>
              <w:t xml:space="preserve"> </w:t>
            </w:r>
            <w:r w:rsidRPr="00AA078F">
              <w:rPr>
                <w:rFonts w:hint="eastAsia"/>
                <w:rtl/>
              </w:rPr>
              <w:t>היה</w:t>
            </w:r>
            <w:r w:rsidRPr="00AA078F">
              <w:rPr>
                <w:rtl/>
              </w:rPr>
              <w:t xml:space="preserve"> </w:t>
            </w:r>
            <w:r w:rsidRPr="00AA078F">
              <w:rPr>
                <w:rFonts w:hint="eastAsia"/>
                <w:rtl/>
              </w:rPr>
              <w:t>רוכש</w:t>
            </w:r>
            <w:r w:rsidRPr="00AA078F">
              <w:rPr>
                <w:rtl/>
              </w:rPr>
              <w:t xml:space="preserve"> </w:t>
            </w:r>
            <w:r w:rsidRPr="00AA078F">
              <w:rPr>
                <w:rFonts w:hint="eastAsia"/>
                <w:rtl/>
              </w:rPr>
              <w:t>את</w:t>
            </w:r>
            <w:r w:rsidRPr="00AA078F">
              <w:rPr>
                <w:rtl/>
              </w:rPr>
              <w:t xml:space="preserve"> </w:t>
            </w:r>
            <w:r w:rsidRPr="00AA078F">
              <w:rPr>
                <w:rFonts w:hint="eastAsia"/>
                <w:rtl/>
              </w:rPr>
              <w:t>תכשיר</w:t>
            </w:r>
            <w:r w:rsidRPr="00AA078F">
              <w:rPr>
                <w:rtl/>
              </w:rPr>
              <w:t xml:space="preserve"> </w:t>
            </w:r>
            <w:r w:rsidRPr="00AA078F">
              <w:rPr>
                <w:rFonts w:hint="eastAsia"/>
                <w:rtl/>
              </w:rPr>
              <w:t>המרשם</w:t>
            </w:r>
            <w:r w:rsidRPr="00AA078F">
              <w:rPr>
                <w:rtl/>
              </w:rPr>
              <w:t xml:space="preserve"> </w:t>
            </w:r>
            <w:r w:rsidRPr="00AA078F">
              <w:rPr>
                <w:rFonts w:hint="eastAsia"/>
                <w:rtl/>
              </w:rPr>
              <w:t>בבית</w:t>
            </w:r>
            <w:r w:rsidRPr="00AA078F">
              <w:rPr>
                <w:rtl/>
              </w:rPr>
              <w:t xml:space="preserve"> </w:t>
            </w:r>
            <w:r w:rsidRPr="00AA078F">
              <w:rPr>
                <w:rFonts w:hint="eastAsia"/>
                <w:rtl/>
              </w:rPr>
              <w:t>מרקחת</w:t>
            </w:r>
            <w:r w:rsidRPr="00AA078F">
              <w:rPr>
                <w:rtl/>
              </w:rPr>
              <w:t xml:space="preserve"> </w:t>
            </w:r>
            <w:r w:rsidRPr="00AA078F">
              <w:rPr>
                <w:rFonts w:hint="eastAsia"/>
                <w:rtl/>
              </w:rPr>
              <w:t>שבהסדר</w:t>
            </w:r>
            <w:r w:rsidRPr="00AA078F">
              <w:rPr>
                <w:rtl/>
              </w:rPr>
              <w:t xml:space="preserve"> </w:t>
            </w:r>
            <w:r w:rsidRPr="00AA078F">
              <w:rPr>
                <w:rFonts w:hint="eastAsia"/>
                <w:rtl/>
              </w:rPr>
              <w:t>עם</w:t>
            </w:r>
            <w:r w:rsidRPr="00AA078F">
              <w:rPr>
                <w:rtl/>
              </w:rPr>
              <w:t xml:space="preserve"> </w:t>
            </w:r>
            <w:r w:rsidRPr="00AA078F">
              <w:rPr>
                <w:rFonts w:hint="eastAsia"/>
                <w:rtl/>
              </w:rPr>
              <w:t>הקופה</w:t>
            </w:r>
            <w:r w:rsidRPr="00AA078F">
              <w:rPr>
                <w:rtl/>
              </w:rPr>
              <w:t>.";</w:t>
            </w:r>
          </w:p>
        </w:tc>
      </w:tr>
      <w:tr w:rsidR="008D189E" w14:paraId="0887427B" w14:textId="77777777" w:rsidTr="000B56BF">
        <w:trPr>
          <w:cantSplit/>
        </w:trPr>
        <w:tc>
          <w:tcPr>
            <w:tcW w:w="1870" w:type="dxa"/>
          </w:tcPr>
          <w:p w14:paraId="54ADF166" w14:textId="77777777" w:rsidR="008D189E" w:rsidRPr="00AA078F" w:rsidDel="0059294B" w:rsidRDefault="008D189E" w:rsidP="000B56BF">
            <w:pPr>
              <w:pStyle w:val="TableSideHeading"/>
              <w:rPr>
                <w:rtl/>
              </w:rPr>
            </w:pPr>
          </w:p>
        </w:tc>
        <w:tc>
          <w:tcPr>
            <w:tcW w:w="624" w:type="dxa"/>
          </w:tcPr>
          <w:p w14:paraId="3012C8D9" w14:textId="77777777" w:rsidR="008D189E" w:rsidRPr="00AA078F" w:rsidRDefault="008D189E" w:rsidP="000B56BF">
            <w:pPr>
              <w:pStyle w:val="TableText"/>
              <w:rPr>
                <w:rtl/>
              </w:rPr>
            </w:pPr>
          </w:p>
        </w:tc>
        <w:tc>
          <w:tcPr>
            <w:tcW w:w="7145" w:type="dxa"/>
            <w:gridSpan w:val="2"/>
          </w:tcPr>
          <w:p w14:paraId="5BAFF643" w14:textId="77777777" w:rsidR="008D189E" w:rsidRPr="00AA078F" w:rsidRDefault="008D189E" w:rsidP="000B56BF">
            <w:pPr>
              <w:pStyle w:val="TableBlock"/>
              <w:rPr>
                <w:rtl/>
              </w:rPr>
            </w:pPr>
            <w:r w:rsidRPr="00AA078F">
              <w:rPr>
                <w:rtl/>
              </w:rPr>
              <w:t>(2)</w:t>
            </w:r>
            <w:r w:rsidRPr="00AA078F">
              <w:rPr>
                <w:rtl/>
              </w:rPr>
              <w:tab/>
            </w:r>
            <w:r w:rsidRPr="00AA078F">
              <w:rPr>
                <w:rFonts w:hint="eastAsia"/>
                <w:rtl/>
              </w:rPr>
              <w:t>סעיף</w:t>
            </w:r>
            <w:r w:rsidRPr="00AA078F">
              <w:rPr>
                <w:rtl/>
              </w:rPr>
              <w:t xml:space="preserve"> קטן (ז) </w:t>
            </w:r>
            <w:r w:rsidRPr="00AA078F">
              <w:rPr>
                <w:rFonts w:hint="eastAsia"/>
                <w:rtl/>
              </w:rPr>
              <w:t>–</w:t>
            </w:r>
            <w:r w:rsidRPr="00AA078F">
              <w:rPr>
                <w:rtl/>
              </w:rPr>
              <w:t xml:space="preserve"> בטל.</w:t>
            </w:r>
          </w:p>
        </w:tc>
      </w:tr>
      <w:tr w:rsidR="008D189E" w14:paraId="49A535BA" w14:textId="77777777" w:rsidTr="000B56BF">
        <w:trPr>
          <w:cantSplit/>
        </w:trPr>
        <w:tc>
          <w:tcPr>
            <w:tcW w:w="1870" w:type="dxa"/>
          </w:tcPr>
          <w:p w14:paraId="480E2FDE" w14:textId="77777777" w:rsidR="008D189E" w:rsidRPr="00AA078F" w:rsidDel="0059294B" w:rsidRDefault="008D189E" w:rsidP="000B56BF">
            <w:pPr>
              <w:pStyle w:val="TableSideHeading"/>
              <w:rPr>
                <w:rtl/>
              </w:rPr>
            </w:pPr>
            <w:r w:rsidRPr="00AA078F">
              <w:rPr>
                <w:rFonts w:hint="eastAsia"/>
                <w:rtl/>
              </w:rPr>
              <w:t>תיקון</w:t>
            </w:r>
            <w:r w:rsidRPr="00AA078F">
              <w:rPr>
                <w:rtl/>
              </w:rPr>
              <w:t xml:space="preserve"> </w:t>
            </w:r>
            <w:r w:rsidRPr="00AA078F">
              <w:rPr>
                <w:rFonts w:hint="eastAsia"/>
                <w:rtl/>
              </w:rPr>
              <w:t>פקודת</w:t>
            </w:r>
            <w:r w:rsidRPr="00AA078F">
              <w:rPr>
                <w:rtl/>
              </w:rPr>
              <w:t xml:space="preserve"> </w:t>
            </w:r>
            <w:r w:rsidRPr="00AA078F">
              <w:rPr>
                <w:rFonts w:hint="eastAsia"/>
                <w:rtl/>
              </w:rPr>
              <w:t>הרוקחים</w:t>
            </w:r>
          </w:p>
        </w:tc>
        <w:tc>
          <w:tcPr>
            <w:tcW w:w="624" w:type="dxa"/>
          </w:tcPr>
          <w:p w14:paraId="634F208D" w14:textId="77777777" w:rsidR="008D189E" w:rsidRPr="00AA078F" w:rsidRDefault="008D189E" w:rsidP="000B56BF">
            <w:pPr>
              <w:pStyle w:val="TableText"/>
              <w:rPr>
                <w:rtl/>
              </w:rPr>
            </w:pPr>
            <w:r w:rsidRPr="00AA078F">
              <w:rPr>
                <w:rtl/>
              </w:rPr>
              <w:t>2.</w:t>
            </w:r>
          </w:p>
        </w:tc>
        <w:tc>
          <w:tcPr>
            <w:tcW w:w="7145" w:type="dxa"/>
            <w:gridSpan w:val="2"/>
          </w:tcPr>
          <w:p w14:paraId="6DA0B74F" w14:textId="77777777" w:rsidR="008D189E" w:rsidRPr="00AA078F" w:rsidRDefault="008D189E" w:rsidP="000B56BF">
            <w:pPr>
              <w:pStyle w:val="TableBlock"/>
              <w:rPr>
                <w:rtl/>
              </w:rPr>
            </w:pPr>
            <w:r w:rsidRPr="00AA078F">
              <w:rPr>
                <w:rFonts w:hint="eastAsia"/>
                <w:rtl/>
              </w:rPr>
              <w:t>בפקודת</w:t>
            </w:r>
            <w:r w:rsidRPr="00AA078F">
              <w:rPr>
                <w:rtl/>
              </w:rPr>
              <w:t xml:space="preserve"> הרוקחים [נוסח חדש], </w:t>
            </w:r>
            <w:r w:rsidRPr="00AA078F">
              <w:rPr>
                <w:rFonts w:hint="eastAsia"/>
                <w:rtl/>
              </w:rPr>
              <w:t>התשמ</w:t>
            </w:r>
            <w:r w:rsidRPr="00AA078F">
              <w:rPr>
                <w:rtl/>
              </w:rPr>
              <w:t>''א</w:t>
            </w:r>
            <w:r w:rsidRPr="00AA078F">
              <w:rPr>
                <w:rFonts w:hint="eastAsia"/>
                <w:rtl/>
              </w:rPr>
              <w:t>–</w:t>
            </w:r>
            <w:r w:rsidRPr="00AA078F">
              <w:rPr>
                <w:rtl/>
              </w:rPr>
              <w:t>1981</w:t>
            </w:r>
            <w:r w:rsidRPr="000B56BF">
              <w:rPr>
                <w:rtl/>
              </w:rPr>
              <w:footnoteReference w:id="3"/>
            </w:r>
            <w:r w:rsidRPr="00AA078F">
              <w:rPr>
                <w:rtl/>
              </w:rPr>
              <w:t xml:space="preserve"> </w:t>
            </w:r>
            <w:r w:rsidRPr="00AA078F">
              <w:rPr>
                <w:rFonts w:hint="eastAsia"/>
                <w:rtl/>
              </w:rPr>
              <w:t>–</w:t>
            </w:r>
          </w:p>
        </w:tc>
      </w:tr>
      <w:tr w:rsidR="008D189E" w14:paraId="63B01ABF" w14:textId="77777777" w:rsidTr="000B56BF">
        <w:trPr>
          <w:cantSplit/>
        </w:trPr>
        <w:tc>
          <w:tcPr>
            <w:tcW w:w="1870" w:type="dxa"/>
          </w:tcPr>
          <w:p w14:paraId="620B0D4A" w14:textId="77777777" w:rsidR="008D189E" w:rsidRDefault="008D189E" w:rsidP="008D6A19">
            <w:pPr>
              <w:pStyle w:val="TableSideHeading"/>
              <w:rPr>
                <w:rtl/>
              </w:rPr>
            </w:pPr>
          </w:p>
        </w:tc>
        <w:tc>
          <w:tcPr>
            <w:tcW w:w="624" w:type="dxa"/>
          </w:tcPr>
          <w:p w14:paraId="5D09BF3A" w14:textId="77777777" w:rsidR="008D189E" w:rsidRDefault="008D189E" w:rsidP="008D6A19">
            <w:pPr>
              <w:pStyle w:val="TableText"/>
              <w:jc w:val="both"/>
              <w:rPr>
                <w:rtl/>
              </w:rPr>
            </w:pPr>
          </w:p>
        </w:tc>
        <w:tc>
          <w:tcPr>
            <w:tcW w:w="7145" w:type="dxa"/>
            <w:gridSpan w:val="2"/>
          </w:tcPr>
          <w:p w14:paraId="59F9EAC3" w14:textId="77777777" w:rsidR="008D189E" w:rsidRPr="00AA078F" w:rsidRDefault="008D189E" w:rsidP="000B56BF">
            <w:pPr>
              <w:pStyle w:val="TableBlock"/>
              <w:rPr>
                <w:rtl/>
              </w:rPr>
            </w:pPr>
            <w:r w:rsidRPr="00AA078F">
              <w:rPr>
                <w:rtl/>
              </w:rPr>
              <w:t>(1)</w:t>
            </w:r>
            <w:r w:rsidRPr="00AA078F">
              <w:rPr>
                <w:rtl/>
              </w:rPr>
              <w:tab/>
            </w:r>
            <w:r w:rsidRPr="00AA078F">
              <w:rPr>
                <w:rFonts w:hint="eastAsia"/>
                <w:rtl/>
              </w:rPr>
              <w:t>בסעיף</w:t>
            </w:r>
            <w:r w:rsidRPr="00AA078F">
              <w:rPr>
                <w:rtl/>
              </w:rPr>
              <w:t xml:space="preserve"> 19, סעיף קטן (ב) </w:t>
            </w:r>
            <w:r w:rsidRPr="00AA078F">
              <w:rPr>
                <w:rFonts w:hint="eastAsia"/>
                <w:rtl/>
              </w:rPr>
              <w:t>–</w:t>
            </w:r>
            <w:r w:rsidRPr="00AA078F">
              <w:rPr>
                <w:rtl/>
              </w:rPr>
              <w:t xml:space="preserve"> בטל;</w:t>
            </w:r>
          </w:p>
        </w:tc>
      </w:tr>
      <w:tr w:rsidR="008D189E" w14:paraId="31111762" w14:textId="77777777" w:rsidTr="000B56BF">
        <w:trPr>
          <w:cantSplit/>
        </w:trPr>
        <w:tc>
          <w:tcPr>
            <w:tcW w:w="1870" w:type="dxa"/>
          </w:tcPr>
          <w:p w14:paraId="75FEFE68" w14:textId="77777777" w:rsidR="008D189E" w:rsidRDefault="008D189E" w:rsidP="008D6A19">
            <w:pPr>
              <w:pStyle w:val="TableSideHeading"/>
              <w:rPr>
                <w:rtl/>
              </w:rPr>
            </w:pPr>
          </w:p>
        </w:tc>
        <w:tc>
          <w:tcPr>
            <w:tcW w:w="624" w:type="dxa"/>
          </w:tcPr>
          <w:p w14:paraId="5272C0A2" w14:textId="77777777" w:rsidR="008D189E" w:rsidRDefault="008D189E" w:rsidP="008D6A19">
            <w:pPr>
              <w:pStyle w:val="TableText"/>
              <w:jc w:val="both"/>
              <w:rPr>
                <w:rtl/>
              </w:rPr>
            </w:pPr>
          </w:p>
        </w:tc>
        <w:tc>
          <w:tcPr>
            <w:tcW w:w="7143" w:type="dxa"/>
            <w:gridSpan w:val="2"/>
          </w:tcPr>
          <w:p w14:paraId="1754F393" w14:textId="77777777" w:rsidR="008D189E" w:rsidRPr="00AA078F" w:rsidRDefault="008D189E" w:rsidP="000B56BF">
            <w:pPr>
              <w:pStyle w:val="TableBlock"/>
              <w:rPr>
                <w:rtl/>
              </w:rPr>
            </w:pPr>
            <w:r w:rsidRPr="00AA078F">
              <w:rPr>
                <w:rtl/>
              </w:rPr>
              <w:t>(2)</w:t>
            </w:r>
            <w:r w:rsidRPr="00AA078F">
              <w:rPr>
                <w:rtl/>
              </w:rPr>
              <w:tab/>
            </w:r>
            <w:r w:rsidRPr="00AA078F">
              <w:rPr>
                <w:rFonts w:hint="eastAsia"/>
                <w:rtl/>
              </w:rPr>
              <w:t>סעיף</w:t>
            </w:r>
            <w:r w:rsidRPr="00AA078F">
              <w:rPr>
                <w:rtl/>
              </w:rPr>
              <w:t xml:space="preserve"> 27א </w:t>
            </w:r>
            <w:r w:rsidRPr="00AA078F">
              <w:rPr>
                <w:rFonts w:hint="eastAsia"/>
                <w:rtl/>
              </w:rPr>
              <w:t>–</w:t>
            </w:r>
            <w:r w:rsidRPr="00AA078F">
              <w:rPr>
                <w:rtl/>
              </w:rPr>
              <w:t xml:space="preserve"> בטל.</w:t>
            </w:r>
          </w:p>
        </w:tc>
      </w:tr>
    </w:tbl>
    <w:p w14:paraId="7F6961AE" w14:textId="77777777" w:rsidR="00E13C27" w:rsidRDefault="00E13C27" w:rsidP="0021633A">
      <w:pPr>
        <w:pStyle w:val="HeadDivreiHesber"/>
        <w:spacing w:before="0" w:after="0"/>
        <w:rPr>
          <w:rtl/>
        </w:rPr>
      </w:pPr>
    </w:p>
    <w:p w14:paraId="7F6961CA" w14:textId="77777777" w:rsidR="002D1EE3" w:rsidRPr="00AA078F" w:rsidRDefault="002D1EE3" w:rsidP="000B56BF">
      <w:pPr>
        <w:pStyle w:val="HeadDivreiHesber"/>
        <w:rPr>
          <w:rtl/>
        </w:rPr>
      </w:pPr>
      <w:r w:rsidRPr="00AA078F">
        <w:rPr>
          <w:rFonts w:hint="eastAsia"/>
          <w:rtl/>
        </w:rPr>
        <w:t>דברי</w:t>
      </w:r>
      <w:r w:rsidRPr="00AA078F">
        <w:rPr>
          <w:rtl/>
        </w:rPr>
        <w:t xml:space="preserve"> </w:t>
      </w:r>
      <w:r w:rsidRPr="00AA078F">
        <w:rPr>
          <w:rFonts w:hint="eastAsia"/>
          <w:rtl/>
        </w:rPr>
        <w:t>הסבר</w:t>
      </w:r>
    </w:p>
    <w:p w14:paraId="6F0790BB" w14:textId="2AF3779A" w:rsidR="008D189E" w:rsidRPr="00AA078F" w:rsidRDefault="008D189E" w:rsidP="000B56BF">
      <w:pPr>
        <w:pStyle w:val="Hesber"/>
        <w:rPr>
          <w:rtl/>
        </w:rPr>
      </w:pPr>
      <w:r w:rsidRPr="00AA078F">
        <w:rPr>
          <w:rtl/>
        </w:rPr>
        <w:t xml:space="preserve">בעבר כל בית מרקחת פרטי היה מקושר </w:t>
      </w:r>
      <w:r w:rsidRPr="00AA078F">
        <w:rPr>
          <w:rFonts w:hint="eastAsia"/>
          <w:rtl/>
        </w:rPr>
        <w:t>ב</w:t>
      </w:r>
      <w:r w:rsidRPr="00AA078F">
        <w:rPr>
          <w:rtl/>
        </w:rPr>
        <w:t>הסכם עם כל קופות החולים והצרכן יכול היה לבחור היכן לרכוש את תרופות</w:t>
      </w:r>
      <w:r w:rsidRPr="00AA078F">
        <w:rPr>
          <w:rFonts w:hint="eastAsia"/>
          <w:rtl/>
        </w:rPr>
        <w:t>יו</w:t>
      </w:r>
      <w:r w:rsidRPr="00AA078F">
        <w:rPr>
          <w:rtl/>
        </w:rPr>
        <w:t xml:space="preserve">. בשנים האחרונות החליטו קופות החולים לבטל </w:t>
      </w:r>
      <w:r w:rsidRPr="00AA078F">
        <w:rPr>
          <w:rFonts w:hint="eastAsia"/>
          <w:rtl/>
        </w:rPr>
        <w:t>חלק</w:t>
      </w:r>
      <w:r w:rsidRPr="00AA078F">
        <w:rPr>
          <w:rtl/>
        </w:rPr>
        <w:t xml:space="preserve"> </w:t>
      </w:r>
      <w:r w:rsidRPr="00AA078F">
        <w:rPr>
          <w:rFonts w:hint="eastAsia"/>
          <w:rtl/>
        </w:rPr>
        <w:t>מ</w:t>
      </w:r>
      <w:r w:rsidRPr="00AA078F">
        <w:rPr>
          <w:rtl/>
        </w:rPr>
        <w:t>הסכ</w:t>
      </w:r>
      <w:r w:rsidRPr="00AA078F">
        <w:rPr>
          <w:rFonts w:hint="eastAsia"/>
          <w:rtl/>
        </w:rPr>
        <w:t>מי</w:t>
      </w:r>
      <w:r w:rsidRPr="00AA078F">
        <w:rPr>
          <w:rtl/>
        </w:rPr>
        <w:t xml:space="preserve">ם </w:t>
      </w:r>
      <w:r w:rsidRPr="00AA078F">
        <w:rPr>
          <w:rFonts w:hint="eastAsia"/>
          <w:rtl/>
        </w:rPr>
        <w:t>אלה</w:t>
      </w:r>
      <w:r w:rsidRPr="00AA078F">
        <w:rPr>
          <w:rtl/>
        </w:rPr>
        <w:t xml:space="preserve"> </w:t>
      </w:r>
      <w:r w:rsidRPr="00AA078F">
        <w:rPr>
          <w:rFonts w:hint="eastAsia"/>
          <w:rtl/>
        </w:rPr>
        <w:t>ו</w:t>
      </w:r>
      <w:r w:rsidRPr="00AA078F">
        <w:rPr>
          <w:rtl/>
        </w:rPr>
        <w:t xml:space="preserve">לעבוד </w:t>
      </w:r>
      <w:r w:rsidRPr="00AA078F">
        <w:rPr>
          <w:rFonts w:hint="eastAsia"/>
          <w:rtl/>
        </w:rPr>
        <w:t>רק</w:t>
      </w:r>
      <w:r w:rsidRPr="00AA078F">
        <w:rPr>
          <w:rtl/>
        </w:rPr>
        <w:t xml:space="preserve"> עם בתי המרקחת שבבעלותן או עם רשתות הפארם השונות. בת</w:t>
      </w:r>
      <w:r w:rsidRPr="00AA078F">
        <w:rPr>
          <w:rFonts w:hint="eastAsia"/>
          <w:rtl/>
        </w:rPr>
        <w:t>י</w:t>
      </w:r>
      <w:r w:rsidRPr="00AA078F">
        <w:rPr>
          <w:rtl/>
        </w:rPr>
        <w:t xml:space="preserve"> מרקחת פרטי</w:t>
      </w:r>
      <w:r w:rsidRPr="00AA078F">
        <w:rPr>
          <w:rFonts w:hint="eastAsia"/>
          <w:rtl/>
        </w:rPr>
        <w:t>ים</w:t>
      </w:r>
      <w:r w:rsidRPr="00AA078F">
        <w:rPr>
          <w:rtl/>
        </w:rPr>
        <w:t xml:space="preserve"> </w:t>
      </w:r>
      <w:r w:rsidRPr="00AA078F">
        <w:rPr>
          <w:rFonts w:hint="eastAsia"/>
          <w:rtl/>
        </w:rPr>
        <w:t>רבים</w:t>
      </w:r>
      <w:r w:rsidRPr="00AA078F">
        <w:rPr>
          <w:rtl/>
        </w:rPr>
        <w:t xml:space="preserve"> ששירת</w:t>
      </w:r>
      <w:r w:rsidRPr="00AA078F">
        <w:rPr>
          <w:rFonts w:hint="eastAsia"/>
          <w:rtl/>
        </w:rPr>
        <w:t>ו</w:t>
      </w:r>
      <w:r w:rsidRPr="00AA078F">
        <w:rPr>
          <w:rtl/>
        </w:rPr>
        <w:t xml:space="preserve"> נאמנה </w:t>
      </w:r>
      <w:r w:rsidRPr="00AA078F">
        <w:rPr>
          <w:rFonts w:hint="eastAsia"/>
          <w:rtl/>
        </w:rPr>
        <w:t>את</w:t>
      </w:r>
      <w:r w:rsidRPr="00AA078F">
        <w:rPr>
          <w:rtl/>
        </w:rPr>
        <w:t xml:space="preserve"> </w:t>
      </w:r>
      <w:r w:rsidRPr="00AA078F">
        <w:rPr>
          <w:rtl/>
        </w:rPr>
        <w:lastRenderedPageBreak/>
        <w:t>לקוחות קופ</w:t>
      </w:r>
      <w:r w:rsidRPr="00AA078F">
        <w:rPr>
          <w:rFonts w:hint="eastAsia"/>
          <w:rtl/>
        </w:rPr>
        <w:t>ות</w:t>
      </w:r>
      <w:r w:rsidRPr="00AA078F">
        <w:rPr>
          <w:rtl/>
        </w:rPr>
        <w:t xml:space="preserve"> </w:t>
      </w:r>
      <w:r w:rsidRPr="00AA078F">
        <w:rPr>
          <w:rFonts w:hint="eastAsia"/>
          <w:rtl/>
        </w:rPr>
        <w:t>החולים</w:t>
      </w:r>
      <w:r w:rsidRPr="00AA078F">
        <w:rPr>
          <w:rtl/>
        </w:rPr>
        <w:t xml:space="preserve"> במשך שנים רבות, </w:t>
      </w:r>
      <w:r w:rsidRPr="00AA078F">
        <w:rPr>
          <w:rFonts w:hint="eastAsia"/>
          <w:rtl/>
        </w:rPr>
        <w:t>נאלצו</w:t>
      </w:r>
      <w:r w:rsidRPr="00AA078F">
        <w:rPr>
          <w:rtl/>
        </w:rPr>
        <w:t xml:space="preserve"> </w:t>
      </w:r>
      <w:r w:rsidRPr="00AA078F">
        <w:rPr>
          <w:rFonts w:hint="eastAsia"/>
          <w:rtl/>
        </w:rPr>
        <w:t>לסגור</w:t>
      </w:r>
      <w:r w:rsidRPr="00AA078F">
        <w:rPr>
          <w:rtl/>
        </w:rPr>
        <w:t xml:space="preserve"> </w:t>
      </w:r>
      <w:r w:rsidRPr="00AA078F">
        <w:rPr>
          <w:rFonts w:hint="eastAsia"/>
          <w:rtl/>
        </w:rPr>
        <w:t>אם</w:t>
      </w:r>
      <w:r w:rsidRPr="00AA078F">
        <w:rPr>
          <w:rtl/>
        </w:rPr>
        <w:t xml:space="preserve"> </w:t>
      </w:r>
      <w:r w:rsidRPr="00AA078F">
        <w:rPr>
          <w:rFonts w:hint="eastAsia"/>
          <w:rtl/>
        </w:rPr>
        <w:t>שעריהם</w:t>
      </w:r>
      <w:r w:rsidRPr="00AA078F">
        <w:rPr>
          <w:rtl/>
        </w:rPr>
        <w:t xml:space="preserve"> ברגע שנפתח בסמוך אליהם בית מרקחת ששייך לאחת מרשתות הפארם או בית מרקחת של הקופה מאחר והתשלום עבור תכשיר המרשם היה בתעריף מלא ללא הנחה לה זכו לקוחות הקופות בבתי המרקחת של הקופה או בבתי מרקחת שבהסדר עם קופה. </w:t>
      </w:r>
    </w:p>
    <w:p w14:paraId="10484F78" w14:textId="5940287C" w:rsidR="008D189E" w:rsidRPr="00AA078F" w:rsidRDefault="008D189E" w:rsidP="000B56BF">
      <w:pPr>
        <w:pStyle w:val="Hesber"/>
        <w:rPr>
          <w:rtl/>
        </w:rPr>
      </w:pPr>
      <w:r w:rsidRPr="00AA078F">
        <w:rPr>
          <w:rtl/>
        </w:rPr>
        <w:t xml:space="preserve">לאחרונה, תוקן חוק ביטוח בריאות ממלכתי, </w:t>
      </w:r>
      <w:r w:rsidRPr="00AA078F">
        <w:rPr>
          <w:rFonts w:hint="eastAsia"/>
          <w:rtl/>
        </w:rPr>
        <w:t>התשנ</w:t>
      </w:r>
      <w:r w:rsidRPr="00AA078F">
        <w:rPr>
          <w:rtl/>
        </w:rPr>
        <w:t>''ד</w:t>
      </w:r>
      <w:r w:rsidRPr="00AA078F">
        <w:rPr>
          <w:rFonts w:hint="eastAsia"/>
          <w:rtl/>
        </w:rPr>
        <w:t>–</w:t>
      </w:r>
      <w:r w:rsidRPr="00AA078F">
        <w:rPr>
          <w:rtl/>
        </w:rPr>
        <w:t>1994, והוטלה חובה על קופות החולים לאפשר לכל בית מרקחת ובכלל זה לבית מרקחת שאין לו הסדר עם הקופה, גישה למערכת הממוחשבת שלה לשם ניפוק של מרש</w:t>
      </w:r>
      <w:r w:rsidRPr="00AA078F">
        <w:rPr>
          <w:rFonts w:hint="eastAsia"/>
          <w:rtl/>
        </w:rPr>
        <w:t>ם</w:t>
      </w:r>
      <w:r w:rsidRPr="00AA078F">
        <w:rPr>
          <w:rtl/>
        </w:rPr>
        <w:t xml:space="preserve"> אלקטרוני. </w:t>
      </w:r>
    </w:p>
    <w:p w14:paraId="691820B5" w14:textId="77777777" w:rsidR="00AA078F" w:rsidRPr="00AA078F" w:rsidRDefault="008D189E" w:rsidP="000B56BF">
      <w:pPr>
        <w:pStyle w:val="Hesber"/>
        <w:rPr>
          <w:rtl/>
        </w:rPr>
      </w:pPr>
      <w:r w:rsidRPr="00AA078F">
        <w:rPr>
          <w:rFonts w:hint="eastAsia"/>
          <w:rtl/>
        </w:rPr>
        <w:t>בהמשך</w:t>
      </w:r>
      <w:r w:rsidRPr="00AA078F">
        <w:rPr>
          <w:rtl/>
        </w:rPr>
        <w:t xml:space="preserve"> לתיקון האמור, מוצע לקבוע כי ההשתתפות העצמית של מבוטח ברכישת תכשיר מרשם מבית מרקחת שאינו של הקופה ואין לו הסדר עמה, תהיה זהה להשתתפות העצמית שהיה משלם לו היה רוכש את התכשיר בבית מרקחת שיש לו הסדר עם הקופה. </w:t>
      </w:r>
    </w:p>
    <w:p w14:paraId="411D7A0C" w14:textId="464EDFF0" w:rsidR="008D189E" w:rsidRDefault="008D189E" w:rsidP="00DD31BF">
      <w:pPr>
        <w:pStyle w:val="Hesber"/>
        <w:rPr>
          <w:rtl/>
        </w:rPr>
      </w:pPr>
      <w:r w:rsidRPr="00AA078F">
        <w:rPr>
          <w:rtl/>
        </w:rPr>
        <w:t>הצע</w:t>
      </w:r>
      <w:r w:rsidR="00DD31BF">
        <w:rPr>
          <w:rFonts w:hint="cs"/>
          <w:rtl/>
        </w:rPr>
        <w:t>ו</w:t>
      </w:r>
      <w:r w:rsidRPr="00AA078F">
        <w:rPr>
          <w:rtl/>
        </w:rPr>
        <w:t>ת חוק זה</w:t>
      </w:r>
      <w:r w:rsidR="00DD31BF">
        <w:rPr>
          <w:rFonts w:hint="cs"/>
          <w:rtl/>
        </w:rPr>
        <w:t>ות</w:t>
      </w:r>
      <w:r w:rsidR="00AA078F" w:rsidRPr="00AA078F">
        <w:rPr>
          <w:rtl/>
        </w:rPr>
        <w:t xml:space="preserve"> הונח</w:t>
      </w:r>
      <w:r w:rsidR="00DD31BF">
        <w:rPr>
          <w:rFonts w:hint="cs"/>
          <w:rtl/>
        </w:rPr>
        <w:t>ו</w:t>
      </w:r>
      <w:r w:rsidR="00AA078F" w:rsidRPr="00AA078F">
        <w:rPr>
          <w:rtl/>
        </w:rPr>
        <w:t xml:space="preserve"> על שולחן </w:t>
      </w:r>
      <w:r w:rsidR="00AA078F" w:rsidRPr="00AA078F">
        <w:rPr>
          <w:rFonts w:hint="eastAsia"/>
          <w:rtl/>
        </w:rPr>
        <w:t>הכנסת</w:t>
      </w:r>
      <w:r w:rsidR="00AA078F" w:rsidRPr="00AA078F">
        <w:rPr>
          <w:rtl/>
        </w:rPr>
        <w:t xml:space="preserve"> </w:t>
      </w:r>
      <w:r w:rsidR="00AA078F" w:rsidRPr="00AA078F">
        <w:rPr>
          <w:rFonts w:hint="eastAsia"/>
          <w:rtl/>
        </w:rPr>
        <w:t>העשרים</w:t>
      </w:r>
      <w:r w:rsidRPr="00AA078F">
        <w:rPr>
          <w:rtl/>
        </w:rPr>
        <w:t xml:space="preserve"> על ידי חבר הכנסת עודד פורר</w:t>
      </w:r>
      <w:r w:rsidR="00AA078F" w:rsidRPr="00AA078F">
        <w:rPr>
          <w:rtl/>
        </w:rPr>
        <w:t xml:space="preserve"> וקבוצת חברי הכנסת</w:t>
      </w:r>
      <w:r w:rsidRPr="00AA078F">
        <w:rPr>
          <w:rtl/>
        </w:rPr>
        <w:t xml:space="preserve"> </w:t>
      </w:r>
      <w:r w:rsidR="00AA078F" w:rsidRPr="00AA078F">
        <w:rPr>
          <w:rtl/>
        </w:rPr>
        <w:t>(</w:t>
      </w:r>
      <w:r w:rsidRPr="00AA078F">
        <w:rPr>
          <w:rtl/>
        </w:rPr>
        <w:t>פ/5970/20)</w:t>
      </w:r>
      <w:r w:rsidR="00AA078F" w:rsidRPr="00AA078F">
        <w:rPr>
          <w:rtl/>
        </w:rPr>
        <w:t xml:space="preserve"> ועל ידי חברת הכנסת נורית קורן (פ/5971/20).</w:t>
      </w:r>
    </w:p>
    <w:p w14:paraId="6BD704F9" w14:textId="77777777" w:rsidR="00E934B3" w:rsidRDefault="00E934B3" w:rsidP="00DD31BF">
      <w:pPr>
        <w:pStyle w:val="Hesber"/>
        <w:rPr>
          <w:rtl/>
        </w:rPr>
      </w:pPr>
      <w:bookmarkStart w:id="8" w:name="_GoBack"/>
      <w:bookmarkEnd w:id="8"/>
    </w:p>
    <w:p w14:paraId="0D25E246" w14:textId="77777777" w:rsidR="00DD31BF" w:rsidRPr="00D73212" w:rsidRDefault="00DD31BF" w:rsidP="00DD31BF">
      <w:pPr>
        <w:pStyle w:val="Hesber"/>
        <w:rPr>
          <w:rtl/>
        </w:rPr>
      </w:pPr>
      <w:r w:rsidRPr="00D73212">
        <w:rPr>
          <w:rtl/>
        </w:rPr>
        <w:t>---------------------------------</w:t>
      </w:r>
    </w:p>
    <w:p w14:paraId="01665C5E" w14:textId="77777777" w:rsidR="00DD31BF" w:rsidRPr="00D73212" w:rsidRDefault="00DD31BF" w:rsidP="00DD31BF">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4EF239D2" w14:textId="77777777" w:rsidR="00DD31BF" w:rsidRPr="00D73212" w:rsidRDefault="00DD31BF" w:rsidP="00DD31BF">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3DA1058E" w14:textId="77777777" w:rsidR="00DD31BF" w:rsidRPr="00317312" w:rsidRDefault="00DD31BF" w:rsidP="00DD31BF">
      <w:pPr>
        <w:pStyle w:val="Hesber"/>
      </w:pPr>
      <w:r>
        <w:rPr>
          <w:rFonts w:hint="cs"/>
          <w:rtl/>
        </w:rPr>
        <w:t>כ"ב באייר</w:t>
      </w:r>
      <w:r w:rsidRPr="00D73212">
        <w:rPr>
          <w:rtl/>
        </w:rPr>
        <w:t xml:space="preserve"> </w:t>
      </w:r>
      <w:r w:rsidRPr="00D73212">
        <w:rPr>
          <w:rFonts w:hint="cs"/>
          <w:rtl/>
        </w:rPr>
        <w:t>התשע</w:t>
      </w:r>
      <w:r w:rsidRPr="00D73212">
        <w:rPr>
          <w:rtl/>
        </w:rPr>
        <w:t>"</w:t>
      </w:r>
      <w:r>
        <w:rPr>
          <w:rFonts w:hint="cs"/>
          <w:rtl/>
        </w:rPr>
        <w:t xml:space="preserve">ט </w:t>
      </w:r>
      <w:r w:rsidRPr="00D73212">
        <w:rPr>
          <w:rtl/>
        </w:rPr>
        <w:t>–</w:t>
      </w:r>
      <w:r>
        <w:rPr>
          <w:rFonts w:hint="cs"/>
          <w:rtl/>
        </w:rPr>
        <w:t xml:space="preserve"> 27.5</w:t>
      </w:r>
      <w:r w:rsidRPr="00D73212">
        <w:rPr>
          <w:rtl/>
        </w:rPr>
        <w:t>.</w:t>
      </w:r>
      <w:r>
        <w:rPr>
          <w:rFonts w:hint="cs"/>
          <w:rtl/>
        </w:rPr>
        <w:t xml:space="preserve">19  </w:t>
      </w:r>
    </w:p>
    <w:p w14:paraId="5AF1E688" w14:textId="77777777" w:rsidR="00DD31BF" w:rsidRPr="00DD31BF" w:rsidRDefault="00DD31BF" w:rsidP="00DD31BF">
      <w:pPr>
        <w:pStyle w:val="Hesber"/>
        <w:rPr>
          <w:rtl/>
        </w:rPr>
      </w:pPr>
    </w:p>
    <w:p w14:paraId="7F6961CB" w14:textId="77777777" w:rsidR="00E13C27" w:rsidRDefault="00E13C27" w:rsidP="00E13C27">
      <w:pPr>
        <w:pStyle w:val="Hesber"/>
        <w:rPr>
          <w:rtl/>
        </w:rPr>
      </w:pPr>
    </w:p>
    <w:sectPr w:rsidR="00E13C27" w:rsidSect="000B56BF">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934B3">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0B56BF">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7BAE14A" w14:textId="77777777" w:rsidR="008D189E" w:rsidRDefault="008D189E" w:rsidP="008D189E">
      <w:pPr>
        <w:pStyle w:val="a4"/>
      </w:pPr>
      <w:r>
        <w:rPr>
          <w:rStyle w:val="a6"/>
        </w:rPr>
        <w:footnoteRef/>
      </w:r>
      <w:r>
        <w:rPr>
          <w:rtl/>
        </w:rPr>
        <w:t xml:space="preserve"> </w:t>
      </w:r>
      <w:r>
        <w:rPr>
          <w:rFonts w:hint="cs"/>
          <w:rtl/>
        </w:rPr>
        <w:t>ס"ח התשנ"ד, עמ' 156.</w:t>
      </w:r>
    </w:p>
  </w:footnote>
  <w:footnote w:id="3">
    <w:p w14:paraId="5761DA27" w14:textId="77777777" w:rsidR="008D189E" w:rsidRDefault="008D189E" w:rsidP="008D189E">
      <w:pPr>
        <w:pStyle w:val="a4"/>
      </w:pPr>
      <w:r>
        <w:rPr>
          <w:rStyle w:val="a6"/>
        </w:rPr>
        <w:footnoteRef/>
      </w:r>
      <w:r>
        <w:rPr>
          <w:rtl/>
        </w:rPr>
        <w:t xml:space="preserve"> </w:t>
      </w:r>
      <w:r>
        <w:rPr>
          <w:rFonts w:hint="cs"/>
          <w:rtl/>
        </w:rPr>
        <w:t>דיני מדינת ישראל, נוסח חדש 35, עמ' 694.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B56BF"/>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D189E"/>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078F"/>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53BAE"/>
    <w:rsid w:val="00C9176A"/>
    <w:rsid w:val="00CF1AA2"/>
    <w:rsid w:val="00D142D3"/>
    <w:rsid w:val="00D17774"/>
    <w:rsid w:val="00D63620"/>
    <w:rsid w:val="00D8410D"/>
    <w:rsid w:val="00D867D7"/>
    <w:rsid w:val="00DB7060"/>
    <w:rsid w:val="00DD31BF"/>
    <w:rsid w:val="00DE3153"/>
    <w:rsid w:val="00E06736"/>
    <w:rsid w:val="00E13C27"/>
    <w:rsid w:val="00E33BBD"/>
    <w:rsid w:val="00E374F2"/>
    <w:rsid w:val="00E45103"/>
    <w:rsid w:val="00E55A60"/>
    <w:rsid w:val="00E62778"/>
    <w:rsid w:val="00E635A2"/>
    <w:rsid w:val="00E63D38"/>
    <w:rsid w:val="00E665B9"/>
    <w:rsid w:val="00E934B3"/>
    <w:rsid w:val="00EA01E6"/>
    <w:rsid w:val="00EA3DE8"/>
    <w:rsid w:val="00EA758F"/>
    <w:rsid w:val="00EB26D6"/>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2555805-D4E9-4B62-B08C-6590D8DD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78F"/>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AA078F"/>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AA078F"/>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AA078F"/>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AA078F"/>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AA078F"/>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AA078F"/>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AA078F"/>
    <w:rPr>
      <w:sz w:val="36"/>
      <w:szCs w:val="52"/>
    </w:rPr>
  </w:style>
  <w:style w:type="paragraph" w:customStyle="1" w:styleId="Cover3-Haknesset">
    <w:name w:val="Cover 3-Haknesset"/>
    <w:basedOn w:val="Cover1-Reshumot"/>
    <w:rsid w:val="00AA078F"/>
    <w:rPr>
      <w:b/>
      <w:bCs/>
      <w:spacing w:val="60"/>
    </w:rPr>
  </w:style>
  <w:style w:type="paragraph" w:customStyle="1" w:styleId="Cover4-Date">
    <w:name w:val="Cover 4-Date"/>
    <w:basedOn w:val="a"/>
    <w:rsid w:val="00AA078F"/>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AA078F"/>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AA078F"/>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AA078F"/>
    <w:pPr>
      <w:spacing w:before="120" w:after="120"/>
    </w:pPr>
    <w:rPr>
      <w:color w:val="FF0000"/>
      <w:w w:val="80"/>
    </w:rPr>
  </w:style>
  <w:style w:type="paragraph" w:styleId="a3">
    <w:name w:val="endnote text"/>
    <w:basedOn w:val="a"/>
    <w:semiHidden/>
    <w:rsid w:val="00AA078F"/>
    <w:pPr>
      <w:ind w:left="227" w:hanging="227"/>
    </w:pPr>
    <w:rPr>
      <w:sz w:val="14"/>
      <w:szCs w:val="22"/>
    </w:rPr>
  </w:style>
  <w:style w:type="paragraph" w:customStyle="1" w:styleId="TableText">
    <w:name w:val="Table Text"/>
    <w:basedOn w:val="a"/>
    <w:rsid w:val="00AA078F"/>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AA078F"/>
    <w:pPr>
      <w:outlineLvl w:val="2"/>
    </w:pPr>
  </w:style>
  <w:style w:type="paragraph" w:customStyle="1" w:styleId="TableBlock">
    <w:name w:val="Table Block"/>
    <w:basedOn w:val="TableText"/>
    <w:rsid w:val="00AA078F"/>
    <w:pPr>
      <w:jc w:val="both"/>
    </w:pPr>
  </w:style>
  <w:style w:type="paragraph" w:customStyle="1" w:styleId="TableHead">
    <w:name w:val="Table Head"/>
    <w:basedOn w:val="TableText"/>
    <w:rsid w:val="00AA078F"/>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AA078F"/>
    <w:pPr>
      <w:outlineLvl w:val="9"/>
    </w:pPr>
  </w:style>
  <w:style w:type="paragraph" w:customStyle="1" w:styleId="Hesber">
    <w:name w:val="Hesber"/>
    <w:basedOn w:val="a"/>
    <w:rsid w:val="00AA078F"/>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AA078F"/>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AA078F"/>
    <w:rPr>
      <w:vertAlign w:val="superscript"/>
    </w:rPr>
  </w:style>
  <w:style w:type="paragraph" w:customStyle="1" w:styleId="HesberHeading">
    <w:name w:val="Hesber Heading"/>
    <w:basedOn w:val="Hesber"/>
    <w:rsid w:val="00AA078F"/>
    <w:pPr>
      <w:tabs>
        <w:tab w:val="left" w:pos="624"/>
        <w:tab w:val="left" w:pos="1247"/>
      </w:tabs>
    </w:pPr>
    <w:rPr>
      <w:b/>
      <w:bCs/>
    </w:rPr>
  </w:style>
  <w:style w:type="paragraph" w:customStyle="1" w:styleId="HesberWriters">
    <w:name w:val="Hesber Writers"/>
    <w:basedOn w:val="Hesber"/>
    <w:rsid w:val="00AA078F"/>
    <w:pPr>
      <w:spacing w:before="120" w:after="120"/>
      <w:ind w:left="1418"/>
      <w:jc w:val="right"/>
    </w:pPr>
    <w:rPr>
      <w:b/>
      <w:bCs/>
    </w:rPr>
  </w:style>
  <w:style w:type="paragraph" w:customStyle="1" w:styleId="Hesber1st">
    <w:name w:val="Hesber 1st"/>
    <w:basedOn w:val="Hesber"/>
    <w:rsid w:val="00AA078F"/>
    <w:pPr>
      <w:tabs>
        <w:tab w:val="left" w:pos="680"/>
        <w:tab w:val="left" w:pos="1020"/>
      </w:tabs>
      <w:ind w:firstLine="0"/>
    </w:pPr>
  </w:style>
  <w:style w:type="character" w:styleId="a7">
    <w:name w:val="endnote reference"/>
    <w:basedOn w:val="a0"/>
    <w:semiHidden/>
    <w:rsid w:val="00AA078F"/>
    <w:rPr>
      <w:vertAlign w:val="superscript"/>
    </w:rPr>
  </w:style>
  <w:style w:type="paragraph" w:customStyle="1" w:styleId="TableBlockOutdent">
    <w:name w:val="Table BlockOutdent"/>
    <w:basedOn w:val="TableBlock"/>
    <w:rsid w:val="00AA078F"/>
    <w:pPr>
      <w:ind w:left="624" w:hanging="624"/>
    </w:pPr>
  </w:style>
  <w:style w:type="paragraph" w:styleId="a8">
    <w:name w:val="header"/>
    <w:basedOn w:val="a"/>
    <w:rsid w:val="00AA078F"/>
    <w:pPr>
      <w:tabs>
        <w:tab w:val="center" w:pos="4153"/>
        <w:tab w:val="right" w:pos="8306"/>
      </w:tabs>
    </w:pPr>
  </w:style>
  <w:style w:type="paragraph" w:styleId="a9">
    <w:name w:val="footer"/>
    <w:basedOn w:val="a"/>
    <w:rsid w:val="00AA078F"/>
    <w:pPr>
      <w:tabs>
        <w:tab w:val="center" w:pos="4153"/>
        <w:tab w:val="right" w:pos="8306"/>
      </w:tabs>
    </w:pPr>
  </w:style>
  <w:style w:type="paragraph" w:customStyle="1" w:styleId="HeadDivreiHesber">
    <w:name w:val="Head DivreiHesber"/>
    <w:basedOn w:val="a"/>
    <w:rsid w:val="00AA078F"/>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AA078F"/>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AA078F"/>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8D189E"/>
    <w:rPr>
      <w:rFonts w:ascii="Arial" w:eastAsia="Arial Unicode MS" w:hAnsi="Arial" w:cs="David"/>
      <w:snapToGrid w:val="0"/>
      <w:sz w:val="14"/>
    </w:rPr>
  </w:style>
  <w:style w:type="character" w:customStyle="1" w:styleId="10">
    <w:name w:val="כותרת 1 תו"/>
    <w:basedOn w:val="a0"/>
    <w:link w:val="1"/>
    <w:uiPriority w:val="9"/>
    <w:rsid w:val="00AA078F"/>
    <w:rPr>
      <w:rFonts w:asciiTheme="majorHAnsi" w:eastAsiaTheme="majorEastAsia" w:hAnsiTheme="majorHAnsi" w:cs="David"/>
      <w:bCs/>
      <w:sz w:val="32"/>
      <w:szCs w:val="36"/>
    </w:rPr>
  </w:style>
  <w:style w:type="character" w:customStyle="1" w:styleId="20">
    <w:name w:val="כותרת 2 תו"/>
    <w:basedOn w:val="a0"/>
    <w:link w:val="2"/>
    <w:rsid w:val="00AA078F"/>
    <w:rPr>
      <w:rFonts w:asciiTheme="majorHAnsi" w:eastAsiaTheme="majorEastAsia" w:hAnsiTheme="majorHAnsi" w:cs="David"/>
      <w:bCs/>
      <w:sz w:val="26"/>
      <w:szCs w:val="36"/>
      <w:u w:val="single"/>
    </w:rPr>
  </w:style>
  <w:style w:type="character" w:customStyle="1" w:styleId="30">
    <w:name w:val="כותרת 3 תו"/>
    <w:basedOn w:val="a0"/>
    <w:link w:val="3"/>
    <w:rsid w:val="00AA078F"/>
    <w:rPr>
      <w:rFonts w:asciiTheme="majorHAnsi" w:eastAsiaTheme="majorEastAsia" w:hAnsiTheme="majorHAnsi" w:cs="David"/>
      <w:sz w:val="24"/>
      <w:szCs w:val="28"/>
      <w:u w:val="double"/>
    </w:rPr>
  </w:style>
  <w:style w:type="character" w:customStyle="1" w:styleId="40">
    <w:name w:val="כותרת 4 תו"/>
    <w:basedOn w:val="a0"/>
    <w:link w:val="4"/>
    <w:uiPriority w:val="9"/>
    <w:rsid w:val="00AA078F"/>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AA078F"/>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AA078F"/>
    <w:pPr>
      <w:widowControl/>
      <w:spacing w:before="120" w:after="120"/>
      <w:outlineLvl w:val="9"/>
    </w:pPr>
    <w:rPr>
      <w:rtl/>
      <w:cs/>
    </w:rPr>
  </w:style>
  <w:style w:type="paragraph" w:styleId="TOC1">
    <w:name w:val="toc 1"/>
    <w:basedOn w:val="a"/>
    <w:next w:val="a"/>
    <w:autoRedefine/>
    <w:uiPriority w:val="39"/>
    <w:unhideWhenUsed/>
    <w:rsid w:val="00AA078F"/>
    <w:pPr>
      <w:tabs>
        <w:tab w:val="right" w:leader="dot" w:pos="9629"/>
      </w:tabs>
      <w:spacing w:after="100"/>
    </w:pPr>
    <w:rPr>
      <w:bCs/>
      <w:szCs w:val="22"/>
    </w:rPr>
  </w:style>
  <w:style w:type="paragraph" w:styleId="TOC2">
    <w:name w:val="toc 2"/>
    <w:basedOn w:val="a"/>
    <w:next w:val="a"/>
    <w:uiPriority w:val="39"/>
    <w:unhideWhenUsed/>
    <w:rsid w:val="00AA078F"/>
    <w:pPr>
      <w:tabs>
        <w:tab w:val="right" w:leader="dot" w:pos="9628"/>
      </w:tabs>
      <w:spacing w:after="100"/>
    </w:pPr>
    <w:rPr>
      <w:szCs w:val="22"/>
    </w:rPr>
  </w:style>
  <w:style w:type="character" w:styleId="Hyperlink">
    <w:name w:val="Hyperlink"/>
    <w:basedOn w:val="a0"/>
    <w:uiPriority w:val="99"/>
    <w:unhideWhenUsed/>
    <w:rsid w:val="00AA078F"/>
    <w:rPr>
      <w:color w:val="0000FF" w:themeColor="hyperlink"/>
      <w:u w:val="single"/>
    </w:rPr>
  </w:style>
  <w:style w:type="paragraph" w:styleId="TOC3">
    <w:name w:val="toc 3"/>
    <w:basedOn w:val="a"/>
    <w:next w:val="a"/>
    <w:uiPriority w:val="39"/>
    <w:unhideWhenUsed/>
    <w:rsid w:val="00AA078F"/>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AA078F"/>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AA078F"/>
    <w:pPr>
      <w:tabs>
        <w:tab w:val="right" w:leader="dot" w:pos="9628"/>
      </w:tabs>
      <w:spacing w:after="100"/>
      <w:ind w:left="567"/>
    </w:pPr>
    <w:rPr>
      <w:szCs w:val="22"/>
    </w:rPr>
  </w:style>
  <w:style w:type="paragraph" w:styleId="TOC6">
    <w:name w:val="toc 6"/>
    <w:basedOn w:val="a"/>
    <w:next w:val="a"/>
    <w:autoRedefine/>
    <w:semiHidden/>
    <w:unhideWhenUsed/>
    <w:rsid w:val="00AA078F"/>
    <w:pPr>
      <w:spacing w:after="100"/>
      <w:ind w:left="850"/>
    </w:pPr>
  </w:style>
  <w:style w:type="paragraph" w:styleId="TOC7">
    <w:name w:val="toc 7"/>
    <w:basedOn w:val="a"/>
    <w:next w:val="a"/>
    <w:autoRedefine/>
    <w:semiHidden/>
    <w:unhideWhenUsed/>
    <w:rsid w:val="00AA078F"/>
    <w:pPr>
      <w:spacing w:after="100"/>
      <w:ind w:left="1020"/>
    </w:pPr>
  </w:style>
  <w:style w:type="paragraph" w:styleId="TOC8">
    <w:name w:val="toc 8"/>
    <w:basedOn w:val="a"/>
    <w:next w:val="a"/>
    <w:autoRedefine/>
    <w:semiHidden/>
    <w:unhideWhenUsed/>
    <w:rsid w:val="00AA078F"/>
    <w:pPr>
      <w:spacing w:after="100"/>
      <w:ind w:left="1190"/>
    </w:pPr>
  </w:style>
  <w:style w:type="paragraph" w:styleId="TOC9">
    <w:name w:val="toc 9"/>
    <w:basedOn w:val="a"/>
    <w:next w:val="a"/>
    <w:autoRedefine/>
    <w:semiHidden/>
    <w:unhideWhenUsed/>
    <w:rsid w:val="00AA078F"/>
    <w:pPr>
      <w:spacing w:after="100"/>
      <w:ind w:left="1360"/>
    </w:pPr>
  </w:style>
  <w:style w:type="paragraph" w:customStyle="1" w:styleId="TableHead2">
    <w:name w:val="Table Head2"/>
    <w:basedOn w:val="TableHead"/>
    <w:qFormat/>
    <w:rsid w:val="00AA078F"/>
    <w:pPr>
      <w:outlineLvl w:val="9"/>
    </w:pPr>
  </w:style>
  <w:style w:type="paragraph" w:customStyle="1" w:styleId="TableSideHeading2">
    <w:name w:val="Table SideHeading2"/>
    <w:basedOn w:val="TableSideHeading"/>
    <w:autoRedefine/>
    <w:qFormat/>
    <w:rsid w:val="00AA078F"/>
    <w:pPr>
      <w:keepLines w:val="0"/>
      <w:outlineLvl w:val="9"/>
    </w:pPr>
  </w:style>
  <w:style w:type="paragraph" w:customStyle="1" w:styleId="0">
    <w:name w:val="סגנון שורה ראשונה:  0  ס''מ"/>
    <w:basedOn w:val="2"/>
    <w:rsid w:val="00AA078F"/>
    <w:rPr>
      <w:rFonts w:eastAsia="Times New Roman"/>
    </w:rPr>
  </w:style>
  <w:style w:type="paragraph" w:styleId="af">
    <w:name w:val="List Paragraph"/>
    <w:basedOn w:val="a"/>
    <w:uiPriority w:val="34"/>
    <w:qFormat/>
    <w:rsid w:val="00AA078F"/>
    <w:pPr>
      <w:widowControl/>
      <w:spacing w:line="259" w:lineRule="auto"/>
    </w:pPr>
    <w:rPr>
      <w:rFonts w:asciiTheme="minorHAnsi" w:hAnsiTheme="minorHAnsi"/>
      <w:sz w:val="22"/>
    </w:rPr>
  </w:style>
  <w:style w:type="table" w:styleId="af0">
    <w:name w:val="Table Grid"/>
    <w:basedOn w:val="a1"/>
    <w:rsid w:val="00AA0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AA07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AA07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AA078F"/>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AA078F"/>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E926B-3919-4434-ADC4-3F3CEC87A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B9DD18A-D250-4FE1-8F7D-112899BC6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334</Words>
  <Characters>1671</Characters>
  <Application>Microsoft Office Word</Application>
  <DocSecurity>0</DocSecurity>
  <Lines>13</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9</cp:revision>
  <cp:lastPrinted>2013-07-04T08:25:00Z</cp:lastPrinted>
  <dcterms:created xsi:type="dcterms:W3CDTF">2015-04-20T09:58:00Z</dcterms:created>
  <dcterms:modified xsi:type="dcterms:W3CDTF">2019-05-23T06:19:00Z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2079415</vt:r8>
  </property>
</Properties>
</file>