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2079251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F4E166" w:rsidR="00E13C27" w:rsidRPr="00E06736" w:rsidRDefault="00904591" w:rsidP="003E3033">
      <w:pPr>
        <w:pStyle w:val="David"/>
        <w:spacing w:line="240" w:lineRule="auto"/>
        <w:ind w:left="6424" w:firstLine="56"/>
        <w:rPr>
          <w:rtl/>
        </w:rPr>
      </w:pPr>
      <w:bookmarkStart w:id="6" w:name="Private_Number"/>
      <w:r>
        <w:rPr>
          <w:rFonts w:hint="cs"/>
          <w:rtl/>
        </w:rPr>
        <w:t>פ/340/21</w:t>
      </w:r>
      <w:bookmarkEnd w:id="6"/>
    </w:p>
    <w:p w14:paraId="7F6961AD" w14:textId="77777777" w:rsidR="00E13C27" w:rsidRDefault="00A443CF" w:rsidP="0021633A">
      <w:pPr>
        <w:pStyle w:val="HeadHatzaotHok"/>
        <w:rPr>
          <w:rtl/>
        </w:rPr>
      </w:pPr>
      <w:bookmarkStart w:id="7" w:name="LGS_Subject"/>
      <w:bookmarkStart w:id="8" w:name="_GoBack"/>
      <w:bookmarkEnd w:id="8"/>
      <w:r>
        <w:rPr>
          <w:rFonts w:hint="cs"/>
          <w:rtl/>
        </w:rPr>
        <w:t xml:space="preserve">הצעת חוק הסכמים לנשיאת עוברים (אישור הסכם ומעמד היילוד) (תיקון – הרחבת הגדרת הורים מיועדים), </w:t>
      </w:r>
      <w:proofErr w:type="spellStart"/>
      <w:r>
        <w:rPr>
          <w:rFonts w:hint="cs"/>
          <w:rtl/>
        </w:rPr>
        <w:t>התשע"ט</w:t>
      </w:r>
      <w:proofErr w:type="spellEnd"/>
      <w:r>
        <w:rPr>
          <w:rFonts w:hint="cs"/>
          <w:rtl/>
        </w:rPr>
        <w:t>–2019</w:t>
      </w:r>
      <w:bookmarkEnd w:id="7"/>
    </w:p>
    <w:p w14:paraId="7A5883C5" w14:textId="77777777" w:rsidR="00652368" w:rsidRPr="00F67051" w:rsidRDefault="00652368" w:rsidP="0021633A">
      <w:pPr>
        <w:pStyle w:val="HeadHatzaotHok"/>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CB76ED" w14:paraId="035EEF3D" w14:textId="77777777" w:rsidTr="00652994">
        <w:trPr>
          <w:cantSplit/>
        </w:trPr>
        <w:tc>
          <w:tcPr>
            <w:tcW w:w="1871" w:type="dxa"/>
          </w:tcPr>
          <w:p w14:paraId="49D851F4" w14:textId="44680197" w:rsidR="00CB76ED" w:rsidRDefault="00CB76ED" w:rsidP="00CB76ED">
            <w:pPr>
              <w:pStyle w:val="TableSideHeading"/>
              <w:keepLines w:val="0"/>
            </w:pPr>
            <w:r w:rsidRPr="0012438A">
              <w:rPr>
                <w:rFonts w:hint="cs"/>
                <w:rtl/>
              </w:rPr>
              <w:t>תיקון סעיף 1</w:t>
            </w:r>
          </w:p>
        </w:tc>
        <w:tc>
          <w:tcPr>
            <w:tcW w:w="624" w:type="dxa"/>
          </w:tcPr>
          <w:p w14:paraId="0ACCCEDE" w14:textId="6511D705" w:rsidR="00CB76ED" w:rsidRPr="00652994" w:rsidRDefault="00CB76ED" w:rsidP="00652994">
            <w:pPr>
              <w:pStyle w:val="TableText"/>
              <w:jc w:val="both"/>
            </w:pPr>
            <w:r w:rsidRPr="00652994">
              <w:rPr>
                <w:rtl/>
              </w:rPr>
              <w:t>1.</w:t>
            </w:r>
          </w:p>
        </w:tc>
        <w:tc>
          <w:tcPr>
            <w:tcW w:w="7143" w:type="dxa"/>
          </w:tcPr>
          <w:p w14:paraId="6E28CA3A" w14:textId="23AA3826" w:rsidR="00CB76ED" w:rsidRPr="00652994" w:rsidRDefault="00CB76ED" w:rsidP="00082912">
            <w:pPr>
              <w:pStyle w:val="TableBlock"/>
            </w:pPr>
            <w:r w:rsidRPr="00652994">
              <w:rPr>
                <w:rFonts w:hint="eastAsia"/>
                <w:rtl/>
              </w:rPr>
              <w:t>בחוק</w:t>
            </w:r>
            <w:r w:rsidRPr="00652994">
              <w:rPr>
                <w:rtl/>
              </w:rPr>
              <w:t xml:space="preserve"> </w:t>
            </w:r>
            <w:r w:rsidRPr="00652994">
              <w:rPr>
                <w:rFonts w:hint="eastAsia"/>
                <w:rtl/>
              </w:rPr>
              <w:t>הסכמים</w:t>
            </w:r>
            <w:r w:rsidRPr="00652994">
              <w:rPr>
                <w:rtl/>
              </w:rPr>
              <w:t xml:space="preserve"> </w:t>
            </w:r>
            <w:r w:rsidRPr="00652994">
              <w:rPr>
                <w:rFonts w:hint="eastAsia"/>
                <w:rtl/>
              </w:rPr>
              <w:t>לנשיאת</w:t>
            </w:r>
            <w:r w:rsidRPr="00652994">
              <w:rPr>
                <w:rtl/>
              </w:rPr>
              <w:t xml:space="preserve"> </w:t>
            </w:r>
            <w:r w:rsidRPr="00652994">
              <w:rPr>
                <w:rFonts w:hint="eastAsia"/>
                <w:rtl/>
              </w:rPr>
              <w:t>עוברים</w:t>
            </w:r>
            <w:r w:rsidRPr="00652994">
              <w:rPr>
                <w:rtl/>
              </w:rPr>
              <w:t xml:space="preserve"> (</w:t>
            </w:r>
            <w:r w:rsidRPr="00652994">
              <w:rPr>
                <w:rFonts w:hint="eastAsia"/>
                <w:rtl/>
              </w:rPr>
              <w:t>אישור</w:t>
            </w:r>
            <w:r w:rsidRPr="00652994">
              <w:rPr>
                <w:rtl/>
              </w:rPr>
              <w:t xml:space="preserve"> </w:t>
            </w:r>
            <w:r w:rsidRPr="00652994">
              <w:rPr>
                <w:rFonts w:hint="eastAsia"/>
                <w:rtl/>
              </w:rPr>
              <w:t>הסכם</w:t>
            </w:r>
            <w:r w:rsidRPr="00652994">
              <w:rPr>
                <w:rtl/>
              </w:rPr>
              <w:t xml:space="preserve"> </w:t>
            </w:r>
            <w:r w:rsidRPr="00652994">
              <w:rPr>
                <w:rFonts w:hint="eastAsia"/>
                <w:rtl/>
              </w:rPr>
              <w:t>ומעמד</w:t>
            </w:r>
            <w:r w:rsidRPr="00652994">
              <w:rPr>
                <w:rtl/>
              </w:rPr>
              <w:t xml:space="preserve"> </w:t>
            </w:r>
            <w:r w:rsidRPr="00652994">
              <w:rPr>
                <w:rFonts w:hint="eastAsia"/>
                <w:rtl/>
              </w:rPr>
              <w:t>היילוד</w:t>
            </w:r>
            <w:r w:rsidRPr="00652994">
              <w:rPr>
                <w:rtl/>
              </w:rPr>
              <w:t xml:space="preserve">), </w:t>
            </w:r>
            <w:proofErr w:type="spellStart"/>
            <w:r w:rsidRPr="00652994">
              <w:rPr>
                <w:rFonts w:hint="eastAsia"/>
                <w:rtl/>
              </w:rPr>
              <w:t>התשנ</w:t>
            </w:r>
            <w:r w:rsidRPr="00652994">
              <w:rPr>
                <w:rtl/>
              </w:rPr>
              <w:t>"</w:t>
            </w:r>
            <w:r w:rsidRPr="00652994">
              <w:rPr>
                <w:rFonts w:hint="eastAsia"/>
                <w:rtl/>
              </w:rPr>
              <w:t>ו</w:t>
            </w:r>
            <w:proofErr w:type="spellEnd"/>
            <w:r w:rsidRPr="00652994">
              <w:rPr>
                <w:rtl/>
              </w:rPr>
              <w:t>–1996</w:t>
            </w:r>
            <w:r w:rsidR="00082912">
              <w:rPr>
                <w:rStyle w:val="a6"/>
                <w:rtl/>
              </w:rPr>
              <w:footnoteReference w:id="2"/>
            </w:r>
            <w:r w:rsidRPr="00652994">
              <w:rPr>
                <w:rtl/>
              </w:rPr>
              <w:t xml:space="preserve">, </w:t>
            </w:r>
            <w:r w:rsidRPr="00652994">
              <w:rPr>
                <w:rFonts w:hint="eastAsia"/>
                <w:rtl/>
              </w:rPr>
              <w:t>בסעיף</w:t>
            </w:r>
            <w:r w:rsidRPr="00652994">
              <w:rPr>
                <w:rtl/>
              </w:rPr>
              <w:t xml:space="preserve"> 1</w:t>
            </w:r>
            <w:r w:rsidRPr="00652994">
              <w:rPr>
                <w:rFonts w:hint="cs"/>
                <w:rtl/>
              </w:rPr>
              <w:t>,</w:t>
            </w:r>
            <w:r w:rsidRPr="00652994">
              <w:rPr>
                <w:rtl/>
              </w:rPr>
              <w:t xml:space="preserve"> </w:t>
            </w:r>
            <w:r w:rsidRPr="00652994">
              <w:rPr>
                <w:rFonts w:hint="eastAsia"/>
                <w:rtl/>
              </w:rPr>
              <w:t>במקום</w:t>
            </w:r>
            <w:r w:rsidRPr="00652994">
              <w:rPr>
                <w:rtl/>
              </w:rPr>
              <w:t xml:space="preserve"> </w:t>
            </w:r>
            <w:r w:rsidRPr="00652994">
              <w:rPr>
                <w:rFonts w:hint="eastAsia"/>
                <w:rtl/>
              </w:rPr>
              <w:t>ההגדרה</w:t>
            </w:r>
            <w:r w:rsidRPr="00652994">
              <w:rPr>
                <w:rtl/>
              </w:rPr>
              <w:t xml:space="preserve"> "</w:t>
            </w:r>
            <w:r w:rsidRPr="00652994">
              <w:rPr>
                <w:rFonts w:hint="eastAsia"/>
                <w:rtl/>
              </w:rPr>
              <w:t>הורים</w:t>
            </w:r>
            <w:r w:rsidRPr="00652994">
              <w:rPr>
                <w:rtl/>
              </w:rPr>
              <w:t xml:space="preserve"> </w:t>
            </w:r>
            <w:r w:rsidRPr="00652994">
              <w:rPr>
                <w:rFonts w:hint="eastAsia"/>
                <w:rtl/>
              </w:rPr>
              <w:t>מיועדים</w:t>
            </w:r>
            <w:r w:rsidRPr="00652994">
              <w:rPr>
                <w:rtl/>
              </w:rPr>
              <w:t xml:space="preserve">" </w:t>
            </w:r>
            <w:r w:rsidRPr="00652994">
              <w:rPr>
                <w:rFonts w:hint="eastAsia"/>
                <w:rtl/>
              </w:rPr>
              <w:t>יבוא</w:t>
            </w:r>
            <w:r w:rsidRPr="00652994">
              <w:rPr>
                <w:rtl/>
              </w:rPr>
              <w:t>:</w:t>
            </w:r>
          </w:p>
        </w:tc>
      </w:tr>
      <w:tr w:rsidR="00CB76ED" w14:paraId="3D9B61D1" w14:textId="77777777" w:rsidTr="00652994">
        <w:trPr>
          <w:cantSplit/>
        </w:trPr>
        <w:tc>
          <w:tcPr>
            <w:tcW w:w="1871" w:type="dxa"/>
          </w:tcPr>
          <w:p w14:paraId="592606A5" w14:textId="77777777" w:rsidR="00CB76ED" w:rsidRDefault="00CB76ED" w:rsidP="00CB76ED">
            <w:pPr>
              <w:pStyle w:val="TableSideHeading"/>
              <w:keepLines w:val="0"/>
            </w:pPr>
          </w:p>
        </w:tc>
        <w:tc>
          <w:tcPr>
            <w:tcW w:w="624" w:type="dxa"/>
          </w:tcPr>
          <w:p w14:paraId="22D9DB8F" w14:textId="77777777" w:rsidR="00CB76ED" w:rsidRPr="00652994" w:rsidRDefault="00CB76ED" w:rsidP="00652994">
            <w:pPr>
              <w:pStyle w:val="TableText"/>
              <w:jc w:val="both"/>
            </w:pPr>
          </w:p>
        </w:tc>
        <w:tc>
          <w:tcPr>
            <w:tcW w:w="7143" w:type="dxa"/>
          </w:tcPr>
          <w:p w14:paraId="1AC8BAD8" w14:textId="3E482827" w:rsidR="00CB76ED" w:rsidRPr="00652994" w:rsidRDefault="00CB76ED" w:rsidP="00652994">
            <w:pPr>
              <w:pStyle w:val="TableBlockOutdent"/>
            </w:pPr>
            <w:r w:rsidRPr="00652994">
              <w:rPr>
                <w:rtl/>
              </w:rPr>
              <w:t>""</w:t>
            </w:r>
            <w:r w:rsidRPr="00652994">
              <w:rPr>
                <w:rFonts w:hint="eastAsia"/>
                <w:rtl/>
              </w:rPr>
              <w:t>הורים</w:t>
            </w:r>
            <w:r w:rsidRPr="00652994">
              <w:rPr>
                <w:rtl/>
              </w:rPr>
              <w:t xml:space="preserve"> </w:t>
            </w:r>
            <w:r w:rsidRPr="00652994">
              <w:rPr>
                <w:rFonts w:hint="eastAsia"/>
                <w:rtl/>
              </w:rPr>
              <w:t>מיועדים</w:t>
            </w:r>
            <w:r w:rsidRPr="00652994">
              <w:rPr>
                <w:rtl/>
              </w:rPr>
              <w:t>" – איש או אישה או שני בני אדם, תושבי ישראל, המתקשרים יחד עם אם נושאת לשם הולדת ילד</w:t>
            </w:r>
            <w:r w:rsidRPr="00652994">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79087748" w14:textId="77777777" w:rsidR="00CB76ED" w:rsidRPr="00082912" w:rsidRDefault="00CB76ED" w:rsidP="00082912">
      <w:pPr>
        <w:pStyle w:val="Hesber"/>
        <w:rPr>
          <w:rtl/>
        </w:rPr>
      </w:pPr>
      <w:r w:rsidRPr="00082912">
        <w:rPr>
          <w:rFonts w:hint="cs"/>
          <w:rtl/>
        </w:rPr>
        <w:t xml:space="preserve">ביום 18 ביולי 2018 עבר בקריאה השנייה ובקריאה השלישית במליאת הכנסת חוק הסכמים לנשיאת עוברים (אישור הסכם ומעמד היילוד) (תיקון מס' 2), </w:t>
      </w:r>
      <w:proofErr w:type="spellStart"/>
      <w:r w:rsidRPr="00082912">
        <w:rPr>
          <w:rFonts w:hint="cs"/>
          <w:rtl/>
        </w:rPr>
        <w:t>התשע"ח</w:t>
      </w:r>
      <w:proofErr w:type="spellEnd"/>
      <w:r w:rsidRPr="00082912">
        <w:rPr>
          <w:rFonts w:hint="eastAsia"/>
          <w:rtl/>
        </w:rPr>
        <w:t>–</w:t>
      </w:r>
      <w:r w:rsidRPr="00082912">
        <w:rPr>
          <w:rFonts w:hint="cs"/>
          <w:rtl/>
        </w:rPr>
        <w:t xml:space="preserve">2018. החוק הרחיב את הקבוצה הזכאית להליך פונדקאות בישראל גם לאישה, ללא בן זוג, הסובלת מבעיה רפואית שבשלה היא אינה יכולה לשאת היריון. עם זאת, התיקון מדיר את קבוצת ההורים המיועדים שהם בני זוג מאותו המין וכן גברים יחידניים, ובכך מביא לפגיעה חמורה בשוויון. </w:t>
      </w:r>
    </w:p>
    <w:p w14:paraId="3C1C0AEE" w14:textId="77777777" w:rsidR="00082912" w:rsidRPr="00082912" w:rsidRDefault="00CB76ED" w:rsidP="00082912">
      <w:pPr>
        <w:pStyle w:val="Hesber"/>
        <w:rPr>
          <w:rtl/>
        </w:rPr>
      </w:pPr>
      <w:r w:rsidRPr="00082912">
        <w:rPr>
          <w:rFonts w:hint="cs"/>
          <w:rtl/>
        </w:rPr>
        <w:t xml:space="preserve">לפיכך, מוצע לתקן את סעיף 1 לחוק הסכמים לנשיאת עוברים (אישור הסכם ומעמד היילוד), </w:t>
      </w:r>
      <w:proofErr w:type="spellStart"/>
      <w:r w:rsidRPr="00082912">
        <w:rPr>
          <w:rFonts w:hint="cs"/>
          <w:rtl/>
        </w:rPr>
        <w:t>התשנ"ו</w:t>
      </w:r>
      <w:proofErr w:type="spellEnd"/>
      <w:r w:rsidRPr="00082912">
        <w:rPr>
          <w:rFonts w:hint="eastAsia"/>
          <w:rtl/>
        </w:rPr>
        <w:t>–</w:t>
      </w:r>
      <w:r w:rsidRPr="00082912">
        <w:rPr>
          <w:rFonts w:hint="cs"/>
          <w:rtl/>
        </w:rPr>
        <w:t xml:space="preserve">1996 ולקבוע שהגדרת "הורים מיועדים" תכלול איש או אישה או שני בני אדם, ללא הבדל דת, גזע, מין או נטייה מינית. </w:t>
      </w:r>
    </w:p>
    <w:p w14:paraId="54D4EDFB" w14:textId="7E83FB6F" w:rsidR="00CB76ED" w:rsidRDefault="00CB76ED" w:rsidP="003744C0">
      <w:pPr>
        <w:pStyle w:val="Hesber"/>
        <w:rPr>
          <w:rtl/>
        </w:rPr>
      </w:pPr>
      <w:r w:rsidRPr="00082912">
        <w:rPr>
          <w:rFonts w:hint="cs"/>
          <w:rtl/>
        </w:rPr>
        <w:t>הצע</w:t>
      </w:r>
      <w:r w:rsidR="003744C0">
        <w:rPr>
          <w:rFonts w:hint="cs"/>
          <w:rtl/>
        </w:rPr>
        <w:t>ו</w:t>
      </w:r>
      <w:r w:rsidRPr="00082912">
        <w:rPr>
          <w:rFonts w:hint="cs"/>
          <w:rtl/>
        </w:rPr>
        <w:t>ת חוק זה</w:t>
      </w:r>
      <w:r w:rsidR="003744C0">
        <w:rPr>
          <w:rFonts w:hint="cs"/>
          <w:rtl/>
        </w:rPr>
        <w:t>ות</w:t>
      </w:r>
      <w:r w:rsidRPr="00082912">
        <w:rPr>
          <w:rFonts w:hint="cs"/>
          <w:rtl/>
        </w:rPr>
        <w:t xml:space="preserve"> הונח</w:t>
      </w:r>
      <w:r w:rsidR="003744C0">
        <w:rPr>
          <w:rFonts w:hint="cs"/>
          <w:rtl/>
        </w:rPr>
        <w:t>ו</w:t>
      </w:r>
      <w:r w:rsidRPr="00082912">
        <w:rPr>
          <w:rFonts w:hint="cs"/>
          <w:rtl/>
        </w:rPr>
        <w:t xml:space="preserve"> על שולחן הכנסת העשרים על ידי ח</w:t>
      </w:r>
      <w:r w:rsidR="00D24F8E">
        <w:rPr>
          <w:rFonts w:hint="cs"/>
          <w:rtl/>
        </w:rPr>
        <w:t xml:space="preserve">ברת הכנסת ציפי לבני (פ/5852/20), </w:t>
      </w:r>
      <w:r w:rsidR="00506E75">
        <w:rPr>
          <w:rFonts w:hint="cs"/>
          <w:rtl/>
        </w:rPr>
        <w:t xml:space="preserve">ועל שולחן הכנסת העשרים ואחת על ידי חברת הכנסת מיכל </w:t>
      </w:r>
      <w:proofErr w:type="spellStart"/>
      <w:r w:rsidR="00506E75">
        <w:rPr>
          <w:rFonts w:hint="cs"/>
          <w:rtl/>
        </w:rPr>
        <w:t>רוזין</w:t>
      </w:r>
      <w:proofErr w:type="spellEnd"/>
      <w:r w:rsidR="00506E75">
        <w:rPr>
          <w:rFonts w:hint="cs"/>
          <w:rtl/>
        </w:rPr>
        <w:t xml:space="preserve"> (פ/337/21).</w:t>
      </w:r>
    </w:p>
    <w:p w14:paraId="586268CE" w14:textId="77777777" w:rsidR="003E20FE" w:rsidRDefault="003E20FE" w:rsidP="003744C0">
      <w:pPr>
        <w:pStyle w:val="Hesber"/>
        <w:rPr>
          <w:rtl/>
        </w:rPr>
      </w:pPr>
    </w:p>
    <w:p w14:paraId="1C66F2E2" w14:textId="77777777" w:rsidR="003E20FE" w:rsidRPr="00D73212" w:rsidRDefault="003E20FE" w:rsidP="003E20FE">
      <w:pPr>
        <w:pStyle w:val="Hesber"/>
        <w:rPr>
          <w:rtl/>
        </w:rPr>
      </w:pPr>
      <w:r w:rsidRPr="00D73212">
        <w:rPr>
          <w:rtl/>
        </w:rPr>
        <w:t>---------------------------------</w:t>
      </w:r>
    </w:p>
    <w:p w14:paraId="348087DE" w14:textId="77777777" w:rsidR="003E20FE" w:rsidRPr="00D73212" w:rsidRDefault="003E20FE" w:rsidP="003E20FE">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41E9193A" w14:textId="77777777" w:rsidR="003E20FE" w:rsidRPr="00D73212" w:rsidRDefault="003E20FE" w:rsidP="003E20FE">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2679AE26" w14:textId="77777777" w:rsidR="003E20FE" w:rsidRPr="00317312" w:rsidRDefault="003E20FE" w:rsidP="003E20FE">
      <w:pPr>
        <w:pStyle w:val="Hesber"/>
      </w:pPr>
      <w:r>
        <w:rPr>
          <w:rFonts w:hint="cs"/>
          <w:rtl/>
        </w:rPr>
        <w:t>כ"ב באייר</w:t>
      </w:r>
      <w:r w:rsidRPr="00D73212">
        <w:rPr>
          <w:rtl/>
        </w:rPr>
        <w:t xml:space="preserve"> </w:t>
      </w:r>
      <w:proofErr w:type="spellStart"/>
      <w:r w:rsidRPr="00D73212">
        <w:rPr>
          <w:rFonts w:hint="cs"/>
          <w:rtl/>
        </w:rPr>
        <w:t>התשע</w:t>
      </w:r>
      <w:r w:rsidRPr="00D73212">
        <w:rPr>
          <w:rtl/>
        </w:rPr>
        <w:t>"</w:t>
      </w:r>
      <w:r>
        <w:rPr>
          <w:rFonts w:hint="cs"/>
          <w:rtl/>
        </w:rPr>
        <w:t>ט</w:t>
      </w:r>
      <w:proofErr w:type="spellEnd"/>
      <w:r>
        <w:rPr>
          <w:rFonts w:hint="cs"/>
          <w:rtl/>
        </w:rPr>
        <w:t xml:space="preserve"> </w:t>
      </w:r>
      <w:r w:rsidRPr="00D73212">
        <w:rPr>
          <w:rtl/>
        </w:rPr>
        <w:t>–</w:t>
      </w:r>
      <w:r>
        <w:rPr>
          <w:rFonts w:hint="cs"/>
          <w:rtl/>
        </w:rPr>
        <w:t xml:space="preserve"> 27.5</w:t>
      </w:r>
      <w:r w:rsidRPr="00D73212">
        <w:rPr>
          <w:rtl/>
        </w:rPr>
        <w:t>.</w:t>
      </w:r>
      <w:r>
        <w:rPr>
          <w:rFonts w:hint="cs"/>
          <w:rtl/>
        </w:rPr>
        <w:t xml:space="preserve">19  </w:t>
      </w:r>
    </w:p>
    <w:sectPr w:rsidR="003E20FE" w:rsidRPr="00317312" w:rsidSect="00652994">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32C5B">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082912">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438DC13" w14:textId="6F341E04" w:rsidR="00082912" w:rsidRDefault="00082912">
      <w:pPr>
        <w:pStyle w:val="a4"/>
      </w:pPr>
      <w:r>
        <w:rPr>
          <w:rStyle w:val="a6"/>
        </w:rPr>
        <w:footnoteRef/>
      </w:r>
      <w:r>
        <w:rPr>
          <w:rtl/>
        </w:rPr>
        <w:t xml:space="preserve"> </w:t>
      </w:r>
      <w:r>
        <w:rPr>
          <w:rFonts w:hint="cs"/>
          <w:rtl/>
        </w:rPr>
        <w:t xml:space="preserve">ס"ח </w:t>
      </w:r>
      <w:proofErr w:type="spellStart"/>
      <w:r>
        <w:rPr>
          <w:rFonts w:hint="cs"/>
          <w:rtl/>
        </w:rPr>
        <w:t>התשנ"ו</w:t>
      </w:r>
      <w:proofErr w:type="spellEnd"/>
      <w:r>
        <w:rPr>
          <w:rFonts w:hint="cs"/>
          <w:rtl/>
        </w:rPr>
        <w:t>, עמ' 176.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82912"/>
    <w:rsid w:val="000A542E"/>
    <w:rsid w:val="00102B6B"/>
    <w:rsid w:val="001052D4"/>
    <w:rsid w:val="0010644B"/>
    <w:rsid w:val="001207F8"/>
    <w:rsid w:val="00121924"/>
    <w:rsid w:val="001279A8"/>
    <w:rsid w:val="00135004"/>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92DF6"/>
    <w:rsid w:val="002A487D"/>
    <w:rsid w:val="002C2E29"/>
    <w:rsid w:val="002C3041"/>
    <w:rsid w:val="002D1EE3"/>
    <w:rsid w:val="002F1D80"/>
    <w:rsid w:val="003232A2"/>
    <w:rsid w:val="00325C14"/>
    <w:rsid w:val="0036422C"/>
    <w:rsid w:val="003710F6"/>
    <w:rsid w:val="003744C0"/>
    <w:rsid w:val="00386E88"/>
    <w:rsid w:val="00396585"/>
    <w:rsid w:val="003D6E38"/>
    <w:rsid w:val="003D74A0"/>
    <w:rsid w:val="003E20FE"/>
    <w:rsid w:val="003E3033"/>
    <w:rsid w:val="004033D8"/>
    <w:rsid w:val="004073F0"/>
    <w:rsid w:val="00412A7D"/>
    <w:rsid w:val="00416B4D"/>
    <w:rsid w:val="00417CFC"/>
    <w:rsid w:val="004A06DC"/>
    <w:rsid w:val="004B24ED"/>
    <w:rsid w:val="004B6625"/>
    <w:rsid w:val="004D2D82"/>
    <w:rsid w:val="004D3876"/>
    <w:rsid w:val="004E4552"/>
    <w:rsid w:val="004E6CDF"/>
    <w:rsid w:val="00506E75"/>
    <w:rsid w:val="00553C9D"/>
    <w:rsid w:val="00562A66"/>
    <w:rsid w:val="005B064E"/>
    <w:rsid w:val="005D51AE"/>
    <w:rsid w:val="0062674B"/>
    <w:rsid w:val="006363B2"/>
    <w:rsid w:val="00644940"/>
    <w:rsid w:val="00652368"/>
    <w:rsid w:val="00652994"/>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32C5B"/>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B76ED"/>
    <w:rsid w:val="00CF1AA2"/>
    <w:rsid w:val="00D142D3"/>
    <w:rsid w:val="00D17774"/>
    <w:rsid w:val="00D24F8E"/>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50706B2-2B35-494E-8C67-67C07890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994"/>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652994"/>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652994"/>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652994"/>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652994"/>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652994"/>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652994"/>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652994"/>
    <w:rPr>
      <w:sz w:val="36"/>
      <w:szCs w:val="52"/>
    </w:rPr>
  </w:style>
  <w:style w:type="paragraph" w:customStyle="1" w:styleId="Cover3-Haknesset">
    <w:name w:val="Cover 3-Haknesset"/>
    <w:basedOn w:val="Cover1-Reshumot"/>
    <w:rsid w:val="00652994"/>
    <w:rPr>
      <w:b/>
      <w:bCs/>
      <w:spacing w:val="60"/>
    </w:rPr>
  </w:style>
  <w:style w:type="paragraph" w:customStyle="1" w:styleId="Cover4-Date">
    <w:name w:val="Cover 4-Date"/>
    <w:basedOn w:val="a"/>
    <w:rsid w:val="00652994"/>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652994"/>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652994"/>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652994"/>
    <w:pPr>
      <w:spacing w:before="120" w:after="120"/>
    </w:pPr>
    <w:rPr>
      <w:color w:val="FF0000"/>
      <w:w w:val="80"/>
    </w:rPr>
  </w:style>
  <w:style w:type="paragraph" w:styleId="a3">
    <w:name w:val="endnote text"/>
    <w:basedOn w:val="a"/>
    <w:semiHidden/>
    <w:rsid w:val="00652994"/>
    <w:pPr>
      <w:ind w:left="227" w:hanging="227"/>
    </w:pPr>
    <w:rPr>
      <w:sz w:val="14"/>
      <w:szCs w:val="22"/>
    </w:rPr>
  </w:style>
  <w:style w:type="paragraph" w:customStyle="1" w:styleId="TableText">
    <w:name w:val="Table Text"/>
    <w:basedOn w:val="a"/>
    <w:rsid w:val="00652994"/>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652994"/>
    <w:pPr>
      <w:outlineLvl w:val="2"/>
    </w:pPr>
  </w:style>
  <w:style w:type="paragraph" w:customStyle="1" w:styleId="TableBlock">
    <w:name w:val="Table Block"/>
    <w:basedOn w:val="TableText"/>
    <w:rsid w:val="00652994"/>
    <w:pPr>
      <w:jc w:val="both"/>
    </w:pPr>
  </w:style>
  <w:style w:type="paragraph" w:customStyle="1" w:styleId="TableHead">
    <w:name w:val="Table Head"/>
    <w:basedOn w:val="TableText"/>
    <w:rsid w:val="00652994"/>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652994"/>
    <w:pPr>
      <w:outlineLvl w:val="9"/>
    </w:pPr>
  </w:style>
  <w:style w:type="paragraph" w:customStyle="1" w:styleId="Hesber">
    <w:name w:val="Hesber"/>
    <w:basedOn w:val="a"/>
    <w:rsid w:val="00652994"/>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652994"/>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652994"/>
    <w:rPr>
      <w:vertAlign w:val="superscript"/>
    </w:rPr>
  </w:style>
  <w:style w:type="paragraph" w:customStyle="1" w:styleId="HesberHeading">
    <w:name w:val="Hesber Heading"/>
    <w:basedOn w:val="Hesber"/>
    <w:rsid w:val="00652994"/>
    <w:pPr>
      <w:tabs>
        <w:tab w:val="left" w:pos="624"/>
        <w:tab w:val="left" w:pos="1247"/>
      </w:tabs>
    </w:pPr>
    <w:rPr>
      <w:b/>
      <w:bCs/>
    </w:rPr>
  </w:style>
  <w:style w:type="paragraph" w:customStyle="1" w:styleId="HesberWriters">
    <w:name w:val="Hesber Writers"/>
    <w:basedOn w:val="Hesber"/>
    <w:rsid w:val="00652994"/>
    <w:pPr>
      <w:spacing w:before="120" w:after="120"/>
      <w:ind w:left="1418"/>
      <w:jc w:val="right"/>
    </w:pPr>
    <w:rPr>
      <w:b/>
      <w:bCs/>
    </w:rPr>
  </w:style>
  <w:style w:type="paragraph" w:customStyle="1" w:styleId="Hesber1st">
    <w:name w:val="Hesber 1st"/>
    <w:basedOn w:val="Hesber"/>
    <w:rsid w:val="00652994"/>
    <w:pPr>
      <w:tabs>
        <w:tab w:val="left" w:pos="680"/>
        <w:tab w:val="left" w:pos="1020"/>
      </w:tabs>
      <w:ind w:firstLine="0"/>
    </w:pPr>
  </w:style>
  <w:style w:type="character" w:styleId="a7">
    <w:name w:val="endnote reference"/>
    <w:basedOn w:val="a0"/>
    <w:semiHidden/>
    <w:rsid w:val="00652994"/>
    <w:rPr>
      <w:vertAlign w:val="superscript"/>
    </w:rPr>
  </w:style>
  <w:style w:type="paragraph" w:customStyle="1" w:styleId="TableBlockOutdent">
    <w:name w:val="Table BlockOutdent"/>
    <w:basedOn w:val="TableBlock"/>
    <w:rsid w:val="00652994"/>
    <w:pPr>
      <w:ind w:left="624" w:hanging="624"/>
    </w:pPr>
  </w:style>
  <w:style w:type="paragraph" w:styleId="a8">
    <w:name w:val="header"/>
    <w:basedOn w:val="a"/>
    <w:rsid w:val="00652994"/>
    <w:pPr>
      <w:tabs>
        <w:tab w:val="center" w:pos="4153"/>
        <w:tab w:val="right" w:pos="8306"/>
      </w:tabs>
    </w:pPr>
  </w:style>
  <w:style w:type="paragraph" w:styleId="a9">
    <w:name w:val="footer"/>
    <w:basedOn w:val="a"/>
    <w:rsid w:val="00652994"/>
    <w:pPr>
      <w:tabs>
        <w:tab w:val="center" w:pos="4153"/>
        <w:tab w:val="right" w:pos="8306"/>
      </w:tabs>
    </w:pPr>
  </w:style>
  <w:style w:type="paragraph" w:customStyle="1" w:styleId="HeadDivreiHesber">
    <w:name w:val="Head DivreiHesber"/>
    <w:basedOn w:val="a"/>
    <w:rsid w:val="00652994"/>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652994"/>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652994"/>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rsid w:val="00CB76ED"/>
    <w:rPr>
      <w:rFonts w:ascii="Arial" w:eastAsia="Arial Unicode MS" w:hAnsi="Arial" w:cs="David"/>
      <w:snapToGrid w:val="0"/>
      <w:sz w:val="14"/>
    </w:rPr>
  </w:style>
  <w:style w:type="character" w:customStyle="1" w:styleId="10">
    <w:name w:val="כותרת 1 תו"/>
    <w:basedOn w:val="a0"/>
    <w:link w:val="1"/>
    <w:uiPriority w:val="9"/>
    <w:rsid w:val="00652994"/>
    <w:rPr>
      <w:rFonts w:asciiTheme="majorHAnsi" w:eastAsiaTheme="majorEastAsia" w:hAnsiTheme="majorHAnsi" w:cs="David"/>
      <w:bCs/>
      <w:sz w:val="32"/>
      <w:szCs w:val="36"/>
    </w:rPr>
  </w:style>
  <w:style w:type="character" w:customStyle="1" w:styleId="20">
    <w:name w:val="כותרת 2 תו"/>
    <w:basedOn w:val="a0"/>
    <w:link w:val="2"/>
    <w:rsid w:val="00652994"/>
    <w:rPr>
      <w:rFonts w:asciiTheme="majorHAnsi" w:eastAsiaTheme="majorEastAsia" w:hAnsiTheme="majorHAnsi" w:cs="David"/>
      <w:bCs/>
      <w:sz w:val="26"/>
      <w:szCs w:val="36"/>
      <w:u w:val="single"/>
    </w:rPr>
  </w:style>
  <w:style w:type="character" w:customStyle="1" w:styleId="30">
    <w:name w:val="כותרת 3 תו"/>
    <w:basedOn w:val="a0"/>
    <w:link w:val="3"/>
    <w:rsid w:val="00652994"/>
    <w:rPr>
      <w:rFonts w:asciiTheme="majorHAnsi" w:eastAsiaTheme="majorEastAsia" w:hAnsiTheme="majorHAnsi" w:cs="David"/>
      <w:sz w:val="24"/>
      <w:szCs w:val="28"/>
      <w:u w:val="double"/>
    </w:rPr>
  </w:style>
  <w:style w:type="character" w:customStyle="1" w:styleId="40">
    <w:name w:val="כותרת 4 תו"/>
    <w:basedOn w:val="a0"/>
    <w:link w:val="4"/>
    <w:uiPriority w:val="9"/>
    <w:rsid w:val="00652994"/>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652994"/>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652994"/>
    <w:pPr>
      <w:widowControl/>
      <w:spacing w:before="120" w:after="120"/>
      <w:outlineLvl w:val="9"/>
    </w:pPr>
    <w:rPr>
      <w:rtl/>
      <w:cs/>
    </w:rPr>
  </w:style>
  <w:style w:type="paragraph" w:styleId="TOC1">
    <w:name w:val="toc 1"/>
    <w:basedOn w:val="a"/>
    <w:next w:val="a"/>
    <w:autoRedefine/>
    <w:uiPriority w:val="39"/>
    <w:unhideWhenUsed/>
    <w:rsid w:val="00652994"/>
    <w:pPr>
      <w:tabs>
        <w:tab w:val="right" w:leader="dot" w:pos="9629"/>
      </w:tabs>
      <w:spacing w:after="100"/>
    </w:pPr>
    <w:rPr>
      <w:bCs/>
      <w:szCs w:val="22"/>
    </w:rPr>
  </w:style>
  <w:style w:type="paragraph" w:styleId="TOC2">
    <w:name w:val="toc 2"/>
    <w:basedOn w:val="a"/>
    <w:next w:val="a"/>
    <w:uiPriority w:val="39"/>
    <w:unhideWhenUsed/>
    <w:rsid w:val="00652994"/>
    <w:pPr>
      <w:tabs>
        <w:tab w:val="right" w:leader="dot" w:pos="9628"/>
      </w:tabs>
      <w:spacing w:after="100"/>
    </w:pPr>
    <w:rPr>
      <w:szCs w:val="22"/>
    </w:rPr>
  </w:style>
  <w:style w:type="character" w:styleId="Hyperlink">
    <w:name w:val="Hyperlink"/>
    <w:basedOn w:val="a0"/>
    <w:uiPriority w:val="99"/>
    <w:unhideWhenUsed/>
    <w:rsid w:val="00652994"/>
    <w:rPr>
      <w:color w:val="0000FF" w:themeColor="hyperlink"/>
      <w:u w:val="single"/>
    </w:rPr>
  </w:style>
  <w:style w:type="paragraph" w:styleId="TOC3">
    <w:name w:val="toc 3"/>
    <w:basedOn w:val="a"/>
    <w:next w:val="a"/>
    <w:uiPriority w:val="39"/>
    <w:unhideWhenUsed/>
    <w:rsid w:val="00652994"/>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652994"/>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652994"/>
    <w:pPr>
      <w:tabs>
        <w:tab w:val="right" w:leader="dot" w:pos="9628"/>
      </w:tabs>
      <w:spacing w:after="100"/>
      <w:ind w:left="567"/>
    </w:pPr>
    <w:rPr>
      <w:szCs w:val="22"/>
    </w:rPr>
  </w:style>
  <w:style w:type="paragraph" w:styleId="TOC6">
    <w:name w:val="toc 6"/>
    <w:basedOn w:val="a"/>
    <w:next w:val="a"/>
    <w:autoRedefine/>
    <w:semiHidden/>
    <w:unhideWhenUsed/>
    <w:rsid w:val="00652994"/>
    <w:pPr>
      <w:spacing w:after="100"/>
      <w:ind w:left="850"/>
    </w:pPr>
  </w:style>
  <w:style w:type="paragraph" w:styleId="TOC7">
    <w:name w:val="toc 7"/>
    <w:basedOn w:val="a"/>
    <w:next w:val="a"/>
    <w:autoRedefine/>
    <w:semiHidden/>
    <w:unhideWhenUsed/>
    <w:rsid w:val="00652994"/>
    <w:pPr>
      <w:spacing w:after="100"/>
      <w:ind w:left="1020"/>
    </w:pPr>
  </w:style>
  <w:style w:type="paragraph" w:styleId="TOC8">
    <w:name w:val="toc 8"/>
    <w:basedOn w:val="a"/>
    <w:next w:val="a"/>
    <w:autoRedefine/>
    <w:semiHidden/>
    <w:unhideWhenUsed/>
    <w:rsid w:val="00652994"/>
    <w:pPr>
      <w:spacing w:after="100"/>
      <w:ind w:left="1190"/>
    </w:pPr>
  </w:style>
  <w:style w:type="paragraph" w:styleId="TOC9">
    <w:name w:val="toc 9"/>
    <w:basedOn w:val="a"/>
    <w:next w:val="a"/>
    <w:autoRedefine/>
    <w:semiHidden/>
    <w:unhideWhenUsed/>
    <w:rsid w:val="00652994"/>
    <w:pPr>
      <w:spacing w:after="100"/>
      <w:ind w:left="1360"/>
    </w:pPr>
  </w:style>
  <w:style w:type="paragraph" w:customStyle="1" w:styleId="TableHead2">
    <w:name w:val="Table Head2"/>
    <w:basedOn w:val="TableHead"/>
    <w:qFormat/>
    <w:rsid w:val="00652994"/>
    <w:pPr>
      <w:outlineLvl w:val="9"/>
    </w:pPr>
  </w:style>
  <w:style w:type="paragraph" w:customStyle="1" w:styleId="TableSideHeading2">
    <w:name w:val="Table SideHeading2"/>
    <w:basedOn w:val="TableSideHeading"/>
    <w:autoRedefine/>
    <w:qFormat/>
    <w:rsid w:val="00652994"/>
    <w:pPr>
      <w:keepLines w:val="0"/>
      <w:outlineLvl w:val="9"/>
    </w:pPr>
  </w:style>
  <w:style w:type="paragraph" w:customStyle="1" w:styleId="0">
    <w:name w:val="סגנון שורה ראשונה:  0  ס''מ"/>
    <w:basedOn w:val="2"/>
    <w:rsid w:val="00652994"/>
    <w:rPr>
      <w:rFonts w:eastAsia="Times New Roman"/>
    </w:rPr>
  </w:style>
  <w:style w:type="paragraph" w:styleId="af">
    <w:name w:val="List Paragraph"/>
    <w:basedOn w:val="a"/>
    <w:uiPriority w:val="34"/>
    <w:qFormat/>
    <w:rsid w:val="00652994"/>
    <w:pPr>
      <w:widowControl/>
      <w:spacing w:line="259" w:lineRule="auto"/>
    </w:pPr>
    <w:rPr>
      <w:rFonts w:asciiTheme="minorHAnsi" w:hAnsiTheme="minorHAnsi"/>
      <w:sz w:val="22"/>
    </w:rPr>
  </w:style>
  <w:style w:type="table" w:styleId="af0">
    <w:name w:val="Table Grid"/>
    <w:basedOn w:val="a1"/>
    <w:rsid w:val="00652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6529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6529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652994"/>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652994"/>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BB50C-3F18-4411-8550-3087D073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DF81B4D0-DD25-43A9-A5C7-4ECD8448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225</Words>
  <Characters>1128</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15</cp:revision>
  <cp:lastPrinted>2013-07-04T08:25:00Z</cp:lastPrinted>
  <dcterms:created xsi:type="dcterms:W3CDTF">2015-04-20T09:58:00Z</dcterms:created>
  <dcterms:modified xsi:type="dcterms:W3CDTF">2019-05-22T08:05:00Z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2079251</vt:r8>
  </property>
</Properties>
</file>