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2079142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ואחת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איציק שמולי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C" w14:textId="5E756D2E" w:rsidR="00E13C27" w:rsidRDefault="00904591" w:rsidP="004F38EF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פ/249/21</w:t>
      </w:r>
      <w:bookmarkEnd w:id="6"/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הביטוח הלאומי (תיקון – קצבת שאירים למי שמנהל משק בית משותף), התשע"ט–2019  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624"/>
        <w:gridCol w:w="7146"/>
      </w:tblGrid>
      <w:tr w:rsidR="003B6E23" w14:paraId="2BE30E81" w14:textId="77777777" w:rsidTr="003B6E23">
        <w:trPr>
          <w:cantSplit/>
          <w:trHeight w:val="60"/>
        </w:trPr>
        <w:tc>
          <w:tcPr>
            <w:tcW w:w="1870" w:type="dxa"/>
          </w:tcPr>
          <w:p w14:paraId="2AA045F7" w14:textId="17D68863" w:rsidR="003B6E23" w:rsidRDefault="003B6E23" w:rsidP="003B6E23">
            <w:pPr>
              <w:pStyle w:val="TableSideHeading"/>
              <w:keepLines w:val="0"/>
            </w:pPr>
            <w:r w:rsidRPr="00673C0D">
              <w:rPr>
                <w:rtl/>
              </w:rPr>
              <w:t>תיקון סעיף 252</w:t>
            </w:r>
          </w:p>
        </w:tc>
        <w:tc>
          <w:tcPr>
            <w:tcW w:w="624" w:type="dxa"/>
          </w:tcPr>
          <w:p w14:paraId="61A8CFB3" w14:textId="1C3AF51D" w:rsidR="003B6E23" w:rsidRDefault="003B6E23" w:rsidP="003B6E23">
            <w:pPr>
              <w:pStyle w:val="TableText"/>
              <w:keepLines w:val="0"/>
            </w:pPr>
            <w:r w:rsidRPr="001A5876">
              <w:rPr>
                <w:rtl/>
              </w:rPr>
              <w:t>1.</w:t>
            </w:r>
          </w:p>
        </w:tc>
        <w:tc>
          <w:tcPr>
            <w:tcW w:w="7146" w:type="dxa"/>
          </w:tcPr>
          <w:p w14:paraId="2860FD53" w14:textId="5145B140" w:rsidR="003B6E23" w:rsidRPr="003B6E23" w:rsidRDefault="003B6E23" w:rsidP="003B6E23">
            <w:pPr>
              <w:pStyle w:val="TableBlock"/>
              <w:keepLines w:val="0"/>
            </w:pPr>
            <w:r w:rsidRPr="001A5876">
              <w:rPr>
                <w:rFonts w:hint="eastAsia"/>
                <w:rtl/>
              </w:rPr>
              <w:t>בחוק</w:t>
            </w:r>
            <w:r w:rsidRPr="001A5876">
              <w:rPr>
                <w:rtl/>
              </w:rPr>
              <w:t xml:space="preserve"> הביטוח הלאומי [נוסח משולב], </w:t>
            </w:r>
            <w:r w:rsidRPr="001A5876">
              <w:rPr>
                <w:rFonts w:hint="eastAsia"/>
                <w:rtl/>
              </w:rPr>
              <w:t>התשנ</w:t>
            </w:r>
            <w:r w:rsidRPr="001A5876">
              <w:rPr>
                <w:rtl/>
              </w:rPr>
              <w:t>"ה</w:t>
            </w:r>
            <w:r w:rsidRPr="001A5876">
              <w:rPr>
                <w:rFonts w:hint="eastAsia"/>
                <w:rtl/>
              </w:rPr>
              <w:t>–</w:t>
            </w:r>
            <w:r w:rsidRPr="001A5876">
              <w:rPr>
                <w:rtl/>
              </w:rPr>
              <w:t>1995</w:t>
            </w:r>
            <w:r w:rsidRPr="00A50BCF">
              <w:rPr>
                <w:sz w:val="14"/>
                <w:szCs w:val="20"/>
                <w:rtl/>
              </w:rPr>
              <w:footnoteReference w:id="2"/>
            </w:r>
            <w:r w:rsidRPr="001A5876">
              <w:rPr>
                <w:rtl/>
              </w:rPr>
              <w:t>, בסעיף 252(א)(1),</w:t>
            </w:r>
            <w:r>
              <w:rPr>
                <w:rFonts w:hint="cs"/>
                <w:rtl/>
              </w:rPr>
              <w:t xml:space="preserve"> </w:t>
            </w:r>
            <w:r w:rsidRPr="001A5876">
              <w:rPr>
                <w:rtl/>
              </w:rPr>
              <w:t xml:space="preserve">אחרי </w:t>
            </w:r>
            <w:r>
              <w:rPr>
                <w:rFonts w:hint="cs"/>
                <w:rtl/>
              </w:rPr>
              <w:t>פסקת משנה</w:t>
            </w:r>
            <w:r w:rsidRPr="001A5876">
              <w:rPr>
                <w:rtl/>
              </w:rPr>
              <w:t xml:space="preserve"> (</w:t>
            </w:r>
            <w:r w:rsidRPr="001A5876">
              <w:rPr>
                <w:rFonts w:hint="eastAsia"/>
                <w:rtl/>
              </w:rPr>
              <w:t>ג</w:t>
            </w:r>
            <w:r w:rsidRPr="001A5876">
              <w:rPr>
                <w:rtl/>
              </w:rPr>
              <w:t>) יבוא:</w:t>
            </w:r>
          </w:p>
        </w:tc>
      </w:tr>
      <w:tr w:rsidR="003B6E23" w14:paraId="62657CB9" w14:textId="77777777" w:rsidTr="003B6E23">
        <w:trPr>
          <w:cantSplit/>
          <w:trHeight w:val="60"/>
        </w:trPr>
        <w:tc>
          <w:tcPr>
            <w:tcW w:w="1870" w:type="dxa"/>
          </w:tcPr>
          <w:p w14:paraId="5F3CD60E" w14:textId="77777777" w:rsidR="003B6E23" w:rsidRPr="00673C0D" w:rsidRDefault="003B6E23" w:rsidP="003B6E23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3BECB9FE" w14:textId="77777777" w:rsidR="003B6E23" w:rsidRPr="001A5876" w:rsidRDefault="003B6E23" w:rsidP="003B6E23">
            <w:pPr>
              <w:pStyle w:val="TableText"/>
              <w:keepLines w:val="0"/>
              <w:rPr>
                <w:rtl/>
              </w:rPr>
            </w:pPr>
          </w:p>
        </w:tc>
        <w:tc>
          <w:tcPr>
            <w:tcW w:w="7146" w:type="dxa"/>
          </w:tcPr>
          <w:p w14:paraId="03A81620" w14:textId="680C882A" w:rsidR="003B6E23" w:rsidRPr="001A5876" w:rsidRDefault="003B6E23" w:rsidP="003B6E23">
            <w:pPr>
              <w:pStyle w:val="TableBlock"/>
              <w:keepLines w:val="0"/>
              <w:rPr>
                <w:rtl/>
              </w:rPr>
            </w:pPr>
            <w:r w:rsidRPr="00981E58">
              <w:rPr>
                <w:rFonts w:ascii="Times New Roman" w:hAnsi="Times New Roman"/>
                <w:sz w:val="26"/>
                <w:rtl/>
              </w:rPr>
              <w:t>"(</w:t>
            </w:r>
            <w:r w:rsidRPr="00981E58">
              <w:rPr>
                <w:rFonts w:ascii="Times New Roman" w:hAnsi="Times New Roman" w:hint="cs"/>
                <w:sz w:val="26"/>
                <w:rtl/>
              </w:rPr>
              <w:t>ד</w:t>
            </w:r>
            <w:r w:rsidRPr="00981E58">
              <w:rPr>
                <w:rFonts w:ascii="Times New Roman" w:hAnsi="Times New Roman"/>
                <w:sz w:val="26"/>
                <w:rtl/>
              </w:rPr>
              <w:t>)</w:t>
            </w:r>
            <w:r w:rsidRPr="00981E58">
              <w:rPr>
                <w:rFonts w:ascii="Times New Roman" w:hAnsi="Times New Roman"/>
                <w:sz w:val="26"/>
                <w:rtl/>
              </w:rPr>
              <w:tab/>
            </w:r>
            <w:r w:rsidRPr="00981E58">
              <w:rPr>
                <w:rFonts w:ascii="Times New Roman" w:hAnsi="Times New Roman" w:hint="cs"/>
                <w:sz w:val="26"/>
                <w:rtl/>
              </w:rPr>
              <w:t>למי שהמבוטח ניהל עמו</w:t>
            </w:r>
            <w:r>
              <w:rPr>
                <w:rFonts w:ascii="Times New Roman" w:hAnsi="Times New Roman" w:hint="cs"/>
                <w:sz w:val="26"/>
                <w:rtl/>
              </w:rPr>
              <w:t xml:space="preserve">, </w:t>
            </w:r>
            <w:r w:rsidRPr="00673C0D">
              <w:rPr>
                <w:rFonts w:ascii="Times New Roman" w:hAnsi="Times New Roman" w:hint="eastAsia"/>
                <w:sz w:val="26"/>
                <w:rtl/>
              </w:rPr>
              <w:t>בלבד</w:t>
            </w:r>
            <w:r>
              <w:rPr>
                <w:rFonts w:ascii="Times New Roman" w:hAnsi="Times New Roman" w:hint="cs"/>
                <w:sz w:val="26"/>
                <w:rtl/>
              </w:rPr>
              <w:t xml:space="preserve">, </w:t>
            </w:r>
            <w:r w:rsidRPr="00981E58">
              <w:rPr>
                <w:rFonts w:ascii="Times New Roman" w:hAnsi="Times New Roman" w:hint="cs"/>
                <w:sz w:val="26"/>
                <w:rtl/>
              </w:rPr>
              <w:t>משק בית משותף."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3DC9046E" w14:textId="77777777" w:rsidR="006133F7" w:rsidRPr="004F38EF" w:rsidRDefault="006133F7" w:rsidP="004F38EF">
      <w:pPr>
        <w:pStyle w:val="Hesber"/>
        <w:spacing w:line="276" w:lineRule="auto"/>
        <w:rPr>
          <w:rtl/>
        </w:rPr>
      </w:pPr>
      <w:r w:rsidRPr="004F38EF">
        <w:rPr>
          <w:rFonts w:hint="eastAsia"/>
          <w:rtl/>
        </w:rPr>
        <w:t>משפחה</w:t>
      </w:r>
      <w:r w:rsidRPr="004F38EF">
        <w:rPr>
          <w:rtl/>
        </w:rPr>
        <w:t xml:space="preserve"> אינה רק קרבת דם, קשר רגשי ושותפות לחיים. משפחה היא </w:t>
      </w:r>
      <w:r w:rsidRPr="004F38EF">
        <w:rPr>
          <w:rFonts w:hint="cs"/>
          <w:rtl/>
        </w:rPr>
        <w:t xml:space="preserve">גם </w:t>
      </w:r>
      <w:r w:rsidRPr="004F38EF">
        <w:rPr>
          <w:rFonts w:hint="eastAsia"/>
          <w:rtl/>
        </w:rPr>
        <w:t>הסדר</w:t>
      </w:r>
      <w:r w:rsidRPr="004F38EF">
        <w:rPr>
          <w:rtl/>
        </w:rPr>
        <w:t xml:space="preserve"> כלכלי. </w:t>
      </w:r>
    </w:p>
    <w:p w14:paraId="63BBC228" w14:textId="77777777" w:rsidR="006133F7" w:rsidRPr="004F38EF" w:rsidRDefault="006133F7" w:rsidP="004F38EF">
      <w:pPr>
        <w:pStyle w:val="Hesber"/>
        <w:spacing w:line="276" w:lineRule="auto"/>
        <w:rPr>
          <w:rtl/>
        </w:rPr>
      </w:pPr>
      <w:r w:rsidRPr="004F38EF">
        <w:rPr>
          <w:rFonts w:hint="eastAsia"/>
          <w:rtl/>
        </w:rPr>
        <w:t>ההיגיון</w:t>
      </w:r>
      <w:r w:rsidRPr="004F38EF">
        <w:rPr>
          <w:rtl/>
        </w:rPr>
        <w:t xml:space="preserve"> שעומד בבסיס קצבת השאירים</w:t>
      </w:r>
      <w:r w:rsidRPr="004F38EF">
        <w:rPr>
          <w:rFonts w:hint="cs"/>
          <w:rtl/>
        </w:rPr>
        <w:t xml:space="preserve"> הוא </w:t>
      </w:r>
      <w:r w:rsidRPr="004F38EF">
        <w:rPr>
          <w:rtl/>
        </w:rPr>
        <w:t xml:space="preserve">הצבת רשת </w:t>
      </w:r>
      <w:r w:rsidRPr="004F38EF">
        <w:rPr>
          <w:rFonts w:hint="cs"/>
          <w:rtl/>
        </w:rPr>
        <w:t>ביטחון</w:t>
      </w:r>
      <w:r w:rsidRPr="004F38EF">
        <w:rPr>
          <w:rtl/>
        </w:rPr>
        <w:t xml:space="preserve"> </w:t>
      </w:r>
      <w:r w:rsidRPr="004F38EF">
        <w:rPr>
          <w:rFonts w:hint="cs"/>
          <w:rtl/>
        </w:rPr>
        <w:t>ו</w:t>
      </w:r>
      <w:r w:rsidRPr="004F38EF">
        <w:rPr>
          <w:rtl/>
        </w:rPr>
        <w:t xml:space="preserve">צמצום הפגיעה הכלכלית שנגרמת </w:t>
      </w:r>
      <w:r w:rsidRPr="004F38EF">
        <w:rPr>
          <w:rFonts w:hint="cs"/>
          <w:rtl/>
        </w:rPr>
        <w:t>ל</w:t>
      </w:r>
      <w:r w:rsidRPr="004F38EF">
        <w:rPr>
          <w:rtl/>
        </w:rPr>
        <w:t>תא המשפחתי עקב מות</w:t>
      </w:r>
      <w:r w:rsidRPr="004F38EF">
        <w:rPr>
          <w:rFonts w:hint="eastAsia"/>
          <w:rtl/>
        </w:rPr>
        <w:t>ו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של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אחד</w:t>
      </w:r>
      <w:r w:rsidRPr="004F38EF">
        <w:rPr>
          <w:rtl/>
        </w:rPr>
        <w:t xml:space="preserve"> </w:t>
      </w:r>
      <w:r w:rsidRPr="004F38EF">
        <w:rPr>
          <w:rFonts w:hint="cs"/>
          <w:rtl/>
        </w:rPr>
        <w:t>ממפרנסי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התא</w:t>
      </w:r>
      <w:r w:rsidRPr="004F38EF">
        <w:rPr>
          <w:rtl/>
        </w:rPr>
        <w:t xml:space="preserve">. אם כך, הרציונל בבסיס קצבת השאירים </w:t>
      </w:r>
      <w:r w:rsidRPr="004F38EF">
        <w:rPr>
          <w:rFonts w:hint="cs"/>
          <w:rtl/>
        </w:rPr>
        <w:t>הוא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התלות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הכלכלית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שנוצרת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בין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בני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אדם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אשר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מקיימים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תא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משפחתי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ל</w:t>
      </w:r>
      <w:r w:rsidRPr="004F38EF">
        <w:rPr>
          <w:rtl/>
        </w:rPr>
        <w:t xml:space="preserve">הלכה או למעשה, </w:t>
      </w:r>
      <w:r w:rsidRPr="004F38EF">
        <w:rPr>
          <w:rFonts w:hint="cs"/>
          <w:rtl/>
        </w:rPr>
        <w:t xml:space="preserve">לרבות באמצעות ניהול </w:t>
      </w:r>
      <w:r w:rsidRPr="004F38EF">
        <w:rPr>
          <w:rtl/>
        </w:rPr>
        <w:t xml:space="preserve">משק בית אחד משותף לאורך שנים. </w:t>
      </w:r>
      <w:r w:rsidRPr="004F38EF">
        <w:rPr>
          <w:rFonts w:hint="cs"/>
          <w:rtl/>
        </w:rPr>
        <w:t>כוונת הענקת קצבת השאירים היא</w:t>
      </w:r>
      <w:r w:rsidRPr="004F38EF">
        <w:rPr>
          <w:rtl/>
        </w:rPr>
        <w:t xml:space="preserve"> </w:t>
      </w:r>
      <w:r w:rsidRPr="004F38EF">
        <w:rPr>
          <w:rFonts w:hint="cs"/>
          <w:rtl/>
        </w:rPr>
        <w:t xml:space="preserve">לצמצם את </w:t>
      </w:r>
      <w:r w:rsidRPr="004F38EF">
        <w:rPr>
          <w:rtl/>
        </w:rPr>
        <w:t xml:space="preserve">הפגיעה במשק בית זה עקב </w:t>
      </w:r>
      <w:r w:rsidRPr="004F38EF">
        <w:rPr>
          <w:rFonts w:hint="cs"/>
          <w:rtl/>
        </w:rPr>
        <w:t>מותו של אחד הצדדים.</w:t>
      </w:r>
      <w:r w:rsidRPr="004F38EF">
        <w:rPr>
          <w:rtl/>
        </w:rPr>
        <w:t xml:space="preserve"> הפגיעה הכלכלית </w:t>
      </w:r>
      <w:r w:rsidRPr="004F38EF">
        <w:rPr>
          <w:rFonts w:hint="eastAsia"/>
          <w:rtl/>
        </w:rPr>
        <w:t>קיימת</w:t>
      </w:r>
      <w:r w:rsidRPr="004F38EF">
        <w:rPr>
          <w:rtl/>
        </w:rPr>
        <w:t xml:space="preserve"> כלפי האדם שעמו המבוטח קיים משק בית משותף וכזה יש רק אחד. </w:t>
      </w:r>
    </w:p>
    <w:p w14:paraId="35145C56" w14:textId="77777777" w:rsidR="006133F7" w:rsidRPr="004F38EF" w:rsidRDefault="006133F7" w:rsidP="004F38EF">
      <w:pPr>
        <w:pStyle w:val="Hesber"/>
        <w:spacing w:line="276" w:lineRule="auto"/>
        <w:rPr>
          <w:rtl/>
        </w:rPr>
      </w:pPr>
      <w:r w:rsidRPr="004F38EF">
        <w:rPr>
          <w:rFonts w:hint="cs"/>
          <w:rtl/>
        </w:rPr>
        <w:t xml:space="preserve">ההוראות לעניין </w:t>
      </w:r>
      <w:r w:rsidRPr="004F38EF">
        <w:rPr>
          <w:rFonts w:hint="eastAsia"/>
          <w:rtl/>
        </w:rPr>
        <w:t>קצבת</w:t>
      </w:r>
      <w:r w:rsidRPr="004F38EF">
        <w:rPr>
          <w:rtl/>
        </w:rPr>
        <w:t xml:space="preserve"> השאירים נכתב</w:t>
      </w:r>
      <w:r w:rsidRPr="004F38EF">
        <w:rPr>
          <w:rFonts w:hint="cs"/>
          <w:rtl/>
        </w:rPr>
        <w:t>ו</w:t>
      </w:r>
      <w:r w:rsidRPr="004F38EF">
        <w:rPr>
          <w:rtl/>
        </w:rPr>
        <w:t xml:space="preserve"> </w:t>
      </w:r>
      <w:r w:rsidRPr="004F38EF">
        <w:rPr>
          <w:rFonts w:hint="cs"/>
          <w:rtl/>
        </w:rPr>
        <w:t xml:space="preserve">במקורן </w:t>
      </w:r>
      <w:r w:rsidRPr="004F38EF">
        <w:rPr>
          <w:rtl/>
        </w:rPr>
        <w:t>במציאות ש</w:t>
      </w:r>
      <w:r w:rsidRPr="004F38EF">
        <w:rPr>
          <w:rFonts w:hint="cs"/>
          <w:rtl/>
        </w:rPr>
        <w:t>בה נהגו</w:t>
      </w:r>
      <w:r w:rsidRPr="004F38EF">
        <w:rPr>
          <w:rtl/>
        </w:rPr>
        <w:t xml:space="preserve"> חיים </w:t>
      </w:r>
      <w:r w:rsidRPr="004F38EF">
        <w:rPr>
          <w:rFonts w:hint="cs"/>
          <w:rtl/>
        </w:rPr>
        <w:t xml:space="preserve">משותפים בקשר </w:t>
      </w:r>
      <w:r w:rsidRPr="004F38EF">
        <w:rPr>
          <w:rtl/>
        </w:rPr>
        <w:t>נישואין בלבד</w:t>
      </w:r>
      <w:r w:rsidRPr="004F38EF">
        <w:rPr>
          <w:rFonts w:hint="cs"/>
          <w:rtl/>
        </w:rPr>
        <w:t xml:space="preserve"> וכיום מתאפשרת הכרה בבני זוג גם אם אינם נשואים.</w:t>
      </w:r>
      <w:r w:rsidRPr="004F38EF">
        <w:rPr>
          <w:rtl/>
        </w:rPr>
        <w:t xml:space="preserve"> </w:t>
      </w:r>
      <w:r w:rsidRPr="004F38EF">
        <w:rPr>
          <w:rFonts w:hint="cs"/>
          <w:rtl/>
        </w:rPr>
        <w:t xml:space="preserve">ואולם, </w:t>
      </w:r>
      <w:r w:rsidRPr="004F38EF">
        <w:rPr>
          <w:rFonts w:hint="eastAsia"/>
          <w:rtl/>
        </w:rPr>
        <w:t>עם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השנים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מתרחבת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הגדרת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המשפחה</w:t>
      </w:r>
      <w:r w:rsidRPr="004F38EF">
        <w:rPr>
          <w:rFonts w:hint="cs"/>
          <w:rtl/>
        </w:rPr>
        <w:t>,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ומשקי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הבית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המשותפים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הופכים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מגוונים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יותר</w:t>
      </w:r>
      <w:r w:rsidRPr="004F38EF">
        <w:rPr>
          <w:rtl/>
        </w:rPr>
        <w:t xml:space="preserve"> </w:t>
      </w:r>
      <w:r w:rsidRPr="004F38EF">
        <w:rPr>
          <w:rFonts w:hint="eastAsia"/>
          <w:rtl/>
        </w:rPr>
        <w:t>בהרכבם</w:t>
      </w:r>
      <w:r w:rsidRPr="004F38EF">
        <w:rPr>
          <w:rFonts w:hint="cs"/>
          <w:rtl/>
        </w:rPr>
        <w:t xml:space="preserve">, וגם עליהם חל </w:t>
      </w:r>
      <w:r w:rsidRPr="004F38EF">
        <w:rPr>
          <w:rtl/>
        </w:rPr>
        <w:t xml:space="preserve">הרציונל </w:t>
      </w:r>
      <w:r w:rsidRPr="004F38EF">
        <w:rPr>
          <w:rFonts w:hint="cs"/>
          <w:rtl/>
        </w:rPr>
        <w:t xml:space="preserve"> שבבסיס </w:t>
      </w:r>
      <w:r w:rsidRPr="004F38EF">
        <w:rPr>
          <w:rtl/>
        </w:rPr>
        <w:t>קצבת השאירים</w:t>
      </w:r>
      <w:r w:rsidRPr="004F38EF">
        <w:rPr>
          <w:rFonts w:hint="cs"/>
          <w:rtl/>
        </w:rPr>
        <w:t>, שהוא כאמור</w:t>
      </w:r>
      <w:r w:rsidRPr="004F38EF">
        <w:rPr>
          <w:rtl/>
        </w:rPr>
        <w:t xml:space="preserve"> הגנה על הנותר ששותפו או שותפתו לחיים ולמשק הבית הלכו לעולמם. </w:t>
      </w:r>
    </w:p>
    <w:p w14:paraId="1FEF4FA1" w14:textId="77777777" w:rsidR="004F38EF" w:rsidRPr="004F38EF" w:rsidRDefault="006133F7" w:rsidP="004F38EF">
      <w:pPr>
        <w:pStyle w:val="Hesber"/>
        <w:spacing w:line="276" w:lineRule="auto"/>
        <w:rPr>
          <w:rtl/>
        </w:rPr>
      </w:pPr>
      <w:r w:rsidRPr="004F38EF">
        <w:rPr>
          <w:rFonts w:hint="eastAsia"/>
          <w:rtl/>
        </w:rPr>
        <w:t>לכן</w:t>
      </w:r>
      <w:r w:rsidRPr="004F38EF">
        <w:rPr>
          <w:rFonts w:hint="cs"/>
          <w:rtl/>
        </w:rPr>
        <w:t>,</w:t>
      </w:r>
      <w:r w:rsidRPr="004F38EF">
        <w:rPr>
          <w:rtl/>
        </w:rPr>
        <w:t xml:space="preserve"> מוצע </w:t>
      </w:r>
      <w:r w:rsidRPr="004F38EF">
        <w:rPr>
          <w:rFonts w:hint="eastAsia"/>
          <w:rtl/>
        </w:rPr>
        <w:t>ש</w:t>
      </w:r>
      <w:r w:rsidRPr="004F38EF">
        <w:rPr>
          <w:rFonts w:hint="cs"/>
          <w:rtl/>
        </w:rPr>
        <w:t>הוראות לעניין זכאות ל</w:t>
      </w:r>
      <w:r w:rsidRPr="004F38EF">
        <w:rPr>
          <w:rFonts w:hint="eastAsia"/>
          <w:rtl/>
        </w:rPr>
        <w:t>קצבת</w:t>
      </w:r>
      <w:r w:rsidRPr="004F38EF">
        <w:rPr>
          <w:rtl/>
        </w:rPr>
        <w:t xml:space="preserve"> השאירים </w:t>
      </w:r>
      <w:r w:rsidRPr="004F38EF">
        <w:rPr>
          <w:rFonts w:hint="cs"/>
          <w:rtl/>
        </w:rPr>
        <w:t>י</w:t>
      </w:r>
      <w:r w:rsidRPr="004F38EF">
        <w:rPr>
          <w:rtl/>
        </w:rPr>
        <w:t>נוסח</w:t>
      </w:r>
      <w:r w:rsidRPr="004F38EF">
        <w:rPr>
          <w:rFonts w:hint="cs"/>
          <w:rtl/>
        </w:rPr>
        <w:t>ו</w:t>
      </w:r>
      <w:r w:rsidRPr="004F38EF">
        <w:rPr>
          <w:rtl/>
        </w:rPr>
        <w:t xml:space="preserve"> באופן שיגשים את </w:t>
      </w:r>
      <w:r w:rsidRPr="004F38EF">
        <w:rPr>
          <w:rFonts w:hint="cs"/>
          <w:rtl/>
        </w:rPr>
        <w:t>ה</w:t>
      </w:r>
      <w:r w:rsidRPr="004F38EF">
        <w:rPr>
          <w:rtl/>
        </w:rPr>
        <w:t xml:space="preserve">מטרה בצורה הטובה ביותר, כך שכל בני </w:t>
      </w:r>
      <w:r w:rsidRPr="004F38EF">
        <w:rPr>
          <w:rFonts w:hint="cs"/>
          <w:rtl/>
        </w:rPr>
        <w:t>ה</w:t>
      </w:r>
      <w:r w:rsidRPr="004F38EF">
        <w:rPr>
          <w:rFonts w:hint="eastAsia"/>
          <w:rtl/>
        </w:rPr>
        <w:t>אדם</w:t>
      </w:r>
      <w:r w:rsidRPr="004F38EF">
        <w:rPr>
          <w:rtl/>
        </w:rPr>
        <w:t xml:space="preserve"> שמנהלים </w:t>
      </w:r>
      <w:r w:rsidRPr="004F38EF">
        <w:rPr>
          <w:rFonts w:hint="cs"/>
          <w:rtl/>
        </w:rPr>
        <w:t>חיים משותפים ו</w:t>
      </w:r>
      <w:r w:rsidRPr="004F38EF">
        <w:rPr>
          <w:rtl/>
        </w:rPr>
        <w:t xml:space="preserve">משק בית אחד משותף לאורך זמן, </w:t>
      </w:r>
      <w:r w:rsidRPr="004F38EF">
        <w:rPr>
          <w:rFonts w:hint="cs"/>
          <w:rtl/>
        </w:rPr>
        <w:t>כלומר ש</w:t>
      </w:r>
      <w:r w:rsidRPr="004F38EF">
        <w:rPr>
          <w:rtl/>
        </w:rPr>
        <w:t>נוצרה ב</w:t>
      </w:r>
      <w:r w:rsidRPr="004F38EF">
        <w:rPr>
          <w:rFonts w:hint="cs"/>
          <w:rtl/>
        </w:rPr>
        <w:t>יני</w:t>
      </w:r>
      <w:r w:rsidRPr="004F38EF">
        <w:rPr>
          <w:rtl/>
        </w:rPr>
        <w:t xml:space="preserve">הם התלות שעליה מבקשת המדינה להגן, יזכו להגנה </w:t>
      </w:r>
      <w:r w:rsidRPr="004F38EF">
        <w:rPr>
          <w:rFonts w:hint="cs"/>
          <w:rtl/>
        </w:rPr>
        <w:t xml:space="preserve">של קצבת השאירים המצמצמת </w:t>
      </w:r>
      <w:r w:rsidRPr="004F38EF">
        <w:rPr>
          <w:rtl/>
        </w:rPr>
        <w:t xml:space="preserve">את הפגיעה בתא המשפחתי שלהם. </w:t>
      </w:r>
    </w:p>
    <w:p w14:paraId="692726FB" w14:textId="2F3D8464" w:rsidR="006133F7" w:rsidRDefault="006133F7" w:rsidP="004F38EF">
      <w:pPr>
        <w:pStyle w:val="Hesber"/>
        <w:spacing w:line="276" w:lineRule="auto"/>
        <w:rPr>
          <w:rtl/>
        </w:rPr>
      </w:pPr>
      <w:r w:rsidRPr="004F38EF">
        <w:rPr>
          <w:rFonts w:hint="cs"/>
          <w:rtl/>
        </w:rPr>
        <w:t>הצעת חוק זהה הונחה על שולחן הכנסת ה</w:t>
      </w:r>
      <w:r w:rsidR="003B6E23" w:rsidRPr="004F38EF">
        <w:rPr>
          <w:rFonts w:hint="cs"/>
          <w:rtl/>
        </w:rPr>
        <w:t>עשרים</w:t>
      </w:r>
      <w:r w:rsidRPr="004F38EF">
        <w:rPr>
          <w:rFonts w:hint="cs"/>
          <w:rtl/>
        </w:rPr>
        <w:t xml:space="preserve"> על ידי חבר</w:t>
      </w:r>
      <w:r w:rsidR="003B6E23" w:rsidRPr="004F38EF">
        <w:rPr>
          <w:rFonts w:hint="cs"/>
          <w:rtl/>
        </w:rPr>
        <w:t>ו</w:t>
      </w:r>
      <w:r w:rsidRPr="004F38EF">
        <w:rPr>
          <w:rFonts w:hint="cs"/>
          <w:rtl/>
        </w:rPr>
        <w:t>ת הכנסת מרב מיכאלי</w:t>
      </w:r>
      <w:r w:rsidR="003B6E23" w:rsidRPr="004F38EF">
        <w:rPr>
          <w:rFonts w:hint="cs"/>
          <w:rtl/>
        </w:rPr>
        <w:t xml:space="preserve"> ומירב בן ארי</w:t>
      </w:r>
      <w:r w:rsidRPr="004F38EF">
        <w:rPr>
          <w:rFonts w:hint="cs"/>
          <w:rtl/>
        </w:rPr>
        <w:t xml:space="preserve"> (פ/4246/20). </w:t>
      </w:r>
    </w:p>
    <w:p w14:paraId="41608790" w14:textId="77777777" w:rsidR="004F38EF" w:rsidRDefault="004F38EF" w:rsidP="004F38EF">
      <w:pPr>
        <w:pStyle w:val="Hesber"/>
        <w:spacing w:line="276" w:lineRule="auto"/>
        <w:rPr>
          <w:rtl/>
        </w:rPr>
      </w:pPr>
    </w:p>
    <w:p w14:paraId="3EC5190B" w14:textId="77777777" w:rsidR="004F38EF" w:rsidRPr="00D73212" w:rsidRDefault="004F38EF" w:rsidP="004F38EF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2A5E9210" w14:textId="77777777" w:rsidR="004F38EF" w:rsidRPr="00D73212" w:rsidRDefault="004F38EF" w:rsidP="004F38EF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09164C34" w14:textId="77777777" w:rsidR="004F38EF" w:rsidRPr="00D73212" w:rsidRDefault="004F38EF" w:rsidP="004F38EF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5EAF2439" w14:textId="377618F2" w:rsidR="004F38EF" w:rsidRPr="004F38EF" w:rsidRDefault="004F38EF" w:rsidP="004F38EF">
      <w:pPr>
        <w:pStyle w:val="Hesber"/>
        <w:spacing w:line="276" w:lineRule="auto"/>
        <w:rPr>
          <w:rtl/>
        </w:rPr>
      </w:pPr>
      <w:r>
        <w:rPr>
          <w:rFonts w:hint="cs"/>
          <w:color w:val="auto"/>
          <w:rtl/>
          <w:lang w:eastAsia="en-US"/>
        </w:rPr>
        <w:t>כ"ב באייר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 xml:space="preserve">ט </w:t>
      </w:r>
      <w:r w:rsidRPr="00D73212">
        <w:rPr>
          <w:color w:val="auto"/>
          <w:rtl/>
          <w:lang w:eastAsia="en-US"/>
        </w:rPr>
        <w:t>–</w:t>
      </w:r>
      <w:r>
        <w:rPr>
          <w:rFonts w:hint="cs"/>
          <w:color w:val="auto"/>
          <w:rtl/>
          <w:lang w:eastAsia="en-US"/>
        </w:rPr>
        <w:t xml:space="preserve"> 27.5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 xml:space="preserve">19  </w:t>
      </w:r>
      <w:bookmarkStart w:id="8" w:name="_GoBack"/>
      <w:bookmarkEnd w:id="8"/>
    </w:p>
    <w:p w14:paraId="7F6961CB" w14:textId="77777777" w:rsidR="00E13C27" w:rsidRDefault="00E13C27" w:rsidP="00E13C27">
      <w:pPr>
        <w:pStyle w:val="Hesber"/>
        <w:rPr>
          <w:rtl/>
        </w:rPr>
      </w:pPr>
    </w:p>
    <w:sectPr w:rsidR="00E13C27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3B6E23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79ADCD12" w14:textId="5D448197" w:rsidR="003B6E23" w:rsidRDefault="003B6E23" w:rsidP="006133F7">
      <w:pPr>
        <w:pStyle w:val="a4"/>
        <w:rPr>
          <w:rtl/>
        </w:rPr>
      </w:pPr>
      <w:r>
        <w:rPr>
          <w:rStyle w:val="a6"/>
        </w:rPr>
        <w:footnoteRef/>
      </w:r>
      <w:r>
        <w:t xml:space="preserve"> </w:t>
      </w:r>
      <w:r>
        <w:rPr>
          <w:rFonts w:hint="cs"/>
          <w:rtl/>
        </w:rPr>
        <w:t xml:space="preserve"> ס"ח התשנ"ה, עמ' 210.</w:t>
      </w:r>
    </w:p>
    <w:p w14:paraId="1C344AF8" w14:textId="77777777" w:rsidR="003B6E23" w:rsidRDefault="003B6E23" w:rsidP="006133F7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B6E23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4F38EF"/>
    <w:rsid w:val="00553C9D"/>
    <w:rsid w:val="00562A66"/>
    <w:rsid w:val="005B064E"/>
    <w:rsid w:val="005D51AE"/>
    <w:rsid w:val="006133F7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103B14A1-32AB-4554-ADB4-C5314F5B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link w:val="a4"/>
    <w:semiHidden/>
    <w:locked/>
    <w:rsid w:val="006133F7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97467741CB98040970A6DBBC195775F" ma:contentTypeVersion="" ma:contentTypeDescription="צור מסמך חדש." ma:contentTypeScope="" ma:versionID="6e55fc6acbead604c2f45a2c1dd207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1DC11-10CB-45B7-AB33-75A4B6F50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A0D348-0726-4494-B2C2-216B8412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חנה קרליץ</cp:lastModifiedBy>
  <cp:revision>6</cp:revision>
  <cp:lastPrinted>2019-05-21T09:05:00Z</cp:lastPrinted>
  <dcterms:created xsi:type="dcterms:W3CDTF">2015-04-20T09:58:00Z</dcterms:created>
  <dcterms:modified xsi:type="dcterms:W3CDTF">2019-05-21T09:05:00Z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0x010100697467741CB98040970A6DBBC195775F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2079142</vt:r8>
  </property>
</Properties>
</file>